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605155</wp:posOffset>
            </wp:positionH>
            <wp:positionV relativeFrom="page">
              <wp:posOffset>371475</wp:posOffset>
            </wp:positionV>
            <wp:extent cx="680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025" cy="8255"/>
                    </a:xfrm>
                    <a:prstGeom prst="rect">
                      <a:avLst/>
                    </a:prstGeom>
                    <a:noFill/>
                  </pic:spPr>
                </pic:pic>
              </a:graphicData>
            </a:graphic>
          </wp:anchor>
        </w:drawing>
        <w:drawing>
          <wp:anchor simplePos="0" relativeHeight="251657728" behindDoc="1" locked="0" layoutInCell="0" allowOverlap="1">
            <wp:simplePos x="0" y="0"/>
            <wp:positionH relativeFrom="page">
              <wp:posOffset>605155</wp:posOffset>
            </wp:positionH>
            <wp:positionV relativeFrom="page">
              <wp:posOffset>404495</wp:posOffset>
            </wp:positionV>
            <wp:extent cx="6804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02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4" w:lineRule="exact"/>
        <w:rPr>
          <w:sz w:val="24"/>
          <w:szCs w:val="24"/>
          <w:color w:val="auto"/>
        </w:rPr>
      </w:pPr>
    </w:p>
    <w:p>
      <w:pPr>
        <w:ind w:left="1140" w:hanging="964"/>
        <w:spacing w:after="0"/>
        <w:tabs>
          <w:tab w:leader="none" w:pos="11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7" w:lineRule="exact"/>
        <w:rPr>
          <w:sz w:val="24"/>
          <w:szCs w:val="24"/>
          <w:color w:val="auto"/>
        </w:rPr>
      </w:pPr>
    </w:p>
    <w:p>
      <w:pPr>
        <w:ind w:left="1100" w:hanging="924"/>
        <w:spacing w:after="0"/>
        <w:tabs>
          <w:tab w:leader="none" w:pos="11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5" w:lineRule="exact"/>
        <w:rPr>
          <w:sz w:val="24"/>
          <w:szCs w:val="24"/>
          <w:color w:val="auto"/>
        </w:rPr>
      </w:pPr>
    </w:p>
    <w:p>
      <w:pPr>
        <w:ind w:left="3780"/>
        <w:spacing w:after="0"/>
        <w:tabs>
          <w:tab w:leader="none" w:pos="70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1963420</wp:posOffset>
            </wp:positionH>
            <wp:positionV relativeFrom="paragraph">
              <wp:posOffset>153670</wp:posOffset>
            </wp:positionV>
            <wp:extent cx="3181985" cy="514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985" cy="514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7"/>
                <w:szCs w:val="17"/>
                <w:color w:val="auto"/>
                <w:w w:val="93"/>
              </w:rPr>
              <w:t>Exact Name of Registrant; State of</w:t>
            </w: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00" w:type="dxa"/>
            <w:vAlign w:val="bottom"/>
            <w:vMerge w:val="restart"/>
          </w:tcPr>
          <w:p>
            <w:pPr>
              <w:jc w:val="center"/>
              <w:ind w:right="953"/>
              <w:spacing w:after="0"/>
              <w:rPr>
                <w:sz w:val="20"/>
                <w:szCs w:val="20"/>
                <w:color w:val="auto"/>
              </w:rPr>
            </w:pPr>
            <w:r>
              <w:rPr>
                <w:rFonts w:ascii="Arial" w:cs="Arial" w:eastAsia="Arial" w:hAnsi="Arial"/>
                <w:sz w:val="17"/>
                <w:szCs w:val="17"/>
                <w:color w:val="auto"/>
                <w:w w:val="95"/>
              </w:rPr>
              <w:t>Commission File Number</w:t>
            </w:r>
          </w:p>
        </w:tc>
        <w:tc>
          <w:tcPr>
            <w:tcW w:w="3000" w:type="dxa"/>
            <w:vAlign w:val="bottom"/>
            <w:gridSpan w:val="6"/>
          </w:tcPr>
          <w:p>
            <w:pPr>
              <w:jc w:val="center"/>
              <w:ind w:right="40"/>
              <w:spacing w:after="0" w:line="170" w:lineRule="exact"/>
              <w:rPr>
                <w:sz w:val="20"/>
                <w:szCs w:val="20"/>
                <w:color w:val="auto"/>
              </w:rPr>
            </w:pPr>
            <w:r>
              <w:rPr>
                <w:rFonts w:ascii="Arial" w:cs="Arial" w:eastAsia="Arial" w:hAnsi="Arial"/>
                <w:sz w:val="17"/>
                <w:szCs w:val="17"/>
                <w:color w:val="auto"/>
                <w:w w:val="92"/>
              </w:rPr>
              <w:t>Incorporation; Address and Telephone</w:t>
            </w:r>
          </w:p>
        </w:tc>
        <w:tc>
          <w:tcPr>
            <w:tcW w:w="4080" w:type="dxa"/>
            <w:vAlign w:val="bottom"/>
            <w:vMerge w:val="restart"/>
          </w:tcPr>
          <w:p>
            <w:pPr>
              <w:jc w:val="center"/>
              <w:ind w:left="893"/>
              <w:spacing w:after="0"/>
              <w:rPr>
                <w:sz w:val="20"/>
                <w:szCs w:val="20"/>
                <w:color w:val="auto"/>
              </w:rPr>
            </w:pPr>
            <w:r>
              <w:rPr>
                <w:rFonts w:ascii="Arial" w:cs="Arial" w:eastAsia="Arial" w:hAnsi="Arial"/>
                <w:sz w:val="17"/>
                <w:szCs w:val="17"/>
                <w:color w:val="auto"/>
                <w:w w:val="96"/>
              </w:rPr>
              <w:t>I.R.S. Employer Identification No.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Borders>
              <w:bottom w:val="single" w:sz="8" w:color="auto"/>
            </w:tcBorders>
            <w:vMerge w:val="continue"/>
          </w:tcPr>
          <w:p>
            <w:pPr>
              <w:spacing w:after="0"/>
              <w:rPr>
                <w:sz w:val="19"/>
                <w:szCs w:val="19"/>
                <w:color w:val="auto"/>
              </w:rPr>
            </w:pPr>
          </w:p>
        </w:tc>
        <w:tc>
          <w:tcPr>
            <w:tcW w:w="30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7"/>
                <w:szCs w:val="17"/>
                <w:color w:val="auto"/>
                <w:w w:val="95"/>
              </w:rPr>
              <w:t>Number of Principal Executive Offices</w:t>
            </w:r>
          </w:p>
        </w:tc>
        <w:tc>
          <w:tcPr>
            <w:tcW w:w="40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tcPr>
          <w:p>
            <w:pPr>
              <w:jc w:val="right"/>
              <w:ind w:right="2113"/>
              <w:spacing w:after="0"/>
              <w:rPr>
                <w:sz w:val="20"/>
                <w:szCs w:val="20"/>
                <w:color w:val="auto"/>
              </w:rPr>
            </w:pPr>
            <w:r>
              <w:rPr>
                <w:rFonts w:ascii="Arial" w:cs="Arial" w:eastAsia="Arial" w:hAnsi="Arial"/>
                <w:sz w:val="17"/>
                <w:szCs w:val="17"/>
                <w:b w:val="1"/>
                <w:bCs w:val="1"/>
                <w:color w:val="auto"/>
              </w:rPr>
              <w:t>001-32871</w:t>
            </w:r>
          </w:p>
        </w:tc>
        <w:tc>
          <w:tcPr>
            <w:tcW w:w="220" w:type="dxa"/>
            <w:vAlign w:val="bottom"/>
          </w:tcPr>
          <w:p>
            <w:pPr>
              <w:spacing w:after="0"/>
              <w:rPr>
                <w:sz w:val="19"/>
                <w:szCs w:val="19"/>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rPr>
              <w:t>COMCAST CORPORATION</w:t>
            </w:r>
          </w:p>
        </w:tc>
        <w:tc>
          <w:tcPr>
            <w:tcW w:w="4080" w:type="dxa"/>
            <w:vAlign w:val="bottom"/>
          </w:tcPr>
          <w:p>
            <w:pPr>
              <w:jc w:val="right"/>
              <w:ind w:right="1033"/>
              <w:spacing w:after="0"/>
              <w:rPr>
                <w:sz w:val="20"/>
                <w:szCs w:val="20"/>
                <w:color w:val="auto"/>
              </w:rPr>
            </w:pPr>
            <w:r>
              <w:rPr>
                <w:rFonts w:ascii="Arial" w:cs="Arial" w:eastAsia="Arial" w:hAnsi="Arial"/>
                <w:sz w:val="17"/>
                <w:szCs w:val="17"/>
                <w:b w:val="1"/>
                <w:bCs w:val="1"/>
                <w:color w:val="auto"/>
              </w:rPr>
              <w:t>27-0000798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1"/>
              </w:rPr>
              <w:t>Pennsylvania</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3"/>
          </w:tcPr>
          <w:p>
            <w:pPr>
              <w:jc w:val="center"/>
              <w:ind w:right="640"/>
              <w:spacing w:after="0"/>
              <w:rPr>
                <w:sz w:val="20"/>
                <w:szCs w:val="20"/>
                <w:color w:val="auto"/>
              </w:rPr>
            </w:pPr>
            <w:r>
              <w:rPr>
                <w:rFonts w:ascii="Arial" w:cs="Arial" w:eastAsia="Arial" w:hAnsi="Arial"/>
                <w:sz w:val="17"/>
                <w:szCs w:val="17"/>
                <w:b w:val="1"/>
                <w:bCs w:val="1"/>
                <w:color w:val="auto"/>
                <w:w w:val="92"/>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w w:val="92"/>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3"/>
          </w:tcPr>
          <w:p>
            <w:pPr>
              <w:jc w:val="center"/>
              <w:ind w:left="333"/>
              <w:spacing w:after="0"/>
              <w:rPr>
                <w:sz w:val="20"/>
                <w:szCs w:val="20"/>
                <w:color w:val="auto"/>
              </w:rPr>
            </w:pPr>
            <w:r>
              <w:rPr>
                <w:rFonts w:ascii="Arial" w:cs="Arial" w:eastAsia="Arial" w:hAnsi="Arial"/>
                <w:sz w:val="17"/>
                <w:szCs w:val="17"/>
                <w:b w:val="1"/>
                <w:bCs w:val="1"/>
                <w:color w:val="auto"/>
                <w:w w:val="92"/>
              </w:rPr>
              <w:t>(215) 286-1700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120" w:type="dxa"/>
            <w:vAlign w:val="bottom"/>
            <w:gridSpan w:val="2"/>
          </w:tcPr>
          <w:p>
            <w:pPr>
              <w:spacing w:after="0"/>
              <w:rPr>
                <w:sz w:val="20"/>
                <w:szCs w:val="20"/>
                <w:color w:val="auto"/>
              </w:rPr>
            </w:pPr>
            <w:r>
              <w:rPr>
                <w:rFonts w:ascii="Arial" w:cs="Arial" w:eastAsia="Arial" w:hAnsi="Arial"/>
                <w:sz w:val="17"/>
                <w:szCs w:val="17"/>
                <w:color w:val="auto"/>
                <w:w w:val="94"/>
              </w:rPr>
              <w:t>Securities registered pursuant to Section 12(b) of the Act: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00" w:type="dxa"/>
            <w:vAlign w:val="bottom"/>
            <w:tcBorders>
              <w:bottom w:val="single" w:sz="8" w:color="auto"/>
            </w:tcBorders>
          </w:tcPr>
          <w:p>
            <w:pPr>
              <w:jc w:val="center"/>
              <w:ind w:left="453"/>
              <w:spacing w:after="0"/>
              <w:rPr>
                <w:sz w:val="20"/>
                <w:szCs w:val="20"/>
                <w:color w:val="auto"/>
              </w:rPr>
            </w:pPr>
            <w:r>
              <w:rPr>
                <w:rFonts w:ascii="Arial" w:cs="Arial" w:eastAsia="Arial" w:hAnsi="Arial"/>
                <w:sz w:val="17"/>
                <w:szCs w:val="17"/>
                <w:b w:val="1"/>
                <w:bCs w:val="1"/>
                <w:color w:val="auto"/>
                <w:w w:val="90"/>
              </w:rPr>
              <w:t>Title of each class</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right="43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Class A Common Stock, $0.01 par value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rPr>
              <w:t>CMCSA</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0.000% Notes due 2026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5"/>
              </w:rPr>
              <w:t>CMCS26</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0.250% Notes due 2027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5"/>
              </w:rPr>
              <w:t>CMCS27</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1.500% Notes due 2029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5"/>
              </w:rPr>
              <w:t>CMCS29</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0.250% Notes due 2029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7"/>
              </w:rPr>
              <w:t>CMCS29A</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0.750% Notes due 2032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5"/>
              </w:rPr>
              <w:t>CMCS32</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1.875% Notes due 2036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5"/>
              </w:rPr>
              <w:t>CMCS36</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1.250% Notes due 2040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5"/>
              </w:rPr>
              <w:t>CMCS40</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4"/>
              </w:rPr>
              <w:t>The Nasdaq Stock Market LLC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jc w:val="center"/>
              <w:ind w:left="453"/>
              <w:spacing w:after="0"/>
              <w:rPr>
                <w:sz w:val="20"/>
                <w:szCs w:val="20"/>
                <w:color w:val="auto"/>
              </w:rPr>
            </w:pPr>
            <w:r>
              <w:rPr>
                <w:rFonts w:ascii="Arial" w:cs="Arial" w:eastAsia="Arial" w:hAnsi="Arial"/>
                <w:sz w:val="17"/>
                <w:szCs w:val="17"/>
                <w:color w:val="auto"/>
                <w:w w:val="92"/>
              </w:rPr>
              <w:t>5.50% Notes due 2029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3"/>
          </w:tcPr>
          <w:p>
            <w:pPr>
              <w:jc w:val="center"/>
              <w:ind w:right="620"/>
              <w:spacing w:after="0"/>
              <w:rPr>
                <w:sz w:val="20"/>
                <w:szCs w:val="20"/>
                <w:color w:val="auto"/>
              </w:rPr>
            </w:pPr>
            <w:r>
              <w:rPr>
                <w:rFonts w:ascii="Arial" w:cs="Arial" w:eastAsia="Arial" w:hAnsi="Arial"/>
                <w:sz w:val="17"/>
                <w:szCs w:val="17"/>
                <w:color w:val="auto"/>
                <w:w w:val="93"/>
              </w:rPr>
              <w:t>CCGBP29</w:t>
            </w:r>
          </w:p>
        </w:tc>
        <w:tc>
          <w:tcPr>
            <w:tcW w:w="4080" w:type="dxa"/>
            <w:vAlign w:val="bottom"/>
          </w:tcPr>
          <w:p>
            <w:pPr>
              <w:jc w:val="center"/>
              <w:ind w:right="433"/>
              <w:spacing w:after="0"/>
              <w:rPr>
                <w:sz w:val="20"/>
                <w:szCs w:val="20"/>
                <w:color w:val="auto"/>
              </w:rPr>
            </w:pPr>
            <w:r>
              <w:rPr>
                <w:rFonts w:ascii="Arial" w:cs="Arial" w:eastAsia="Arial" w:hAnsi="Arial"/>
                <w:sz w:val="17"/>
                <w:szCs w:val="17"/>
                <w:color w:val="auto"/>
                <w:w w:val="93"/>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Borders>
              <w:bottom w:val="single" w:sz="8" w:color="auto"/>
            </w:tcBorders>
            <w:gridSpan w:val="2"/>
          </w:tcPr>
          <w:p>
            <w:pPr>
              <w:jc w:val="center"/>
              <w:ind w:left="233"/>
              <w:spacing w:after="0"/>
              <w:rPr>
                <w:sz w:val="20"/>
                <w:szCs w:val="20"/>
                <w:color w:val="auto"/>
              </w:rPr>
            </w:pPr>
            <w:r>
              <w:rPr>
                <w:rFonts w:ascii="Arial" w:cs="Arial" w:eastAsia="Arial" w:hAnsi="Arial"/>
                <w:sz w:val="17"/>
                <w:szCs w:val="17"/>
                <w:color w:val="auto"/>
                <w:w w:val="91"/>
              </w:rPr>
              <w:t>2.0% Exchangeable Subordinated Debentures due 2029</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CCZ</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jc w:val="center"/>
              <w:ind w:right="433"/>
              <w:spacing w:after="0"/>
              <w:rPr>
                <w:sz w:val="20"/>
                <w:szCs w:val="20"/>
                <w:color w:val="auto"/>
              </w:rPr>
            </w:pPr>
            <w:r>
              <w:rPr>
                <w:rFonts w:ascii="Arial" w:cs="Arial" w:eastAsia="Arial" w:hAnsi="Arial"/>
                <w:sz w:val="17"/>
                <w:szCs w:val="17"/>
                <w:color w:val="auto"/>
                <w:w w:val="93"/>
              </w:rPr>
              <w:t>New York Stock Exchange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4"/>
          <w:szCs w:val="24"/>
          <w:color w:val="auto"/>
        </w:rPr>
      </w:pPr>
    </w:p>
    <w:p>
      <w:pPr>
        <w:jc w:val="both"/>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jc w:val="both"/>
        <w:spacing w:after="0" w:line="21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9" w:lineRule="exact"/>
        <w:rPr>
          <w:sz w:val="24"/>
          <w:szCs w:val="24"/>
          <w:color w:val="auto"/>
        </w:rPr>
      </w:pPr>
    </w:p>
    <w:p>
      <w:pPr>
        <w:jc w:val="both"/>
        <w:spacing w:after="0" w:line="25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520" w:type="dxa"/>
            <w:vAlign w:val="bottom"/>
            <w:vMerge w:val="restart"/>
          </w:tcPr>
          <w:p>
            <w:pPr>
              <w:spacing w:after="0"/>
              <w:rPr>
                <w:sz w:val="20"/>
                <w:szCs w:val="20"/>
                <w:color w:val="auto"/>
              </w:rPr>
            </w:pPr>
            <w:r>
              <w:rPr>
                <w:rFonts w:ascii="Arial" w:cs="Arial" w:eastAsia="Arial" w:hAnsi="Arial"/>
                <w:sz w:val="17"/>
                <w:szCs w:val="17"/>
                <w:color w:val="auto"/>
                <w:w w:val="89"/>
              </w:rPr>
              <w:t>Large accelerated filer</w:t>
            </w:r>
          </w:p>
        </w:tc>
        <w:tc>
          <w:tcPr>
            <w:tcW w:w="340" w:type="dxa"/>
            <w:vAlign w:val="bottom"/>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1360" w:type="dxa"/>
            <w:vAlign w:val="bottom"/>
            <w:vMerge w:val="restart"/>
          </w:tcPr>
          <w:p>
            <w:pPr>
              <w:ind w:left="180"/>
              <w:spacing w:after="0"/>
              <w:rPr>
                <w:sz w:val="20"/>
                <w:szCs w:val="20"/>
                <w:color w:val="auto"/>
              </w:rPr>
            </w:pPr>
            <w:r>
              <w:rPr>
                <w:rFonts w:ascii="Arial" w:cs="Arial" w:eastAsia="Arial" w:hAnsi="Arial"/>
                <w:sz w:val="17"/>
                <w:szCs w:val="17"/>
                <w:color w:val="auto"/>
                <w:w w:val="95"/>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580" w:type="dxa"/>
            <w:vAlign w:val="bottom"/>
            <w:vMerge w:val="restart"/>
          </w:tcPr>
          <w:p>
            <w:pPr>
              <w:ind w:left="120"/>
              <w:spacing w:after="0"/>
              <w:rPr>
                <w:sz w:val="20"/>
                <w:szCs w:val="20"/>
                <w:color w:val="auto"/>
              </w:rPr>
            </w:pPr>
            <w:r>
              <w:rPr>
                <w:rFonts w:ascii="Arial" w:cs="Arial" w:eastAsia="Arial" w:hAnsi="Arial"/>
                <w:sz w:val="17"/>
                <w:szCs w:val="17"/>
                <w:color w:val="auto"/>
                <w:w w:val="91"/>
              </w:rPr>
              <w:t>Non-accelerated filer</w:t>
            </w:r>
          </w:p>
        </w:tc>
        <w:tc>
          <w:tcPr>
            <w:tcW w:w="40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200"/>
              <w:spacing w:after="0"/>
              <w:rPr>
                <w:sz w:val="20"/>
                <w:szCs w:val="20"/>
                <w:color w:val="auto"/>
              </w:rPr>
            </w:pPr>
            <w:r>
              <w:rPr>
                <w:rFonts w:ascii="Arial" w:cs="Arial" w:eastAsia="Arial" w:hAnsi="Arial"/>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00" w:type="dxa"/>
            <w:vAlign w:val="bottom"/>
          </w:tcPr>
          <w:p>
            <w:pPr>
              <w:ind w:left="100"/>
              <w:spacing w:after="0"/>
              <w:rPr>
                <w:sz w:val="20"/>
                <w:szCs w:val="20"/>
                <w:color w:val="auto"/>
              </w:rPr>
            </w:pPr>
            <w:r>
              <w:rPr>
                <w:rFonts w:ascii="Arial" w:cs="Arial" w:eastAsia="Arial" w:hAnsi="Arial"/>
                <w:sz w:val="17"/>
                <w:szCs w:val="17"/>
                <w:color w:val="auto"/>
              </w:rPr>
              <w:t>Emerging growth</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2"/>
        </w:trPr>
        <w:tc>
          <w:tcPr>
            <w:tcW w:w="1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7"/>
                <w:szCs w:val="17"/>
                <w:color w:val="auto"/>
              </w:rPr>
              <w:t>company</w:t>
            </w:r>
          </w:p>
        </w:tc>
        <w:tc>
          <w:tcPr>
            <w:tcW w:w="60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7"/>
                <w:szCs w:val="17"/>
                <w:color w:val="auto"/>
              </w:rPr>
              <w:t>company</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As of July 15, 2023, there were 4,115,688,549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173990</wp:posOffset>
            </wp:positionV>
            <wp:extent cx="701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207645</wp:posOffset>
            </wp:positionV>
            <wp:extent cx="7019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9925" cy="825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60" w:type="dxa"/>
            <w:vAlign w:val="bottom"/>
          </w:tcPr>
          <w:p>
            <w:pPr>
              <w:jc w:val="right"/>
              <w:ind w:right="19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560" w:type="dxa"/>
            <w:vAlign w:val="bottom"/>
          </w:tcPr>
          <w:p>
            <w:pPr>
              <w:jc w:val="right"/>
              <w:ind w:right="114"/>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28"/>
          </w:tcPr>
          <w:p>
            <w:pPr>
              <w:spacing w:after="0" w:line="176" w:lineRule="exact"/>
              <w:rPr>
                <w:sz w:val="20"/>
                <w:szCs w:val="20"/>
                <w:color w:val="auto"/>
              </w:rPr>
            </w:pPr>
            <w:r>
              <w:rPr>
                <w:rFonts w:ascii="Arial" w:cs="Arial" w:eastAsia="Arial" w:hAnsi="Arial"/>
                <w:sz w:val="17"/>
                <w:szCs w:val="17"/>
                <w:b w:val="1"/>
                <w:bCs w:val="1"/>
                <w:color w:val="0000FF"/>
              </w:rPr>
              <w:t>PART I. FINANCIAL INFORMATION</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tcBorders>
              <w:top w:val="single" w:sz="8" w:color="0000FF"/>
            </w:tcBorders>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14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w w:val="90"/>
              </w:rPr>
              <w:t>Financial Statements</w:t>
            </w:r>
          </w:p>
        </w:tc>
        <w:tc>
          <w:tcPr>
            <w:tcW w:w="80" w:type="dxa"/>
            <w:vAlign w:val="bottom"/>
            <w:tcBorders>
              <w:top w:val="single" w:sz="8" w:color="0000FF"/>
            </w:tcBorders>
          </w:tcPr>
          <w:p>
            <w:pPr>
              <w:spacing w:after="0"/>
              <w:rPr>
                <w:sz w:val="17"/>
                <w:szCs w:val="17"/>
                <w:color w:val="auto"/>
              </w:rPr>
            </w:pPr>
          </w:p>
        </w:tc>
        <w:tc>
          <w:tcPr>
            <w:tcW w:w="4700" w:type="dxa"/>
            <w:vAlign w:val="bottom"/>
            <w:gridSpan w:val="19"/>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40" w:type="dxa"/>
            <w:vAlign w:val="bottom"/>
            <w:gridSpan w:val="26"/>
          </w:tcPr>
          <w:p>
            <w:pPr>
              <w:spacing w:after="0"/>
              <w:rPr>
                <w:sz w:val="20"/>
                <w:szCs w:val="20"/>
                <w:color w:val="auto"/>
              </w:rPr>
            </w:pPr>
            <w:r>
              <w:rPr>
                <w:rFonts w:ascii="Arial" w:cs="Arial" w:eastAsia="Arial" w:hAnsi="Arial"/>
                <w:sz w:val="17"/>
                <w:szCs w:val="17"/>
                <w:color w:val="0000FF"/>
              </w:rPr>
              <w:t>Condensed Consolidated Statements of Income (Unaudited)</w:t>
            </w:r>
          </w:p>
        </w:tc>
        <w:tc>
          <w:tcPr>
            <w:tcW w:w="3560" w:type="dxa"/>
            <w:vAlign w:val="bottom"/>
          </w:tcPr>
          <w:p>
            <w:pPr>
              <w:jc w:val="right"/>
              <w:spacing w:after="0"/>
              <w:rPr>
                <w:sz w:val="20"/>
                <w:szCs w:val="20"/>
                <w:color w:val="auto"/>
              </w:rPr>
            </w:pPr>
            <w:r>
              <w:rPr>
                <w:rFonts w:ascii="Arial" w:cs="Arial" w:eastAsia="Arial" w:hAnsi="Arial"/>
                <w:sz w:val="17"/>
                <w:szCs w:val="17"/>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40" w:type="dxa"/>
            <w:vAlign w:val="bottom"/>
            <w:gridSpan w:val="26"/>
          </w:tcPr>
          <w:p>
            <w:pPr>
              <w:spacing w:after="0"/>
              <w:rPr>
                <w:sz w:val="20"/>
                <w:szCs w:val="20"/>
                <w:color w:val="auto"/>
              </w:rPr>
            </w:pPr>
            <w:r>
              <w:rPr>
                <w:rFonts w:ascii="Arial" w:cs="Arial" w:eastAsia="Arial" w:hAnsi="Arial"/>
                <w:sz w:val="17"/>
                <w:szCs w:val="17"/>
                <w:color w:val="0000FF"/>
              </w:rPr>
              <w:t>Condensed Consolidated Statements of Comprehensive Income (Unaudited)</w:t>
            </w:r>
          </w:p>
        </w:tc>
        <w:tc>
          <w:tcPr>
            <w:tcW w:w="3560" w:type="dxa"/>
            <w:vAlign w:val="bottom"/>
          </w:tcPr>
          <w:p>
            <w:pPr>
              <w:jc w:val="right"/>
              <w:spacing w:after="0"/>
              <w:rPr>
                <w:sz w:val="20"/>
                <w:szCs w:val="20"/>
                <w:color w:val="auto"/>
              </w:rPr>
            </w:pPr>
            <w:r>
              <w:rPr>
                <w:rFonts w:ascii="Arial" w:cs="Arial" w:eastAsia="Arial" w:hAnsi="Arial"/>
                <w:sz w:val="17"/>
                <w:szCs w:val="17"/>
                <w:color w:val="2C2C2C"/>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20" w:type="dxa"/>
            <w:vAlign w:val="bottom"/>
            <w:tcBorders>
              <w:top w:val="single" w:sz="8" w:color="0000FF"/>
            </w:tcBorders>
            <w:gridSpan w:val="25"/>
          </w:tcPr>
          <w:p>
            <w:pPr>
              <w:spacing w:after="0"/>
              <w:rPr>
                <w:sz w:val="20"/>
                <w:szCs w:val="20"/>
                <w:color w:val="auto"/>
              </w:rPr>
            </w:pPr>
            <w:r>
              <w:rPr>
                <w:rFonts w:ascii="Arial" w:cs="Arial" w:eastAsia="Arial" w:hAnsi="Arial"/>
                <w:sz w:val="17"/>
                <w:szCs w:val="17"/>
                <w:color w:val="0000FF"/>
              </w:rPr>
              <w:t>Condensed Consolidated Statements of Cash Flows (Unaudited)</w:t>
            </w:r>
          </w:p>
        </w:tc>
        <w:tc>
          <w:tcPr>
            <w:tcW w:w="92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1"/>
              </w:rPr>
              <w:t>Condensed Consolidated Balance Sheets (Unaudited)</w:t>
            </w:r>
          </w:p>
        </w:tc>
        <w:tc>
          <w:tcPr>
            <w:tcW w:w="740" w:type="dxa"/>
            <w:vAlign w:val="bottom"/>
            <w:tcBorders>
              <w:top w:val="single" w:sz="8" w:color="0000FF"/>
            </w:tcBorders>
            <w:gridSpan w:val="6"/>
          </w:tcPr>
          <w:p>
            <w:pPr>
              <w:spacing w:after="0"/>
              <w:rPr>
                <w:sz w:val="17"/>
                <w:szCs w:val="17"/>
                <w:color w:val="auto"/>
              </w:rPr>
            </w:pPr>
          </w:p>
        </w:tc>
        <w:tc>
          <w:tcPr>
            <w:tcW w:w="1760" w:type="dxa"/>
            <w:vAlign w:val="bottom"/>
            <w:gridSpan w:val="4"/>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40" w:type="dxa"/>
            <w:vAlign w:val="bottom"/>
            <w:gridSpan w:val="26"/>
          </w:tcPr>
          <w:p>
            <w:pPr>
              <w:spacing w:after="0"/>
              <w:rPr>
                <w:sz w:val="20"/>
                <w:szCs w:val="20"/>
                <w:color w:val="auto"/>
              </w:rPr>
            </w:pPr>
            <w:r>
              <w:rPr>
                <w:rFonts w:ascii="Arial" w:cs="Arial" w:eastAsia="Arial" w:hAnsi="Arial"/>
                <w:sz w:val="17"/>
                <w:szCs w:val="17"/>
                <w:color w:val="0000FF"/>
              </w:rPr>
              <w:t>Condensed Consolidated Statements of Changes in Equity (Unaudited)</w:t>
            </w:r>
          </w:p>
        </w:tc>
        <w:tc>
          <w:tcPr>
            <w:tcW w:w="3560" w:type="dxa"/>
            <w:vAlign w:val="bottom"/>
          </w:tcPr>
          <w:p>
            <w:pPr>
              <w:jc w:val="right"/>
              <w:spacing w:after="0"/>
              <w:rPr>
                <w:sz w:val="20"/>
                <w:szCs w:val="20"/>
                <w:color w:val="auto"/>
              </w:rPr>
            </w:pPr>
            <w:r>
              <w:rPr>
                <w:rFonts w:ascii="Arial" w:cs="Arial" w:eastAsia="Arial" w:hAnsi="Arial"/>
                <w:sz w:val="17"/>
                <w:szCs w:val="17"/>
                <w:color w:val="2C2C2C"/>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7"/>
                <w:szCs w:val="17"/>
                <w:color w:val="0000FF"/>
                <w:w w:val="91"/>
              </w:rPr>
              <w:t>Notes to Condensed Consolidated Financial Statements (Unaudited)</w:t>
            </w:r>
          </w:p>
        </w:tc>
        <w:tc>
          <w:tcPr>
            <w:tcW w:w="180" w:type="dxa"/>
            <w:vAlign w:val="bottom"/>
            <w:tcBorders>
              <w:top w:val="single" w:sz="8" w:color="0000FF"/>
            </w:tcBorders>
          </w:tcPr>
          <w:p>
            <w:pPr>
              <w:spacing w:after="0"/>
              <w:rPr>
                <w:sz w:val="18"/>
                <w:szCs w:val="18"/>
                <w:color w:val="auto"/>
              </w:rPr>
            </w:pPr>
          </w:p>
        </w:tc>
        <w:tc>
          <w:tcPr>
            <w:tcW w:w="1300" w:type="dxa"/>
            <w:vAlign w:val="bottom"/>
            <w:gridSpan w:val="2"/>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2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w w:val="91"/>
              </w:rPr>
              <w:t>Note 1: Condensed Consolidated Financial Statements</w:t>
            </w:r>
          </w:p>
        </w:tc>
        <w:tc>
          <w:tcPr>
            <w:tcW w:w="2000" w:type="dxa"/>
            <w:vAlign w:val="bottom"/>
            <w:gridSpan w:val="5"/>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20" w:type="dxa"/>
            <w:vAlign w:val="bottom"/>
            <w:gridSpan w:val="25"/>
          </w:tcPr>
          <w:p>
            <w:pPr>
              <w:spacing w:after="0"/>
              <w:rPr>
                <w:sz w:val="20"/>
                <w:szCs w:val="20"/>
                <w:color w:val="auto"/>
              </w:rPr>
            </w:pPr>
            <w:r>
              <w:rPr>
                <w:rFonts w:ascii="Arial" w:cs="Arial" w:eastAsia="Arial" w:hAnsi="Arial"/>
                <w:sz w:val="17"/>
                <w:szCs w:val="17"/>
                <w:color w:val="0000FF"/>
              </w:rPr>
              <w:t>Note 2: Segment Information</w:t>
            </w:r>
          </w:p>
        </w:tc>
        <w:tc>
          <w:tcPr>
            <w:tcW w:w="3560" w:type="dxa"/>
            <w:vAlign w:val="bottom"/>
          </w:tcPr>
          <w:p>
            <w:pPr>
              <w:jc w:val="right"/>
              <w:spacing w:after="0"/>
              <w:rPr>
                <w:sz w:val="20"/>
                <w:szCs w:val="20"/>
                <w:color w:val="auto"/>
              </w:rPr>
            </w:pPr>
            <w:r>
              <w:rPr>
                <w:rFonts w:ascii="Arial" w:cs="Arial" w:eastAsia="Arial" w:hAnsi="Arial"/>
                <w:sz w:val="17"/>
                <w:szCs w:val="17"/>
                <w:color w:val="2C2C2C"/>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Arial" w:cs="Arial" w:eastAsia="Arial" w:hAnsi="Arial"/>
                <w:sz w:val="17"/>
                <w:szCs w:val="17"/>
                <w:color w:val="0000FF"/>
              </w:rPr>
              <w:t>Note 3: Revenue</w:t>
            </w:r>
          </w:p>
        </w:tc>
        <w:tc>
          <w:tcPr>
            <w:tcW w:w="3780" w:type="dxa"/>
            <w:vAlign w:val="bottom"/>
            <w:gridSpan w:val="15"/>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2"/>
              </w:rPr>
              <w:t>Note 4: Programming and Production Costs</w:t>
            </w:r>
          </w:p>
        </w:tc>
        <w:tc>
          <w:tcPr>
            <w:tcW w:w="2760" w:type="dxa"/>
            <w:vAlign w:val="bottom"/>
            <w:gridSpan w:val="13"/>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20" w:type="dxa"/>
            <w:vAlign w:val="bottom"/>
            <w:gridSpan w:val="25"/>
          </w:tcPr>
          <w:p>
            <w:pPr>
              <w:spacing w:after="0"/>
              <w:rPr>
                <w:sz w:val="20"/>
                <w:szCs w:val="20"/>
                <w:color w:val="auto"/>
              </w:rPr>
            </w:pPr>
            <w:r>
              <w:rPr>
                <w:rFonts w:ascii="Arial" w:cs="Arial" w:eastAsia="Arial" w:hAnsi="Arial"/>
                <w:sz w:val="17"/>
                <w:szCs w:val="17"/>
                <w:color w:val="0000FF"/>
              </w:rPr>
              <w:t>Note 5: Long-Term Debt</w:t>
            </w:r>
          </w:p>
        </w:tc>
        <w:tc>
          <w:tcPr>
            <w:tcW w:w="3560" w:type="dxa"/>
            <w:vAlign w:val="bottom"/>
          </w:tcPr>
          <w:p>
            <w:pPr>
              <w:jc w:val="right"/>
              <w:spacing w:after="0"/>
              <w:rPr>
                <w:sz w:val="20"/>
                <w:szCs w:val="20"/>
                <w:color w:val="auto"/>
              </w:rPr>
            </w:pPr>
            <w:r>
              <w:rPr>
                <w:rFonts w:ascii="Arial" w:cs="Arial" w:eastAsia="Arial" w:hAnsi="Arial"/>
                <w:sz w:val="17"/>
                <w:szCs w:val="17"/>
                <w:color w:val="2C2C2C"/>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2"/>
              </w:rPr>
              <w:t>Note 6: Investments and Variable Interest Entities</w:t>
            </w:r>
          </w:p>
        </w:tc>
        <w:tc>
          <w:tcPr>
            <w:tcW w:w="2360" w:type="dxa"/>
            <w:vAlign w:val="bottom"/>
            <w:gridSpan w:val="9"/>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1"/>
              </w:rPr>
              <w:t>Note 7: Equity and Share-Based Compensation</w:t>
            </w:r>
          </w:p>
        </w:tc>
        <w:tc>
          <w:tcPr>
            <w:tcW w:w="2520" w:type="dxa"/>
            <w:vAlign w:val="bottom"/>
            <w:gridSpan w:val="11"/>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20" w:type="dxa"/>
            <w:vAlign w:val="bottom"/>
            <w:gridSpan w:val="25"/>
          </w:tcPr>
          <w:p>
            <w:pPr>
              <w:spacing w:after="0"/>
              <w:rPr>
                <w:sz w:val="20"/>
                <w:szCs w:val="20"/>
                <w:color w:val="auto"/>
              </w:rPr>
            </w:pPr>
            <w:r>
              <w:rPr>
                <w:rFonts w:ascii="Arial" w:cs="Arial" w:eastAsia="Arial" w:hAnsi="Arial"/>
                <w:sz w:val="17"/>
                <w:szCs w:val="17"/>
                <w:color w:val="0000FF"/>
              </w:rPr>
              <w:t>Note 8: Supplemental Financial Information</w:t>
            </w:r>
          </w:p>
        </w:tc>
        <w:tc>
          <w:tcPr>
            <w:tcW w:w="3560" w:type="dxa"/>
            <w:vAlign w:val="bottom"/>
          </w:tcPr>
          <w:p>
            <w:pPr>
              <w:jc w:val="right"/>
              <w:spacing w:after="0"/>
              <w:rPr>
                <w:sz w:val="20"/>
                <w:szCs w:val="20"/>
                <w:color w:val="auto"/>
              </w:rPr>
            </w:pPr>
            <w:r>
              <w:rPr>
                <w:rFonts w:ascii="Arial" w:cs="Arial" w:eastAsia="Arial" w:hAnsi="Arial"/>
                <w:sz w:val="17"/>
                <w:szCs w:val="17"/>
                <w:color w:val="2C2C2C"/>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Item 2.</w:t>
            </w:r>
          </w:p>
        </w:tc>
        <w:tc>
          <w:tcPr>
            <w:tcW w:w="420" w:type="dxa"/>
            <w:vAlign w:val="bottom"/>
          </w:tcPr>
          <w:p>
            <w:pPr>
              <w:spacing w:after="0"/>
              <w:rPr>
                <w:sz w:val="18"/>
                <w:szCs w:val="18"/>
                <w:color w:val="auto"/>
              </w:rPr>
            </w:pPr>
          </w:p>
        </w:tc>
        <w:tc>
          <w:tcPr>
            <w:tcW w:w="308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w w:val="98"/>
              </w:rPr>
              <w:t>Note 9: Commitments and Contingencies</w:t>
            </w:r>
          </w:p>
        </w:tc>
        <w:tc>
          <w:tcPr>
            <w:tcW w:w="2740" w:type="dxa"/>
            <w:vAlign w:val="bottom"/>
            <w:gridSpan w:val="12"/>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2C2C2C"/>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6240" w:type="dxa"/>
            <w:vAlign w:val="bottom"/>
            <w:tcBorders>
              <w:bottom w:val="single" w:sz="8" w:color="0000FF"/>
            </w:tcBorders>
            <w:gridSpan w:val="26"/>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356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3.</w:t>
            </w:r>
          </w:p>
        </w:tc>
        <w:tc>
          <w:tcPr>
            <w:tcW w:w="422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w w:val="94"/>
              </w:rPr>
              <w:t>Quantitative and Qualitative Disclosures About Market Risk</w:t>
            </w:r>
          </w:p>
        </w:tc>
        <w:tc>
          <w:tcPr>
            <w:tcW w:w="2020" w:type="dxa"/>
            <w:vAlign w:val="bottom"/>
            <w:gridSpan w:val="6"/>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4.</w:t>
            </w:r>
          </w:p>
        </w:tc>
        <w:tc>
          <w:tcPr>
            <w:tcW w:w="6240" w:type="dxa"/>
            <w:vAlign w:val="bottom"/>
            <w:gridSpan w:val="26"/>
          </w:tcPr>
          <w:p>
            <w:pPr>
              <w:spacing w:after="0"/>
              <w:rPr>
                <w:sz w:val="20"/>
                <w:szCs w:val="20"/>
                <w:color w:val="auto"/>
              </w:rPr>
            </w:pPr>
            <w:r>
              <w:rPr>
                <w:rFonts w:ascii="Arial" w:cs="Arial" w:eastAsia="Arial" w:hAnsi="Arial"/>
                <w:sz w:val="17"/>
                <w:szCs w:val="17"/>
                <w:color w:val="0000FF"/>
              </w:rPr>
              <w:t>Controls and Procedures</w:t>
            </w:r>
          </w:p>
        </w:tc>
        <w:tc>
          <w:tcPr>
            <w:tcW w:w="35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b w:val="1"/>
                <w:bCs w:val="1"/>
                <w:color w:val="0000FF"/>
              </w:rPr>
              <w:t>PART II. OTHER INFORMATION</w:t>
            </w:r>
          </w:p>
        </w:tc>
        <w:tc>
          <w:tcPr>
            <w:tcW w:w="4980" w:type="dxa"/>
            <w:vAlign w:val="bottom"/>
            <w:gridSpan w:val="22"/>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w:t>
            </w:r>
          </w:p>
        </w:tc>
        <w:tc>
          <w:tcPr>
            <w:tcW w:w="6240" w:type="dxa"/>
            <w:vAlign w:val="bottom"/>
            <w:gridSpan w:val="26"/>
          </w:tcPr>
          <w:p>
            <w:pPr>
              <w:spacing w:after="0"/>
              <w:rPr>
                <w:sz w:val="20"/>
                <w:szCs w:val="20"/>
                <w:color w:val="auto"/>
              </w:rPr>
            </w:pPr>
            <w:r>
              <w:rPr>
                <w:rFonts w:ascii="Arial" w:cs="Arial" w:eastAsia="Arial" w:hAnsi="Arial"/>
                <w:sz w:val="17"/>
                <w:szCs w:val="17"/>
                <w:color w:val="0000FF"/>
              </w:rPr>
              <w:t>Legal Proceedings</w:t>
            </w:r>
          </w:p>
        </w:tc>
        <w:tc>
          <w:tcPr>
            <w:tcW w:w="35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1A.</w:t>
            </w:r>
          </w:p>
        </w:tc>
        <w:tc>
          <w:tcPr>
            <w:tcW w:w="8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0"/>
              </w:rPr>
              <w:t>Risk Factors</w:t>
            </w:r>
          </w:p>
        </w:tc>
        <w:tc>
          <w:tcPr>
            <w:tcW w:w="400" w:type="dxa"/>
            <w:vAlign w:val="bottom"/>
            <w:tcBorders>
              <w:top w:val="single" w:sz="8" w:color="0000FF"/>
            </w:tcBorders>
            <w:gridSpan w:val="2"/>
          </w:tcPr>
          <w:p>
            <w:pPr>
              <w:spacing w:after="0"/>
              <w:rPr>
                <w:sz w:val="18"/>
                <w:szCs w:val="18"/>
                <w:color w:val="auto"/>
              </w:rPr>
            </w:pPr>
          </w:p>
        </w:tc>
        <w:tc>
          <w:tcPr>
            <w:tcW w:w="4960" w:type="dxa"/>
            <w:vAlign w:val="bottom"/>
            <w:gridSpan w:val="21"/>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2.</w:t>
            </w:r>
          </w:p>
        </w:tc>
        <w:tc>
          <w:tcPr>
            <w:tcW w:w="6240" w:type="dxa"/>
            <w:vAlign w:val="bottom"/>
            <w:gridSpan w:val="26"/>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35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5.</w:t>
            </w:r>
          </w:p>
        </w:tc>
        <w:tc>
          <w:tcPr>
            <w:tcW w:w="4200" w:type="dxa"/>
            <w:vAlign w:val="bottom"/>
            <w:tcBorders>
              <w:top w:val="single" w:sz="8" w:color="0000FF"/>
            </w:tcBorders>
            <w:gridSpan w:val="19"/>
          </w:tcPr>
          <w:p>
            <w:pPr>
              <w:spacing w:after="0"/>
              <w:rPr>
                <w:sz w:val="20"/>
                <w:szCs w:val="20"/>
                <w:color w:val="auto"/>
              </w:rPr>
            </w:pPr>
            <w:r>
              <w:rPr>
                <w:rFonts w:ascii="Arial" w:cs="Arial" w:eastAsia="Arial" w:hAnsi="Arial"/>
                <w:sz w:val="17"/>
                <w:szCs w:val="17"/>
                <w:color w:val="0000FF"/>
              </w:rPr>
              <w:t>Other Information</w:t>
            </w:r>
          </w:p>
        </w:tc>
        <w:tc>
          <w:tcPr>
            <w:tcW w:w="2040" w:type="dxa"/>
            <w:vAlign w:val="bottom"/>
            <w:gridSpan w:val="7"/>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7"/>
                <w:szCs w:val="17"/>
                <w:b w:val="1"/>
                <w:bCs w:val="1"/>
                <w:color w:val="auto"/>
              </w:rPr>
              <w:t>Item 6.</w:t>
            </w:r>
          </w:p>
        </w:tc>
        <w:tc>
          <w:tcPr>
            <w:tcW w:w="126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rPr>
              <w:t>Exhibits</w:t>
            </w:r>
          </w:p>
        </w:tc>
        <w:tc>
          <w:tcPr>
            <w:tcW w:w="4980" w:type="dxa"/>
            <w:vAlign w:val="bottom"/>
            <w:gridSpan w:val="22"/>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2"/>
        </w:trPr>
        <w:tc>
          <w:tcPr>
            <w:tcW w:w="1440" w:type="dxa"/>
            <w:vAlign w:val="bottom"/>
            <w:gridSpan w:val="3"/>
          </w:tcPr>
          <w:p>
            <w:pPr>
              <w:ind w:left="20"/>
              <w:spacing w:after="0"/>
              <w:rPr>
                <w:sz w:val="20"/>
                <w:szCs w:val="20"/>
                <w:color w:val="auto"/>
              </w:rPr>
            </w:pPr>
            <w:r>
              <w:rPr>
                <w:rFonts w:ascii="Arial" w:cs="Arial" w:eastAsia="Arial" w:hAnsi="Arial"/>
                <w:sz w:val="17"/>
                <w:szCs w:val="17"/>
                <w:b w:val="1"/>
                <w:bCs w:val="1"/>
                <w:color w:val="0000FF"/>
              </w:rPr>
              <w:t>SIGNATURES</w:t>
            </w:r>
          </w:p>
        </w:tc>
        <w:tc>
          <w:tcPr>
            <w:tcW w:w="4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Quarterly Report on Form 10-Q is for the three and six months ended June 30, 2023.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528320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 CONCERNING FORWARD-LOOKING STATEMENTS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evaluating forward-looking statements, you should consider various factors, including the risks and uncertainties we describe in the “Risk Factors” sections of our Forms 10-K and 10-Q and other reports we file with the SEC. Any of these factors could cause 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Our businesses may be affected by, among other things, the following:</w:t>
      </w:r>
    </w:p>
    <w:p>
      <w:pPr>
        <w:spacing w:after="0" w:line="66" w:lineRule="exact"/>
        <w:rPr>
          <w:sz w:val="20"/>
          <w:szCs w:val="20"/>
          <w:color w:val="auto"/>
        </w:rPr>
      </w:pPr>
    </w:p>
    <w:p>
      <w:pPr>
        <w:ind w:left="640" w:right="9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operate in highly competitive and dynamic industries, and our businesses and results of operations could be adversely affected if we do not compete effectively</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consumer behavior continue to adversely affect our businesses and challenge existing business models</w:t>
      </w:r>
    </w:p>
    <w:p>
      <w:pPr>
        <w:spacing w:after="0" w:line="66"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decline in advertisers’ expenditures or changes in advertising markets could negatively impact our businesses</w:t>
      </w:r>
    </w:p>
    <w:p>
      <w:pPr>
        <w:spacing w:after="0" w:line="66"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programming expenses for our video services are increasing on a per subscriber basis, which could adversely affect our video businesses</w:t>
      </w:r>
    </w:p>
    <w:p>
      <w:pPr>
        <w:spacing w:after="0" w:line="66" w:lineRule="exact"/>
        <w:rPr>
          <w:rFonts w:ascii="Arial" w:cs="Arial" w:eastAsia="Arial" w:hAnsi="Arial"/>
          <w:sz w:val="17"/>
          <w:szCs w:val="17"/>
          <w:color w:val="auto"/>
        </w:rPr>
      </w:pPr>
    </w:p>
    <w:p>
      <w:pPr>
        <w:ind w:left="640" w:right="9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businesses depends on consumer acceptance of our content, and our businesses may be adversely affected if their content fails to achieve sufficient consumer acceptance</w:t>
      </w:r>
    </w:p>
    <w:p>
      <w:pPr>
        <w:spacing w:after="0" w:line="1" w:lineRule="exact"/>
        <w:rPr>
          <w:rFonts w:ascii="Arial" w:cs="Arial" w:eastAsia="Arial" w:hAnsi="Arial"/>
          <w:sz w:val="17"/>
          <w:szCs w:val="17"/>
          <w:color w:val="auto"/>
        </w:rPr>
      </w:pPr>
    </w:p>
    <w:p>
      <w:pPr>
        <w:ind w:left="640" w:right="9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programming distribution and licensing agreements, or the renewal of these agreements on less favorable terms, could adversely affect our businesses</w:t>
      </w:r>
    </w:p>
    <w:p>
      <w:pPr>
        <w:spacing w:after="0" w:line="1" w:lineRule="exact"/>
        <w:rPr>
          <w:rFonts w:ascii="Arial" w:cs="Arial" w:eastAsia="Arial" w:hAnsi="Arial"/>
          <w:sz w:val="17"/>
          <w:szCs w:val="17"/>
          <w:color w:val="auto"/>
        </w:rPr>
      </w:pPr>
    </w:p>
    <w:p>
      <w:pPr>
        <w:ind w:left="640" w:right="940" w:hanging="321"/>
        <w:spacing w:after="0" w:line="30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European telecommunications access regulations, the loss of international transmission access agreements with satellite or telecommunications providers or the renewal of these agreements on less favorable terms could adversely affect our businesses</w:t>
      </w:r>
    </w:p>
    <w:p>
      <w:pPr>
        <w:ind w:left="640" w:right="9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obtain necessary hardware, software and operational support</w:t>
      </w:r>
    </w:p>
    <w:p>
      <w:pPr>
        <w:spacing w:after="0" w:line="66"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keeping pace with technological developments</w:t>
      </w:r>
    </w:p>
    <w:p>
      <w:pPr>
        <w:spacing w:after="0" w:line="66" w:lineRule="exact"/>
        <w:rPr>
          <w:rFonts w:ascii="Arial" w:cs="Arial" w:eastAsia="Arial" w:hAnsi="Arial"/>
          <w:sz w:val="17"/>
          <w:szCs w:val="17"/>
          <w:color w:val="auto"/>
        </w:rPr>
      </w:pPr>
    </w:p>
    <w:p>
      <w:pPr>
        <w:jc w:val="both"/>
        <w:ind w:left="640" w:right="940" w:hanging="321"/>
        <w:spacing w:after="0" w:line="272"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5"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weak economic conditions may have a negative impact on our businesses</w:t>
      </w:r>
    </w:p>
    <w:p>
      <w:pPr>
        <w:spacing w:after="0" w:line="66" w:lineRule="exact"/>
        <w:rPr>
          <w:rFonts w:ascii="Arial" w:cs="Arial" w:eastAsia="Arial" w:hAnsi="Arial"/>
          <w:sz w:val="17"/>
          <w:szCs w:val="17"/>
          <w:color w:val="auto"/>
        </w:rPr>
      </w:pPr>
    </w:p>
    <w:p>
      <w:pPr>
        <w:ind w:left="640" w:right="9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acquisitions and other strategic initiatives present many risks, and we may not realize the financial and strategic goals that we had contemplated</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risks relating to doing business internationally that could adversely affect our businesses</w:t>
      </w:r>
    </w:p>
    <w:p>
      <w:pPr>
        <w:spacing w:after="0" w:line="66"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natural disasters, severe weather and other uncontrollable events could adversely affect our business, reputation and results of operations</w:t>
      </w:r>
    </w:p>
    <w:p>
      <w:pPr>
        <w:spacing w:after="0" w:line="66"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management personnel or popular on-air and creative talent could have an adverse effect on our businesses</w:t>
      </w:r>
    </w:p>
    <w:p>
      <w:pPr>
        <w:spacing w:after="0" w:line="66" w:lineRule="exact"/>
        <w:rPr>
          <w:rFonts w:ascii="Arial" w:cs="Arial" w:eastAsia="Arial" w:hAnsi="Arial"/>
          <w:sz w:val="17"/>
          <w:szCs w:val="17"/>
          <w:color w:val="auto"/>
        </w:rPr>
      </w:pPr>
    </w:p>
    <w:p>
      <w:pPr>
        <w:ind w:left="640" w:right="9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1" w:lineRule="exact"/>
        <w:rPr>
          <w:rFonts w:ascii="Arial" w:cs="Arial" w:eastAsia="Arial" w:hAnsi="Arial"/>
          <w:sz w:val="17"/>
          <w:szCs w:val="17"/>
          <w:color w:val="auto"/>
        </w:rPr>
      </w:pPr>
    </w:p>
    <w:p>
      <w:pPr>
        <w:ind w:left="640" w:right="94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3" w:name="page4"/>
    <w:bookmarkEnd w:id="3"/>
    <w:p>
      <w:pPr>
        <w:ind w:left="321" w:hanging="321"/>
        <w:spacing w:after="0"/>
        <w:tabs>
          <w:tab w:leader="none" w:pos="321" w:val="left"/>
        </w:tabs>
        <w:numPr>
          <w:ilvl w:val="0"/>
          <w:numId w:val="4"/>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77" w:lineRule="exact"/>
        <w:rPr>
          <w:rFonts w:ascii="Arial" w:cs="Arial" w:eastAsia="Arial" w:hAnsi="Arial"/>
          <w:sz w:val="16"/>
          <w:szCs w:val="16"/>
          <w:color w:val="auto"/>
        </w:rPr>
      </w:pPr>
    </w:p>
    <w:p>
      <w:pPr>
        <w:ind w:left="321" w:hanging="321"/>
        <w:spacing w:after="0" w:line="321" w:lineRule="auto"/>
        <w:tabs>
          <w:tab w:leader="none" w:pos="321"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729615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981"/>
          </w:cols>
          <w:pgMar w:left="639" w:top="1278" w:right="12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right"/>
              <w:ind w:right="293"/>
              <w:spacing w:after="0"/>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gridSpan w:val="2"/>
          </w:tcPr>
          <w:p>
            <w:pPr>
              <w:jc w:val="right"/>
              <w:ind w:right="273"/>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1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2022</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30,513</w:t>
            </w:r>
          </w:p>
        </w:tc>
        <w:tc>
          <w:tcPr>
            <w:tcW w:w="6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30,016</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60,205</w:t>
            </w:r>
          </w:p>
        </w:tc>
        <w:tc>
          <w:tcPr>
            <w:tcW w:w="5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61,026</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8,849</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8,887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17,853</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19,457</w:t>
            </w:r>
          </w:p>
        </w:tc>
        <w:tc>
          <w:tcPr>
            <w:tcW w:w="0" w:type="dxa"/>
            <w:vAlign w:val="bottom"/>
          </w:tcPr>
          <w:p>
            <w:pPr>
              <w:spacing w:after="0"/>
              <w:rPr>
                <w:sz w:val="1"/>
                <w:szCs w:val="1"/>
                <w:color w:val="auto"/>
              </w:rPr>
            </w:pPr>
          </w:p>
        </w:tc>
      </w:tr>
      <w:tr>
        <w:trPr>
          <w:trHeight w:val="229"/>
        </w:trPr>
        <w:tc>
          <w:tcPr>
            <w:tcW w:w="5180" w:type="dxa"/>
            <w:vAlign w:val="bottom"/>
          </w:tcPr>
          <w:p>
            <w:pPr>
              <w:ind w:left="340"/>
              <w:spacing w:after="0"/>
              <w:rPr>
                <w:sz w:val="20"/>
                <w:szCs w:val="20"/>
                <w:color w:val="auto"/>
              </w:rPr>
            </w:pPr>
            <w:r>
              <w:rPr>
                <w:rFonts w:ascii="Arial" w:cs="Arial" w:eastAsia="Arial" w:hAnsi="Arial"/>
                <w:sz w:val="17"/>
                <w:szCs w:val="17"/>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2,100</w:t>
            </w:r>
          </w:p>
        </w:tc>
        <w:tc>
          <w:tcPr>
            <w:tcW w:w="62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2,196</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4,063</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4,258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9,317</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9,098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18,618</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18,358</w:t>
            </w:r>
          </w:p>
        </w:tc>
        <w:tc>
          <w:tcPr>
            <w:tcW w:w="0" w:type="dxa"/>
            <w:vAlign w:val="bottom"/>
          </w:tcPr>
          <w:p>
            <w:pPr>
              <w:spacing w:after="0"/>
              <w:rPr>
                <w:sz w:val="1"/>
                <w:szCs w:val="1"/>
                <w:color w:val="auto"/>
              </w:rPr>
            </w:pPr>
          </w:p>
        </w:tc>
      </w:tr>
      <w:tr>
        <w:trPr>
          <w:trHeight w:val="222"/>
        </w:trPr>
        <w:tc>
          <w:tcPr>
            <w:tcW w:w="518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2,195</w:t>
            </w:r>
          </w:p>
        </w:tc>
        <w:tc>
          <w:tcPr>
            <w:tcW w:w="62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2,162</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4,459</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4,375</w:t>
            </w:r>
          </w:p>
        </w:tc>
        <w:tc>
          <w:tcPr>
            <w:tcW w:w="0" w:type="dxa"/>
            <w:vAlign w:val="bottom"/>
          </w:tcPr>
          <w:p>
            <w:pPr>
              <w:spacing w:after="0"/>
              <w:rPr>
                <w:sz w:val="1"/>
                <w:szCs w:val="1"/>
                <w:color w:val="auto"/>
              </w:rPr>
            </w:pPr>
          </w:p>
        </w:tc>
      </w:tr>
      <w:tr>
        <w:trPr>
          <w:trHeight w:val="222"/>
        </w:trPr>
        <w:tc>
          <w:tcPr>
            <w:tcW w:w="51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1,343</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1,306</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2,856</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2,641</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23,804</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23,649</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47,849</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49,089</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6,709</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6,367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12,355</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11,936</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(998)</w:t>
            </w:r>
          </w:p>
        </w:tc>
        <w:tc>
          <w:tcPr>
            <w:tcW w:w="6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(968)</w:t>
            </w:r>
          </w:p>
        </w:tc>
        <w:tc>
          <w:tcPr>
            <w:tcW w:w="4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(2,007)</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(1,962)</w:t>
            </w:r>
          </w:p>
        </w:tc>
        <w:tc>
          <w:tcPr>
            <w:tcW w:w="0" w:type="dxa"/>
            <w:vAlign w:val="bottom"/>
          </w:tcPr>
          <w:p>
            <w:pPr>
              <w:spacing w:after="0"/>
              <w:rPr>
                <w:sz w:val="1"/>
                <w:szCs w:val="1"/>
                <w:color w:val="auto"/>
              </w:rPr>
            </w:pPr>
          </w:p>
        </w:tc>
      </w:tr>
      <w:tr>
        <w:trPr>
          <w:trHeight w:val="222"/>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15</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(897)</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622</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5,726</w:t>
            </w:r>
          </w:p>
        </w:tc>
        <w:tc>
          <w:tcPr>
            <w:tcW w:w="62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4,502</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10,970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9,266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(1,537)</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(1,261)</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(3,013)</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(2,548)</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4,189</w:t>
            </w:r>
          </w:p>
        </w:tc>
        <w:tc>
          <w:tcPr>
            <w:tcW w:w="62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color w:val="auto"/>
              </w:rPr>
              <w:t>3,241</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7,957</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6,717</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(59)</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(155)</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(126)</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2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attributable to Comcast Corporation</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4,248</w:t>
            </w:r>
          </w:p>
        </w:tc>
        <w:tc>
          <w:tcPr>
            <w:tcW w:w="6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3,396</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8,082</w:t>
            </w:r>
          </w:p>
        </w:tc>
        <w:tc>
          <w:tcPr>
            <w:tcW w:w="5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6,945</w:t>
            </w:r>
          </w:p>
        </w:tc>
        <w:tc>
          <w:tcPr>
            <w:tcW w:w="0" w:type="dxa"/>
            <w:vAlign w:val="bottom"/>
          </w:tcPr>
          <w:p>
            <w:pPr>
              <w:spacing w:after="0"/>
              <w:rPr>
                <w:sz w:val="1"/>
                <w:szCs w:val="1"/>
                <w:color w:val="auto"/>
              </w:rPr>
            </w:pPr>
          </w:p>
        </w:tc>
      </w:tr>
      <w:tr>
        <w:trPr>
          <w:trHeight w:val="170"/>
        </w:trPr>
        <w:tc>
          <w:tcPr>
            <w:tcW w:w="51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b w:val="1"/>
                <w:bCs w:val="1"/>
                <w:color w:val="auto"/>
              </w:rPr>
              <w:t>Basic earnings per common share attributable to Comcast</w:t>
            </w: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14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1.02</w:t>
            </w:r>
          </w:p>
        </w:tc>
        <w:tc>
          <w:tcPr>
            <w:tcW w:w="620" w:type="dxa"/>
            <w:vAlign w:val="bottom"/>
            <w:vMerge w:val="restart"/>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0.76</w:t>
            </w:r>
          </w:p>
        </w:tc>
        <w:tc>
          <w:tcPr>
            <w:tcW w:w="44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1.93</w:t>
            </w:r>
          </w:p>
        </w:tc>
        <w:tc>
          <w:tcPr>
            <w:tcW w:w="580" w:type="dxa"/>
            <w:vAlign w:val="bottom"/>
            <w:vMerge w:val="restart"/>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1.55</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Corporation shareholders</w:t>
            </w:r>
          </w:p>
        </w:tc>
        <w:tc>
          <w:tcPr>
            <w:tcW w:w="3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18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Diluted earnings per common share attributable to Comcast</w:t>
            </w:r>
          </w:p>
        </w:tc>
        <w:tc>
          <w:tcPr>
            <w:tcW w:w="32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14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1.02</w:t>
            </w:r>
          </w:p>
        </w:tc>
        <w:tc>
          <w:tcPr>
            <w:tcW w:w="620" w:type="dxa"/>
            <w:vAlign w:val="bottom"/>
            <w:vMerge w:val="restart"/>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0.76</w:t>
            </w:r>
          </w:p>
        </w:tc>
        <w:tc>
          <w:tcPr>
            <w:tcW w:w="44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1.92</w:t>
            </w:r>
          </w:p>
        </w:tc>
        <w:tc>
          <w:tcPr>
            <w:tcW w:w="580" w:type="dxa"/>
            <w:vAlign w:val="bottom"/>
            <w:vMerge w:val="restart"/>
          </w:tcPr>
          <w:p>
            <w:pPr>
              <w:jc w:val="right"/>
              <w:ind w:right="293"/>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1.54</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Corporation shareholders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w w:val="96"/>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2"/>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4,189</w:t>
            </w:r>
          </w:p>
        </w:tc>
        <w:tc>
          <w:tcPr>
            <w:tcW w:w="6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3,241</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7,957</w:t>
            </w:r>
          </w:p>
        </w:tc>
        <w:tc>
          <w:tcPr>
            <w:tcW w:w="6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6,717</w:t>
            </w: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line="171" w:lineRule="exact"/>
              <w:rPr>
                <w:sz w:val="20"/>
                <w:szCs w:val="20"/>
                <w:color w:val="auto"/>
              </w:rPr>
            </w:pPr>
            <w:r>
              <w:rPr>
                <w:rFonts w:ascii="Arial" w:cs="Arial" w:eastAsia="Arial" w:hAnsi="Arial"/>
                <w:sz w:val="17"/>
                <w:szCs w:val="17"/>
                <w:color w:val="auto"/>
                <w:w w:val="93"/>
              </w:rPr>
              <w:t>Currency translation adjustments, net of deferred taxes of $(20), $42,</w:t>
            </w:r>
          </w:p>
        </w:tc>
        <w:tc>
          <w:tcPr>
            <w:tcW w:w="340" w:type="dxa"/>
            <w:vAlign w:val="bottom"/>
          </w:tcPr>
          <w:p>
            <w:pPr>
              <w:spacing w:after="0"/>
              <w:rPr>
                <w:sz w:val="14"/>
                <w:szCs w:val="14"/>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7"/>
                <w:szCs w:val="17"/>
                <w:color w:val="auto"/>
              </w:rPr>
              <w:t>490</w:t>
            </w:r>
          </w:p>
        </w:tc>
        <w:tc>
          <w:tcPr>
            <w:tcW w:w="640" w:type="dxa"/>
            <w:vAlign w:val="bottom"/>
          </w:tcPr>
          <w:p>
            <w:pPr>
              <w:spacing w:after="0"/>
              <w:rPr>
                <w:sz w:val="14"/>
                <w:szCs w:val="14"/>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7"/>
                <w:szCs w:val="17"/>
                <w:color w:val="auto"/>
              </w:rPr>
              <w:t>(2,957)</w:t>
            </w:r>
          </w:p>
        </w:tc>
        <w:tc>
          <w:tcPr>
            <w:tcW w:w="440" w:type="dxa"/>
            <w:vAlign w:val="bottom"/>
          </w:tcPr>
          <w:p>
            <w:pPr>
              <w:spacing w:after="0"/>
              <w:rPr>
                <w:sz w:val="14"/>
                <w:szCs w:val="14"/>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7"/>
                <w:szCs w:val="17"/>
                <w:color w:val="auto"/>
              </w:rPr>
              <w:t>1,268</w:t>
            </w:r>
          </w:p>
        </w:tc>
        <w:tc>
          <w:tcPr>
            <w:tcW w:w="6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(3,873)</w:t>
            </w:r>
          </w:p>
        </w:tc>
        <w:tc>
          <w:tcPr>
            <w:tcW w:w="0" w:type="dxa"/>
            <w:vAlign w:val="bottom"/>
          </w:tcPr>
          <w:p>
            <w:pPr>
              <w:spacing w:after="0"/>
              <w:rPr>
                <w:sz w:val="1"/>
                <w:szCs w:val="1"/>
                <w:color w:val="auto"/>
              </w:rPr>
            </w:pPr>
          </w:p>
        </w:tc>
      </w:tr>
      <w:tr>
        <w:trPr>
          <w:trHeight w:val="228"/>
        </w:trPr>
        <w:tc>
          <w:tcPr>
            <w:tcW w:w="4920" w:type="dxa"/>
            <w:vAlign w:val="bottom"/>
          </w:tcPr>
          <w:p>
            <w:pPr>
              <w:ind w:left="180"/>
              <w:spacing w:after="0"/>
              <w:rPr>
                <w:sz w:val="20"/>
                <w:szCs w:val="20"/>
                <w:color w:val="auto"/>
              </w:rPr>
            </w:pPr>
            <w:r>
              <w:rPr>
                <w:rFonts w:ascii="Arial" w:cs="Arial" w:eastAsia="Arial" w:hAnsi="Arial"/>
                <w:sz w:val="17"/>
                <w:szCs w:val="17"/>
                <w:color w:val="auto"/>
              </w:rPr>
              <w:t>$(22) and $289</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180"/>
              <w:spacing w:after="0" w:line="171" w:lineRule="exact"/>
              <w:rPr>
                <w:sz w:val="20"/>
                <w:szCs w:val="20"/>
                <w:color w:val="auto"/>
              </w:rPr>
            </w:pPr>
            <w:r>
              <w:rPr>
                <w:rFonts w:ascii="Arial" w:cs="Arial" w:eastAsia="Arial" w:hAnsi="Arial"/>
                <w:sz w:val="17"/>
                <w:szCs w:val="17"/>
                <w:color w:val="auto"/>
                <w:w w:val="93"/>
              </w:rPr>
              <w:t>Deferred gains (losses), net of deferred taxes of $14, $(1), $23 and</w:t>
            </w:r>
          </w:p>
        </w:tc>
        <w:tc>
          <w:tcPr>
            <w:tcW w:w="340" w:type="dxa"/>
            <w:vAlign w:val="bottom"/>
          </w:tcPr>
          <w:p>
            <w:pPr>
              <w:spacing w:after="0"/>
              <w:rPr>
                <w:sz w:val="14"/>
                <w:szCs w:val="14"/>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7"/>
                <w:szCs w:val="17"/>
                <w:color w:val="auto"/>
              </w:rPr>
              <w:t>(7)</w:t>
            </w:r>
          </w:p>
        </w:tc>
        <w:tc>
          <w:tcPr>
            <w:tcW w:w="640" w:type="dxa"/>
            <w:vAlign w:val="bottom"/>
          </w:tcPr>
          <w:p>
            <w:pPr>
              <w:spacing w:after="0"/>
              <w:rPr>
                <w:sz w:val="14"/>
                <w:szCs w:val="14"/>
                <w:color w:val="auto"/>
              </w:rPr>
            </w:pPr>
          </w:p>
        </w:tc>
        <w:tc>
          <w:tcPr>
            <w:tcW w:w="1000" w:type="dxa"/>
            <w:vAlign w:val="bottom"/>
            <w:vMerge w:val="restart"/>
          </w:tcPr>
          <w:p>
            <w:pPr>
              <w:jc w:val="right"/>
              <w:ind w:right="95"/>
              <w:spacing w:after="0"/>
              <w:rPr>
                <w:sz w:val="20"/>
                <w:szCs w:val="20"/>
                <w:color w:val="auto"/>
              </w:rPr>
            </w:pPr>
            <w:r>
              <w:rPr>
                <w:rFonts w:ascii="Arial" w:cs="Arial" w:eastAsia="Arial" w:hAnsi="Arial"/>
                <w:sz w:val="17"/>
                <w:szCs w:val="17"/>
                <w:color w:val="auto"/>
              </w:rPr>
              <w:t>129</w:t>
            </w:r>
          </w:p>
        </w:tc>
        <w:tc>
          <w:tcPr>
            <w:tcW w:w="440" w:type="dxa"/>
            <w:vAlign w:val="bottom"/>
          </w:tcPr>
          <w:p>
            <w:pPr>
              <w:spacing w:after="0"/>
              <w:rPr>
                <w:sz w:val="14"/>
                <w:szCs w:val="14"/>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7"/>
                <w:szCs w:val="17"/>
                <w:color w:val="auto"/>
              </w:rPr>
              <w:t>(22)</w:t>
            </w:r>
          </w:p>
        </w:tc>
        <w:tc>
          <w:tcPr>
            <w:tcW w:w="6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28"/>
        </w:trPr>
        <w:tc>
          <w:tcPr>
            <w:tcW w:w="4920" w:type="dxa"/>
            <w:vAlign w:val="bottom"/>
          </w:tcPr>
          <w:p>
            <w:pPr>
              <w:ind w:left="340"/>
              <w:spacing w:after="0"/>
              <w:rPr>
                <w:sz w:val="20"/>
                <w:szCs w:val="20"/>
                <w:color w:val="auto"/>
              </w:rPr>
            </w:pPr>
            <w:r>
              <w:rPr>
                <w:rFonts w:ascii="Arial" w:cs="Arial" w:eastAsia="Arial" w:hAnsi="Arial"/>
                <w:sz w:val="17"/>
                <w:szCs w:val="17"/>
                <w:color w:val="auto"/>
              </w:rPr>
              <w:t>$(38)</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ind w:left="180"/>
              <w:spacing w:after="0" w:line="177" w:lineRule="exact"/>
              <w:rPr>
                <w:sz w:val="20"/>
                <w:szCs w:val="20"/>
                <w:color w:val="auto"/>
              </w:rPr>
            </w:pPr>
            <w:r>
              <w:rPr>
                <w:rFonts w:ascii="Arial" w:cs="Arial" w:eastAsia="Arial" w:hAnsi="Arial"/>
                <w:sz w:val="17"/>
                <w:szCs w:val="17"/>
                <w:color w:val="auto"/>
                <w:w w:val="95"/>
              </w:rPr>
              <w:t>Realized (gains) losses reclassified to net income, net of deferred</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(50)</w:t>
            </w:r>
          </w:p>
        </w:tc>
        <w:tc>
          <w:tcPr>
            <w:tcW w:w="6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c>
          <w:tcPr>
            <w:tcW w:w="4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(97)</w:t>
            </w:r>
          </w:p>
        </w:tc>
        <w:tc>
          <w:tcPr>
            <w:tcW w:w="6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2"/>
        </w:trPr>
        <w:tc>
          <w:tcPr>
            <w:tcW w:w="4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taxes of $8, $(11), $16 and $(16)</w:t>
            </w: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920" w:type="dxa"/>
            <w:vAlign w:val="bottom"/>
          </w:tcPr>
          <w:p>
            <w:pPr>
              <w:ind w:left="20"/>
              <w:spacing w:after="0" w:line="184" w:lineRule="exact"/>
              <w:rPr>
                <w:sz w:val="20"/>
                <w:szCs w:val="20"/>
                <w:color w:val="auto"/>
              </w:rPr>
            </w:pPr>
            <w:r>
              <w:rPr>
                <w:rFonts w:ascii="Arial" w:cs="Arial" w:eastAsia="Arial" w:hAnsi="Arial"/>
                <w:sz w:val="17"/>
                <w:szCs w:val="17"/>
                <w:color w:val="auto"/>
                <w:w w:val="96"/>
              </w:rPr>
              <w:t>Employee benefit obligations and other, net of deferred taxes of $1,</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$2, $3 and $5</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4,619</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356</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9,096</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(59)</w:t>
            </w:r>
          </w:p>
        </w:tc>
        <w:tc>
          <w:tcPr>
            <w:tcW w:w="6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(155)</w:t>
            </w:r>
          </w:p>
        </w:tc>
        <w:tc>
          <w:tcPr>
            <w:tcW w:w="4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(126)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Less: Other comprehensive income (loss) attributable to</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(36)</w:t>
            </w:r>
          </w:p>
        </w:tc>
        <w:tc>
          <w:tcPr>
            <w:tcW w:w="6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(41)</w:t>
            </w:r>
          </w:p>
        </w:tc>
        <w:tc>
          <w:tcPr>
            <w:tcW w:w="4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7"/>
                <w:szCs w:val="17"/>
                <w:color w:val="auto"/>
              </w:rPr>
              <w:t>(39)</w:t>
            </w:r>
          </w:p>
        </w:tc>
        <w:tc>
          <w:tcPr>
            <w:tcW w:w="6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Comprehensive income attributable to Comcast Corporation</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4,714</w:t>
            </w:r>
          </w:p>
        </w:tc>
        <w:tc>
          <w:tcPr>
            <w:tcW w:w="6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552</w:t>
            </w:r>
          </w:p>
        </w:tc>
        <w:tc>
          <w:tcPr>
            <w:tcW w:w="4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9,261</w:t>
            </w:r>
          </w:p>
        </w:tc>
        <w:tc>
          <w:tcPr>
            <w:tcW w:w="6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3,295</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9"/>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189"/>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2022</w:t>
            </w:r>
          </w:p>
        </w:tc>
      </w:tr>
      <w:tr>
        <w:trPr>
          <w:trHeight w:val="22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2"/>
        </w:trPr>
        <w:tc>
          <w:tcPr>
            <w:tcW w:w="81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7,957</w:t>
            </w:r>
          </w:p>
        </w:tc>
        <w:tc>
          <w:tcPr>
            <w:tcW w:w="6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6,717</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2"/>
        </w:trPr>
        <w:tc>
          <w:tcPr>
            <w:tcW w:w="816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7,315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7,016</w:t>
            </w:r>
          </w:p>
        </w:tc>
      </w:tr>
      <w:tr>
        <w:trPr>
          <w:trHeight w:val="223"/>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Share-based compensation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668</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r>
      <w:tr>
        <w:trPr>
          <w:trHeight w:val="229"/>
        </w:trPr>
        <w:tc>
          <w:tcPr>
            <w:tcW w:w="8160" w:type="dxa"/>
            <w:vAlign w:val="bottom"/>
          </w:tcPr>
          <w:p>
            <w:pPr>
              <w:ind w:left="340"/>
              <w:spacing w:after="0"/>
              <w:rPr>
                <w:sz w:val="20"/>
                <w:szCs w:val="20"/>
                <w:color w:val="auto"/>
              </w:rPr>
            </w:pPr>
            <w:r>
              <w:rPr>
                <w:rFonts w:ascii="Arial" w:cs="Arial" w:eastAsia="Arial" w:hAnsi="Arial"/>
                <w:sz w:val="17"/>
                <w:szCs w:val="17"/>
                <w:color w:val="auto"/>
              </w:rPr>
              <w:t>Noncash interest expense (income), net</w:t>
            </w:r>
          </w:p>
        </w:tc>
        <w:tc>
          <w:tcPr>
            <w:tcW w:w="34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140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w:t>
            </w:r>
          </w:p>
        </w:tc>
      </w:tr>
      <w:tr>
        <w:trPr>
          <w:trHeight w:val="229"/>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(354)</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r>
      <w:tr>
        <w:trPr>
          <w:trHeight w:val="222"/>
        </w:trPr>
        <w:tc>
          <w:tcPr>
            <w:tcW w:w="8160" w:type="dxa"/>
            <w:vAlign w:val="bottom"/>
          </w:tcPr>
          <w:p>
            <w:pPr>
              <w:ind w:left="340"/>
              <w:spacing w:after="0"/>
              <w:rPr>
                <w:sz w:val="20"/>
                <w:szCs w:val="20"/>
                <w:color w:val="auto"/>
              </w:rPr>
            </w:pPr>
            <w:r>
              <w:rPr>
                <w:rFonts w:ascii="Arial" w:cs="Arial" w:eastAsia="Arial" w:hAnsi="Arial"/>
                <w:sz w:val="17"/>
                <w:szCs w:val="17"/>
                <w:color w:val="auto"/>
              </w:rPr>
              <w:t>Deferred income taxes</w:t>
            </w:r>
          </w:p>
        </w:tc>
        <w:tc>
          <w:tcPr>
            <w:tcW w:w="34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296</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 net of effects of acquisitions and divestitures: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2"/>
        </w:trPr>
        <w:tc>
          <w:tcPr>
            <w:tcW w:w="8160" w:type="dxa"/>
            <w:vAlign w:val="bottom"/>
          </w:tcPr>
          <w:p>
            <w:pPr>
              <w:ind w:left="340"/>
              <w:spacing w:after="0"/>
              <w:rPr>
                <w:sz w:val="20"/>
                <w:szCs w:val="20"/>
                <w:color w:val="auto"/>
              </w:rPr>
            </w:pPr>
            <w:r>
              <w:rPr>
                <w:rFonts w:ascii="Arial" w:cs="Arial" w:eastAsia="Arial" w:hAnsi="Arial"/>
                <w:sz w:val="17"/>
                <w:szCs w:val="17"/>
                <w:color w:val="auto"/>
              </w:rPr>
              <w:t>Current and noncurrent receivables, net</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(92)</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(338)</w:t>
            </w:r>
          </w:p>
        </w:tc>
      </w:tr>
      <w:tr>
        <w:trPr>
          <w:trHeight w:val="223"/>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Film and television costs,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58</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r>
      <w:tr>
        <w:trPr>
          <w:trHeight w:val="229"/>
        </w:trPr>
        <w:tc>
          <w:tcPr>
            <w:tcW w:w="8160" w:type="dxa"/>
            <w:vAlign w:val="bottom"/>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(718)</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9"/>
        </w:trPr>
        <w:tc>
          <w:tcPr>
            <w:tcW w:w="8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(843)</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(2,214)</w:t>
            </w:r>
          </w:p>
        </w:tc>
      </w:tr>
      <w:tr>
        <w:trPr>
          <w:trHeight w:val="216"/>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14,426</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13,584</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2"/>
        </w:trPr>
        <w:tc>
          <w:tcPr>
            <w:tcW w:w="816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(5,627)</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(4,270)</w:t>
            </w:r>
          </w:p>
        </w:tc>
      </w:tr>
      <w:tr>
        <w:trPr>
          <w:trHeight w:val="223"/>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paid for intangible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(1,577)</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r>
      <w:tr>
        <w:trPr>
          <w:trHeight w:val="229"/>
        </w:trPr>
        <w:tc>
          <w:tcPr>
            <w:tcW w:w="8160" w:type="dxa"/>
            <w:vAlign w:val="bottom"/>
          </w:tcPr>
          <w:p>
            <w:pPr>
              <w:ind w:left="340"/>
              <w:spacing w:after="0"/>
              <w:rPr>
                <w:sz w:val="20"/>
                <w:szCs w:val="20"/>
                <w:color w:val="auto"/>
              </w:rPr>
            </w:pPr>
            <w:r>
              <w:rPr>
                <w:rFonts w:ascii="Arial" w:cs="Arial" w:eastAsia="Arial" w:hAnsi="Arial"/>
                <w:sz w:val="17"/>
                <w:szCs w:val="17"/>
                <w:color w:val="auto"/>
              </w:rPr>
              <w:t>Construction of Universal Beijing Resort</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(104)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29"/>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sales of businesses and investments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369</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22"/>
        </w:trPr>
        <w:tc>
          <w:tcPr>
            <w:tcW w:w="8160" w:type="dxa"/>
            <w:vAlign w:val="bottom"/>
          </w:tcPr>
          <w:p>
            <w:pPr>
              <w:ind w:left="340"/>
              <w:spacing w:after="0"/>
              <w:rPr>
                <w:sz w:val="20"/>
                <w:szCs w:val="20"/>
                <w:color w:val="auto"/>
              </w:rPr>
            </w:pPr>
            <w:r>
              <w:rPr>
                <w:rFonts w:ascii="Arial" w:cs="Arial" w:eastAsia="Arial" w:hAnsi="Arial"/>
                <w:sz w:val="17"/>
                <w:szCs w:val="17"/>
                <w:color w:val="auto"/>
              </w:rPr>
              <w:t>Purchases of investments</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(593)</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(1,164)</w:t>
            </w:r>
          </w:p>
        </w:tc>
      </w:tr>
      <w:tr>
        <w:trPr>
          <w:trHeight w:val="229"/>
        </w:trPr>
        <w:tc>
          <w:tcPr>
            <w:tcW w:w="8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6</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22"/>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(7,528)</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(6,792)</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160" w:type="dxa"/>
            <w:vAlign w:val="bottom"/>
          </w:tcPr>
          <w:p>
            <w:pPr>
              <w:ind w:left="340"/>
              <w:spacing w:after="0"/>
              <w:rPr>
                <w:sz w:val="20"/>
                <w:szCs w:val="20"/>
                <w:color w:val="auto"/>
              </w:rPr>
            </w:pPr>
            <w:r>
              <w:rPr>
                <w:rFonts w:ascii="Arial" w:cs="Arial" w:eastAsia="Arial" w:hAnsi="Arial"/>
                <w:sz w:val="17"/>
                <w:szCs w:val="17"/>
                <w:color w:val="auto"/>
              </w:rPr>
              <w:t>Proceeds from (repayments of) short-term borrowings, net</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(660)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borrowings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6,044</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22"/>
        </w:trPr>
        <w:tc>
          <w:tcPr>
            <w:tcW w:w="8160" w:type="dxa"/>
            <w:vAlign w:val="bottom"/>
          </w:tcPr>
          <w:p>
            <w:pPr>
              <w:ind w:left="340"/>
              <w:spacing w:after="0"/>
              <w:rPr>
                <w:sz w:val="20"/>
                <w:szCs w:val="20"/>
                <w:color w:val="auto"/>
              </w:rPr>
            </w:pPr>
            <w:r>
              <w:rPr>
                <w:rFonts w:ascii="Arial" w:cs="Arial" w:eastAsia="Arial" w:hAnsi="Arial"/>
                <w:sz w:val="17"/>
                <w:szCs w:val="17"/>
                <w:color w:val="auto"/>
              </w:rPr>
              <w:t>Repurchases and repayments of debt</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(3,001)</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(254)</w:t>
            </w:r>
          </w:p>
        </w:tc>
      </w:tr>
      <w:tr>
        <w:trPr>
          <w:trHeight w:val="223"/>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(4,227)</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(6,288)</w:t>
            </w:r>
          </w:p>
        </w:tc>
      </w:tr>
      <w:tr>
        <w:trPr>
          <w:trHeight w:val="229"/>
        </w:trPr>
        <w:tc>
          <w:tcPr>
            <w:tcW w:w="8160" w:type="dxa"/>
            <w:vAlign w:val="bottom"/>
          </w:tcPr>
          <w:p>
            <w:pPr>
              <w:ind w:left="340"/>
              <w:spacing w:after="0"/>
              <w:rPr>
                <w:sz w:val="20"/>
                <w:szCs w:val="20"/>
                <w:color w:val="auto"/>
              </w:rPr>
            </w:pPr>
            <w:r>
              <w:rPr>
                <w:rFonts w:ascii="Arial" w:cs="Arial" w:eastAsia="Arial" w:hAnsi="Arial"/>
                <w:sz w:val="17"/>
                <w:szCs w:val="17"/>
                <w:color w:val="auto"/>
              </w:rPr>
              <w:t>Dividends paid</w:t>
            </w:r>
          </w:p>
        </w:tc>
        <w:tc>
          <w:tcPr>
            <w:tcW w:w="34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(2,387)</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(2,377)</w:t>
            </w:r>
          </w:p>
        </w:tc>
      </w:tr>
      <w:tr>
        <w:trPr>
          <w:trHeight w:val="229"/>
        </w:trPr>
        <w:tc>
          <w:tcPr>
            <w:tcW w:w="8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(260)</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16"/>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(4,492)</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(8,636)</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of foreign currency on cash, cash equivalents and restricted cash</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22"/>
        </w:trPr>
        <w:tc>
          <w:tcPr>
            <w:tcW w:w="8160" w:type="dxa"/>
            <w:vAlign w:val="bottom"/>
          </w:tcPr>
          <w:p>
            <w:pPr>
              <w:ind w:left="20"/>
              <w:spacing w:after="0"/>
              <w:rPr>
                <w:sz w:val="20"/>
                <w:szCs w:val="20"/>
                <w:color w:val="auto"/>
              </w:rPr>
            </w:pPr>
            <w:r>
              <w:rPr>
                <w:rFonts w:ascii="Arial" w:cs="Arial" w:eastAsia="Arial" w:hAnsi="Arial"/>
                <w:sz w:val="17"/>
                <w:szCs w:val="17"/>
                <w:color w:val="auto"/>
              </w:rPr>
              <w:t>Increase (decrease) in cash, cash equivalents and restricted cash</w:t>
            </w:r>
          </w:p>
        </w:tc>
        <w:tc>
          <w:tcPr>
            <w:tcW w:w="34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2,420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(1,920)</w:t>
            </w:r>
          </w:p>
        </w:tc>
      </w:tr>
      <w:tr>
        <w:trPr>
          <w:trHeight w:val="222"/>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4,782</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8,778</w:t>
            </w:r>
          </w:p>
        </w:tc>
      </w:tr>
      <w:tr>
        <w:trPr>
          <w:trHeight w:val="235"/>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7,202</w:t>
            </w:r>
          </w:p>
        </w:tc>
        <w:tc>
          <w:tcPr>
            <w:tcW w:w="6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6,859</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20"/>
              <w:spacing w:after="0"/>
              <w:rPr>
                <w:sz w:val="20"/>
                <w:szCs w:val="20"/>
                <w:color w:val="auto"/>
              </w:rPr>
            </w:pPr>
            <w:r>
              <w:rPr>
                <w:rFonts w:ascii="Arial" w:cs="Arial" w:eastAsia="Arial" w:hAnsi="Arial"/>
                <w:sz w:val="14"/>
                <w:szCs w:val="14"/>
                <w:color w:val="auto"/>
              </w:rPr>
              <w:t>(in millions, except share data)</w:t>
            </w:r>
          </w:p>
        </w:tc>
        <w:tc>
          <w:tcPr>
            <w:tcW w:w="460" w:type="dxa"/>
            <w:vAlign w:val="bottom"/>
          </w:tcPr>
          <w:p>
            <w:pPr>
              <w:spacing w:after="0"/>
              <w:rPr>
                <w:sz w:val="14"/>
                <w:szCs w:val="14"/>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4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7,146</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w:t>
            </w:r>
          </w:p>
        </w:tc>
        <w:tc>
          <w:tcPr>
            <w:tcW w:w="0" w:type="dxa"/>
            <w:vAlign w:val="bottom"/>
          </w:tcPr>
          <w:p>
            <w:pPr>
              <w:spacing w:after="0"/>
              <w:rPr>
                <w:sz w:val="1"/>
                <w:szCs w:val="1"/>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12,980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12,672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4,796</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4,406</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24,922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21,826</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Film and television costs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12,641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7,761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7,250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securing collateralized obligation</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480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of $57,955 and $56,939</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56,851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55,485</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59,042</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58,494</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rPr>
                <w:sz w:val="20"/>
                <w:szCs w:val="20"/>
                <w:color w:val="auto"/>
              </w:rPr>
            </w:pPr>
            <w:r>
              <w:rPr>
                <w:rFonts w:ascii="Arial" w:cs="Arial" w:eastAsia="Arial" w:hAnsi="Arial"/>
                <w:sz w:val="17"/>
                <w:szCs w:val="17"/>
                <w:color w:val="auto"/>
              </w:rPr>
              <w:t>Franchise rights</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59,365</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assets, net of accumulated amortization of $28,411 and $25,860</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28,761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29,308</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noncurrent assets, net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12,323</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12,497</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4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262,147</w:t>
            </w: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257,275</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rPr>
              <w:t>Accounts payable and accrued expenses related to trade creditors</w:t>
            </w:r>
          </w:p>
        </w:tc>
        <w:tc>
          <w:tcPr>
            <w:tcW w:w="4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12,213</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12,544</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participations and residuals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1,812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29"/>
        </w:trPr>
        <w:tc>
          <w:tcPr>
            <w:tcW w:w="8000" w:type="dxa"/>
            <w:vAlign w:val="bottom"/>
          </w:tcPr>
          <w:p>
            <w:pPr>
              <w:ind w:left="340"/>
              <w:spacing w:after="0"/>
              <w:rPr>
                <w:sz w:val="20"/>
                <w:szCs w:val="20"/>
                <w:color w:val="auto"/>
              </w:rPr>
            </w:pPr>
            <w:r>
              <w:rPr>
                <w:rFonts w:ascii="Arial" w:cs="Arial" w:eastAsia="Arial" w:hAnsi="Arial"/>
                <w:sz w:val="17"/>
                <w:szCs w:val="17"/>
                <w:color w:val="auto"/>
              </w:rPr>
              <w:t>Deferred revenue</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3,327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2,380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7,876</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9,450</w:t>
            </w:r>
          </w:p>
        </w:tc>
        <w:tc>
          <w:tcPr>
            <w:tcW w:w="0" w:type="dxa"/>
            <w:vAlign w:val="bottom"/>
          </w:tcPr>
          <w:p>
            <w:pPr>
              <w:spacing w:after="0"/>
              <w:rPr>
                <w:sz w:val="1"/>
                <w:szCs w:val="1"/>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rPr>
              <w:t>Current portion of long-term debt</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2,524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1,743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Collateralized obligation</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5,173</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32,925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27,887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94,972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93,068</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7"/>
                <w:szCs w:val="17"/>
                <w:color w:val="auto"/>
              </w:rPr>
              <w:t>Collateralized obligation</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5,172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29,052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28,714</w:t>
            </w:r>
          </w:p>
        </w:tc>
        <w:tc>
          <w:tcPr>
            <w:tcW w:w="0" w:type="dxa"/>
            <w:vAlign w:val="bottom"/>
          </w:tcPr>
          <w:p>
            <w:pPr>
              <w:spacing w:after="0"/>
              <w:rPr>
                <w:sz w:val="1"/>
                <w:szCs w:val="1"/>
                <w:color w:val="auto"/>
              </w:rPr>
            </w:pPr>
          </w:p>
        </w:tc>
      </w:tr>
      <w:tr>
        <w:trPr>
          <w:trHeight w:val="222"/>
        </w:trPr>
        <w:tc>
          <w:tcPr>
            <w:tcW w:w="800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20,280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20,395</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7"/>
                <w:szCs w:val="17"/>
                <w:color w:val="auto"/>
              </w:rPr>
              <w:t>Redeemable noncontrolling interests</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239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rPr>
              <w:t>Preferred stock—authorized, 20,000,000 shares; issued, zero</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4"/>
        </w:trPr>
        <w:tc>
          <w:tcPr>
            <w:tcW w:w="8000" w:type="dxa"/>
            <w:vAlign w:val="bottom"/>
            <w:shd w:val="clear" w:color="auto" w:fill="CCEEFF"/>
          </w:tcPr>
          <w:p>
            <w:pPr>
              <w:ind w:left="340"/>
              <w:spacing w:after="0" w:line="184" w:lineRule="exact"/>
              <w:rPr>
                <w:sz w:val="20"/>
                <w:szCs w:val="20"/>
                <w:color w:val="auto"/>
              </w:rPr>
            </w:pPr>
            <w:r>
              <w:rPr>
                <w:rFonts w:ascii="Arial" w:cs="Arial" w:eastAsia="Arial" w:hAnsi="Arial"/>
                <w:sz w:val="17"/>
                <w:szCs w:val="17"/>
                <w:color w:val="auto"/>
                <w:w w:val="97"/>
              </w:rPr>
              <w:t>Class A common stock, $0.01 par value—authorized, 7,500,000,000 shares; issued, 4,995,591,433 and</w:t>
            </w: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5,083,466,045; outstanding, 4,122,800,405 and 4,210,675,017</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w w:val="93"/>
              </w:rPr>
              <w:t>Class B common stock, $0.01 par value—authorized, 75,000,000 shares; issued and outstanding, 9,444,375</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39,118</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39,412</w:t>
            </w:r>
          </w:p>
        </w:tc>
        <w:tc>
          <w:tcPr>
            <w:tcW w:w="0" w:type="dxa"/>
            <w:vAlign w:val="bottom"/>
          </w:tcPr>
          <w:p>
            <w:pPr>
              <w:spacing w:after="0"/>
              <w:rPr>
                <w:sz w:val="1"/>
                <w:szCs w:val="1"/>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46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53,900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51,609</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Treasury stock, 872,791,028 Class A common shares</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(7,517)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Accumulated other comprehensive income (loss)</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(1,432)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w:t>
            </w: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Comcast Corporation shareholders’ equity</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84,119</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80,943</w:t>
            </w:r>
          </w:p>
        </w:tc>
        <w:tc>
          <w:tcPr>
            <w:tcW w:w="0" w:type="dxa"/>
            <w:vAlign w:val="bottom"/>
          </w:tcPr>
          <w:p>
            <w:pPr>
              <w:spacing w:after="0"/>
              <w:rPr>
                <w:sz w:val="1"/>
                <w:szCs w:val="1"/>
                <w:color w:val="auto"/>
              </w:rPr>
            </w:pPr>
          </w:p>
        </w:tc>
      </w:tr>
      <w:tr>
        <w:trPr>
          <w:trHeight w:val="222"/>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Noncontrolling interests</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559</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0" w:type="dxa"/>
            <w:vAlign w:val="bottom"/>
          </w:tcPr>
          <w:p>
            <w:pPr>
              <w:spacing w:after="0"/>
              <w:rPr>
                <w:sz w:val="1"/>
                <w:szCs w:val="1"/>
                <w:color w:val="auto"/>
              </w:rPr>
            </w:pPr>
          </w:p>
        </w:tc>
      </w:tr>
      <w:tr>
        <w:trPr>
          <w:trHeight w:val="222"/>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84,679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81,627</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4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262,147</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257,275</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853"/>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422</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513</w:t>
            </w:r>
          </w:p>
        </w:tc>
        <w:tc>
          <w:tcPr>
            <w:tcW w:w="4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411</w:t>
            </w:r>
          </w:p>
        </w:tc>
        <w:tc>
          <w:tcPr>
            <w:tcW w:w="56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w:t>
            </w: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(171)</w:t>
            </w:r>
          </w:p>
        </w:tc>
        <w:tc>
          <w:tcPr>
            <w:tcW w:w="40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(171)</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8</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79"/>
        </w:trPr>
        <w:tc>
          <w:tcPr>
            <w:tcW w:w="530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w:t>
            </w: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513</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w:t>
            </w: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513</w:t>
            </w:r>
          </w:p>
        </w:tc>
        <w:tc>
          <w:tcPr>
            <w:tcW w:w="0" w:type="dxa"/>
            <w:vAlign w:val="bottom"/>
          </w:tcPr>
          <w:p>
            <w:pPr>
              <w:spacing w:after="0"/>
              <w:rPr>
                <w:sz w:val="1"/>
                <w:szCs w:val="1"/>
                <w:color w:val="auto"/>
              </w:rPr>
            </w:pPr>
          </w:p>
        </w:tc>
      </w:tr>
      <w:tr>
        <w:trPr>
          <w:trHeight w:val="222"/>
        </w:trPr>
        <w:tc>
          <w:tcPr>
            <w:tcW w:w="530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Class A Common Stock</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53</w:t>
            </w:r>
          </w:p>
        </w:tc>
        <w:tc>
          <w:tcPr>
            <w:tcW w:w="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4"/>
        </w:trPr>
        <w:tc>
          <w:tcPr>
            <w:tcW w:w="5300" w:type="dxa"/>
            <w:vAlign w:val="bottom"/>
          </w:tcPr>
          <w:p>
            <w:pPr>
              <w:ind w:left="220"/>
              <w:spacing w:after="0" w:line="184" w:lineRule="exact"/>
              <w:rPr>
                <w:sz w:val="20"/>
                <w:szCs w:val="20"/>
                <w:color w:val="auto"/>
              </w:rPr>
            </w:pPr>
            <w:r>
              <w:rPr>
                <w:rFonts w:ascii="Arial" w:cs="Arial" w:eastAsia="Arial" w:hAnsi="Arial"/>
                <w:sz w:val="17"/>
                <w:szCs w:val="17"/>
                <w:color w:val="auto"/>
                <w:w w:val="96"/>
              </w:rPr>
              <w:t>Issuances (repurchases) of common stock under repurchase program</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and employee plans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5"/>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53</w:t>
            </w:r>
          </w:p>
        </w:tc>
        <w:tc>
          <w:tcPr>
            <w:tcW w:w="4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w:t>
            </w:r>
          </w:p>
        </w:tc>
        <w:tc>
          <w:tcPr>
            <w:tcW w:w="0" w:type="dxa"/>
            <w:vAlign w:val="bottom"/>
          </w:tcPr>
          <w:p>
            <w:pPr>
              <w:spacing w:after="0"/>
              <w:rPr>
                <w:sz w:val="1"/>
                <w:szCs w:val="1"/>
                <w:color w:val="auto"/>
              </w:rPr>
            </w:pPr>
          </w:p>
        </w:tc>
      </w:tr>
      <w:tr>
        <w:trPr>
          <w:trHeight w:val="36"/>
        </w:trPr>
        <w:tc>
          <w:tcPr>
            <w:tcW w:w="5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39,262</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39,926</w:t>
            </w:r>
          </w:p>
        </w:tc>
        <w:tc>
          <w:tcPr>
            <w:tcW w:w="4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39,412</w:t>
            </w:r>
          </w:p>
        </w:tc>
        <w:tc>
          <w:tcPr>
            <w:tcW w:w="56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40,173</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235</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184"/>
        </w:trPr>
        <w:tc>
          <w:tcPr>
            <w:tcW w:w="5300" w:type="dxa"/>
            <w:vAlign w:val="bottom"/>
          </w:tcPr>
          <w:p>
            <w:pPr>
              <w:ind w:left="220"/>
              <w:spacing w:after="0" w:line="184" w:lineRule="exact"/>
              <w:rPr>
                <w:sz w:val="20"/>
                <w:szCs w:val="20"/>
                <w:color w:val="auto"/>
              </w:rPr>
            </w:pPr>
            <w:r>
              <w:rPr>
                <w:rFonts w:ascii="Arial" w:cs="Arial" w:eastAsia="Arial" w:hAnsi="Arial"/>
                <w:sz w:val="17"/>
                <w:szCs w:val="17"/>
                <w:color w:val="auto"/>
                <w:w w:val="91"/>
              </w:rPr>
              <w:t>Repurchases of common stock under repurchase program and employee</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380"/>
              <w:spacing w:after="0"/>
              <w:rPr>
                <w:sz w:val="20"/>
                <w:szCs w:val="20"/>
                <w:color w:val="auto"/>
              </w:rPr>
            </w:pPr>
            <w:r>
              <w:rPr>
                <w:rFonts w:ascii="Arial" w:cs="Arial" w:eastAsia="Arial" w:hAnsi="Arial"/>
                <w:sz w:val="17"/>
                <w:szCs w:val="17"/>
                <w:color w:val="auto"/>
              </w:rPr>
              <w:t>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(386)</w:t>
            </w:r>
          </w:p>
        </w:tc>
        <w:tc>
          <w:tcPr>
            <w:tcW w:w="4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7"/>
                <w:szCs w:val="17"/>
                <w:color w:val="auto"/>
              </w:rPr>
              <w:t>(481)</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(907)</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Issuances of common stock under employee plans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83</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88</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39,118</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39,852</w:t>
            </w:r>
          </w:p>
        </w:tc>
        <w:tc>
          <w:tcPr>
            <w:tcW w:w="4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39,118</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39,852</w:t>
            </w:r>
          </w:p>
        </w:tc>
        <w:tc>
          <w:tcPr>
            <w:tcW w:w="0" w:type="dxa"/>
            <w:vAlign w:val="bottom"/>
          </w:tcPr>
          <w:p>
            <w:pPr>
              <w:spacing w:after="0"/>
              <w:rPr>
                <w:sz w:val="1"/>
                <w:szCs w:val="1"/>
                <w:color w:val="auto"/>
              </w:rPr>
            </w:pPr>
          </w:p>
        </w:tc>
      </w:tr>
      <w:tr>
        <w:trPr>
          <w:trHeight w:val="32"/>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Retained Earnings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52,524</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61,555</w:t>
            </w:r>
          </w:p>
        </w:tc>
        <w:tc>
          <w:tcPr>
            <w:tcW w:w="4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51,609</w:t>
            </w:r>
          </w:p>
        </w:tc>
        <w:tc>
          <w:tcPr>
            <w:tcW w:w="56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61,902</w:t>
            </w:r>
          </w:p>
        </w:tc>
        <w:tc>
          <w:tcPr>
            <w:tcW w:w="0" w:type="dxa"/>
            <w:vAlign w:val="bottom"/>
          </w:tcPr>
          <w:p>
            <w:pPr>
              <w:spacing w:after="0"/>
              <w:rPr>
                <w:sz w:val="1"/>
                <w:szCs w:val="1"/>
                <w:color w:val="auto"/>
              </w:rPr>
            </w:pPr>
          </w:p>
        </w:tc>
      </w:tr>
      <w:tr>
        <w:trPr>
          <w:trHeight w:val="171"/>
        </w:trPr>
        <w:tc>
          <w:tcPr>
            <w:tcW w:w="5300" w:type="dxa"/>
            <w:vAlign w:val="bottom"/>
            <w:shd w:val="clear" w:color="auto" w:fill="CCEEFF"/>
          </w:tcPr>
          <w:p>
            <w:pPr>
              <w:ind w:left="220"/>
              <w:spacing w:after="0" w:line="171" w:lineRule="exact"/>
              <w:rPr>
                <w:sz w:val="20"/>
                <w:szCs w:val="20"/>
                <w:color w:val="auto"/>
              </w:rPr>
            </w:pPr>
            <w:r>
              <w:rPr>
                <w:rFonts w:ascii="Arial" w:cs="Arial" w:eastAsia="Arial" w:hAnsi="Arial"/>
                <w:sz w:val="17"/>
                <w:szCs w:val="17"/>
                <w:color w:val="auto"/>
                <w:w w:val="91"/>
              </w:rPr>
              <w:t>Repurchases of common stock under repurchase program and employee</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(1,664)</w:t>
            </w:r>
          </w:p>
        </w:tc>
        <w:tc>
          <w:tcPr>
            <w:tcW w:w="4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(2,540)</w:t>
            </w: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(3,352)</w:t>
            </w:r>
          </w:p>
        </w:tc>
        <w:tc>
          <w:tcPr>
            <w:tcW w:w="5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(5,210)</w:t>
            </w:r>
          </w:p>
        </w:tc>
        <w:tc>
          <w:tcPr>
            <w:tcW w:w="0" w:type="dxa"/>
            <w:vAlign w:val="bottom"/>
          </w:tcPr>
          <w:p>
            <w:pPr>
              <w:spacing w:after="0"/>
              <w:rPr>
                <w:sz w:val="1"/>
                <w:szCs w:val="1"/>
                <w:color w:val="auto"/>
              </w:rPr>
            </w:pPr>
          </w:p>
        </w:tc>
      </w:tr>
      <w:tr>
        <w:trPr>
          <w:trHeight w:val="235"/>
        </w:trPr>
        <w:tc>
          <w:tcPr>
            <w:tcW w:w="53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plans</w:t>
            </w:r>
          </w:p>
        </w:tc>
        <w:tc>
          <w:tcPr>
            <w:tcW w:w="3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7"/>
                <w:szCs w:val="17"/>
                <w:color w:val="auto"/>
              </w:rPr>
              <w:t>Dividends declared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(1,208)</w:t>
            </w:r>
          </w:p>
        </w:tc>
        <w:tc>
          <w:tcPr>
            <w:tcW w:w="4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7"/>
                <w:szCs w:val="17"/>
                <w:color w:val="auto"/>
              </w:rPr>
              <w:t>(1,203)</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(2,439)</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(2,428)</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4,248</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3,396</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8,082</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6,945</w:t>
            </w:r>
          </w:p>
        </w:tc>
        <w:tc>
          <w:tcPr>
            <w:tcW w:w="0" w:type="dxa"/>
            <w:vAlign w:val="bottom"/>
          </w:tcPr>
          <w:p>
            <w:pPr>
              <w:spacing w:after="0"/>
              <w:rPr>
                <w:sz w:val="1"/>
                <w:szCs w:val="1"/>
                <w:color w:val="auto"/>
              </w:rPr>
            </w:pPr>
          </w:p>
        </w:tc>
      </w:tr>
      <w:tr>
        <w:trPr>
          <w:trHeight w:val="266"/>
        </w:trPr>
        <w:tc>
          <w:tcPr>
            <w:tcW w:w="530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53,900</w:t>
            </w: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61,209</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53,900</w:t>
            </w: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61,209</w:t>
            </w:r>
          </w:p>
        </w:tc>
        <w:tc>
          <w:tcPr>
            <w:tcW w:w="0" w:type="dxa"/>
            <w:vAlign w:val="bottom"/>
          </w:tcPr>
          <w:p>
            <w:pPr>
              <w:spacing w:after="0"/>
              <w:rPr>
                <w:sz w:val="1"/>
                <w:szCs w:val="1"/>
                <w:color w:val="auto"/>
              </w:rPr>
            </w:pPr>
          </w:p>
        </w:tc>
      </w:tr>
      <w:tr>
        <w:trPr>
          <w:trHeight w:val="222"/>
        </w:trPr>
        <w:tc>
          <w:tcPr>
            <w:tcW w:w="530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(7,517)</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(7,517)</w:t>
            </w:r>
          </w:p>
        </w:tc>
        <w:tc>
          <w:tcPr>
            <w:tcW w:w="4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(7,517)</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(7,517)</w:t>
            </w:r>
          </w:p>
        </w:tc>
        <w:tc>
          <w:tcPr>
            <w:tcW w:w="0" w:type="dxa"/>
            <w:vAlign w:val="bottom"/>
          </w:tcPr>
          <w:p>
            <w:pPr>
              <w:spacing w:after="0"/>
              <w:rPr>
                <w:sz w:val="1"/>
                <w:szCs w:val="1"/>
                <w:color w:val="auto"/>
              </w:rPr>
            </w:pPr>
          </w:p>
        </w:tc>
      </w:tr>
      <w:tr>
        <w:trPr>
          <w:trHeight w:val="273"/>
        </w:trPr>
        <w:tc>
          <w:tcPr>
            <w:tcW w:w="530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(7,517)</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(7,517)</w:t>
            </w:r>
          </w:p>
        </w:tc>
        <w:tc>
          <w:tcPr>
            <w:tcW w:w="0" w:type="dxa"/>
            <w:vAlign w:val="bottom"/>
          </w:tcPr>
          <w:p>
            <w:pPr>
              <w:spacing w:after="0"/>
              <w:rPr>
                <w:sz w:val="1"/>
                <w:szCs w:val="1"/>
                <w:color w:val="auto"/>
              </w:rPr>
            </w:pPr>
          </w:p>
        </w:tc>
      </w:tr>
      <w:tr>
        <w:trPr>
          <w:trHeight w:val="222"/>
        </w:trPr>
        <w:tc>
          <w:tcPr>
            <w:tcW w:w="530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Accumulated Other Comprehensive Income (Loss)</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674</w:t>
            </w:r>
          </w:p>
        </w:tc>
        <w:tc>
          <w:tcPr>
            <w:tcW w:w="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w:t>
            </w: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(2,844)</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(1,432)</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(2,170)</w:t>
            </w:r>
          </w:p>
        </w:tc>
        <w:tc>
          <w:tcPr>
            <w:tcW w:w="4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(1,432)</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(2,170)</w:t>
            </w:r>
          </w:p>
        </w:tc>
        <w:tc>
          <w:tcPr>
            <w:tcW w:w="0" w:type="dxa"/>
            <w:vAlign w:val="bottom"/>
          </w:tcPr>
          <w:p>
            <w:pPr>
              <w:spacing w:after="0"/>
              <w:rPr>
                <w:sz w:val="1"/>
                <w:szCs w:val="1"/>
                <w:color w:val="auto"/>
              </w:rPr>
            </w:pPr>
          </w:p>
        </w:tc>
      </w:tr>
      <w:tr>
        <w:trPr>
          <w:trHeight w:val="32"/>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7"/>
                <w:szCs w:val="17"/>
                <w:color w:val="auto"/>
              </w:rPr>
              <w:t>Balance, beginning of period</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612</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1,300</w:t>
            </w:r>
          </w:p>
        </w:tc>
        <w:tc>
          <w:tcPr>
            <w:tcW w:w="4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684</w:t>
            </w:r>
          </w:p>
        </w:tc>
        <w:tc>
          <w:tcPr>
            <w:tcW w:w="560" w:type="dxa"/>
            <w:vAlign w:val="bottom"/>
          </w:tcPr>
          <w:p>
            <w:pPr>
              <w:jc w:val="right"/>
              <w:ind w:right="3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(41)</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40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35</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(163)</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Balance,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559</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1,132</w:t>
            </w:r>
          </w:p>
        </w:tc>
        <w:tc>
          <w:tcPr>
            <w:tcW w:w="4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559</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1,132</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equity</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84,679</w:t>
            </w: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92,558</w:t>
            </w:r>
          </w:p>
        </w:tc>
        <w:tc>
          <w:tcPr>
            <w:tcW w:w="4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84,679</w:t>
            </w: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92,558</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dividends declared per common share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0.29</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0.27</w:t>
            </w:r>
          </w:p>
        </w:tc>
        <w:tc>
          <w:tcPr>
            <w:tcW w:w="4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0.58</w:t>
            </w: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0.54</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84" w:lineRule="exact"/>
        <w:rPr>
          <w:sz w:val="20"/>
          <w:szCs w:val="20"/>
          <w:color w:val="auto"/>
        </w:rPr>
      </w:pPr>
    </w:p>
    <w:p>
      <w:pPr>
        <w:ind w:right="4420"/>
        <w:spacing w:after="0" w:line="298" w:lineRule="auto"/>
        <w:rPr>
          <w:sz w:val="20"/>
          <w:szCs w:val="20"/>
          <w:color w:val="auto"/>
        </w:rPr>
      </w:pPr>
      <w:r>
        <w:rPr>
          <w:rFonts w:ascii="Arial" w:cs="Arial" w:eastAsia="Arial" w:hAnsi="Arial"/>
          <w:sz w:val="21"/>
          <w:szCs w:val="21"/>
          <w:b w:val="1"/>
          <w:bCs w:val="1"/>
          <w:color w:val="auto"/>
        </w:rPr>
        <w:t>NOTES TO CONDENSED CONSOLIDATED FINANCIAL STATEMENTS (Unaudited)</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0"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The year-end condensed consolidated balance sheets were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2022 Annual Report on Form 10-K and the notes within this Quarterly Report on Form 10-Q.</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Reclassifications have been made to our notes to condensed consolidated financial statements for the prior year periods to conform to classifications used in 2023. See Note 2 for a discussion of the changes in our presentation of segment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Segment Information</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Beginning in the first quarter of 2023, we changed our presentation of segment operating results around our two primary businesses: Connectivity &amp; Platforms and Content &amp; Experiences.</w:t>
      </w:r>
    </w:p>
    <w:p>
      <w:pPr>
        <w:spacing w:after="0" w:line="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Connectivity &amp; Platforms: </w:t>
      </w:r>
      <w:r>
        <w:rPr>
          <w:rFonts w:ascii="Arial" w:cs="Arial" w:eastAsia="Arial" w:hAnsi="Arial"/>
          <w:sz w:val="17"/>
          <w:szCs w:val="17"/>
          <w:color w:val="auto"/>
        </w:rPr>
        <w:t>Contains our broadband and wireless connectivity businesses operated under the Xfinity and Comcast brands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under the Sky brand in certain territories in Europe (the “Connectivity &amp; Platforms markets”). Also includes our video services businesses and the operations of our Sky-branded entertainment television channels in the Connectivity &amp; Platforms markets. Our Connectivity &amp; Platforms business is reported in two reportable business segments:</w:t>
      </w:r>
    </w:p>
    <w:p>
      <w:pPr>
        <w:spacing w:after="0" w:line="62" w:lineRule="exact"/>
        <w:rPr>
          <w:sz w:val="20"/>
          <w:szCs w:val="20"/>
          <w:color w:val="auto"/>
        </w:rPr>
      </w:pPr>
    </w:p>
    <w:p>
      <w:pPr>
        <w:jc w:val="both"/>
        <w:ind w:left="640" w:hanging="321"/>
        <w:spacing w:after="0" w:line="276"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Residential Connectivity &amp; Platforms Segment: </w:t>
      </w:r>
      <w:r>
        <w:rPr>
          <w:rFonts w:ascii="Arial" w:cs="Arial" w:eastAsia="Arial" w:hAnsi="Arial"/>
          <w:sz w:val="17"/>
          <w:szCs w:val="17"/>
          <w:color w:val="auto"/>
        </w:rPr>
        <w:t>Includes our residential broadband and wireless connectivity services, residential and business video</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advertising sales and Sky channels. Revenue is generated primarily from customers that subscribe to our services and from the sale of advertising and wireless devices.</w:t>
      </w:r>
    </w:p>
    <w:p>
      <w:pPr>
        <w:spacing w:after="0" w:line="58" w:lineRule="exact"/>
        <w:rPr>
          <w:rFonts w:ascii="Arial" w:cs="Arial" w:eastAsia="Arial" w:hAnsi="Arial"/>
          <w:sz w:val="17"/>
          <w:szCs w:val="17"/>
          <w:color w:val="auto"/>
        </w:rPr>
      </w:pPr>
    </w:p>
    <w:p>
      <w:pPr>
        <w:jc w:val="both"/>
        <w:ind w:left="640" w:hanging="321"/>
        <w:spacing w:after="0" w:line="30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Business Services Connectivity Segment: </w:t>
      </w:r>
      <w:r>
        <w:rPr>
          <w:rFonts w:ascii="Arial" w:cs="Arial" w:eastAsia="Arial" w:hAnsi="Arial"/>
          <w:sz w:val="16"/>
          <w:szCs w:val="16"/>
          <w:color w:val="auto"/>
        </w:rPr>
        <w:t>Includes our connectivity services for small business locations in the United States, which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broadband, voice and wireless services, as well as our solutions for medium-sized customers and larger enterprises, and our small business connectivity service offerings for international locations. Revenue is generated primarily from customers that subscribe to our services.</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Content &amp; Experiences: </w:t>
      </w:r>
      <w:r>
        <w:rPr>
          <w:rFonts w:ascii="Arial" w:cs="Arial" w:eastAsia="Arial" w:hAnsi="Arial"/>
          <w:sz w:val="17"/>
          <w:szCs w:val="17"/>
          <w:color w:val="auto"/>
        </w:rPr>
        <w:t>Contains our media and entertainment businesses that develop, produce, and distribute entertainment, news and information, sports,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content for global audiences and that own and operate theme parks in the United States and Asia. Our Content &amp; Experiences business is reported in three reportable business segments:</w:t>
      </w:r>
    </w:p>
    <w:p>
      <w:pPr>
        <w:spacing w:after="0" w:line="58" w:lineRule="exact"/>
        <w:rPr>
          <w:sz w:val="20"/>
          <w:szCs w:val="20"/>
          <w:color w:val="auto"/>
        </w:rPr>
      </w:pPr>
    </w:p>
    <w:p>
      <w:pPr>
        <w:jc w:val="both"/>
        <w:ind w:left="640" w:hanging="321"/>
        <w:spacing w:after="0" w:line="266"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Media Segment: </w:t>
      </w:r>
      <w:r>
        <w:rPr>
          <w:rFonts w:ascii="Arial" w:cs="Arial" w:eastAsia="Arial" w:hAnsi="Arial"/>
          <w:sz w:val="17"/>
          <w:szCs w:val="17"/>
          <w:color w:val="auto"/>
        </w:rPr>
        <w:t>Includes primarily NBCUniversal’s television and streaming business, including national and regional cable networks; the NBC and</w:t>
      </w:r>
      <w:r>
        <w:rPr>
          <w:rFonts w:ascii="Arial" w:cs="Arial" w:eastAsia="Arial" w:hAnsi="Arial"/>
          <w:sz w:val="17"/>
          <w:szCs w:val="17"/>
          <w:b w:val="1"/>
          <w:bCs w:val="1"/>
          <w:color w:val="auto"/>
        </w:rPr>
        <w:t xml:space="preserve"> </w:t>
      </w:r>
      <w:r>
        <w:rPr>
          <w:rFonts w:ascii="Arial" w:cs="Arial" w:eastAsia="Arial" w:hAnsi="Arial"/>
          <w:sz w:val="17"/>
          <w:szCs w:val="17"/>
          <w:color w:val="auto"/>
        </w:rPr>
        <w:t>Telemundo broadcast networks; NBC and Telemundo owned local broadcast television stations; and Peacock, our direct-to-consumer streaming service. Also includes international networks, including most of the Sky Sports channels, and other digital properties. Revenue is generated primarily from the distribution of our television and streaming programming and from the sale of advertising on our television networks, Peacock and other digital properties.</w:t>
      </w:r>
    </w:p>
    <w:p>
      <w:pPr>
        <w:spacing w:after="0" w:line="68" w:lineRule="exact"/>
        <w:rPr>
          <w:rFonts w:ascii="Arial" w:cs="Arial" w:eastAsia="Arial" w:hAnsi="Arial"/>
          <w:sz w:val="17"/>
          <w:szCs w:val="17"/>
          <w:color w:val="auto"/>
        </w:rPr>
      </w:pPr>
    </w:p>
    <w:p>
      <w:pPr>
        <w:jc w:val="both"/>
        <w:ind w:left="640" w:hanging="321"/>
        <w:spacing w:after="0" w:line="276"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Studios Segment: </w:t>
      </w:r>
      <w:r>
        <w:rPr>
          <w:rFonts w:ascii="Arial" w:cs="Arial" w:eastAsia="Arial" w:hAnsi="Arial"/>
          <w:sz w:val="17"/>
          <w:szCs w:val="17"/>
          <w:color w:val="auto"/>
        </w:rPr>
        <w:t>Includes primarily our NBCUniversal and Sky film and television studio production and distribution operations. Revenue is</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primarily from licensing our owned film and television content in the United States and internationally; and from the worldwide distribution of our produced and acquired films for exhibition in movie theaters.</w:t>
      </w:r>
    </w:p>
    <w:p>
      <w:pPr>
        <w:spacing w:after="0" w:line="58"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Theme Parks Segment: </w:t>
      </w:r>
      <w:r>
        <w:rPr>
          <w:rFonts w:ascii="Arial" w:cs="Arial" w:eastAsia="Arial" w:hAnsi="Arial"/>
          <w:sz w:val="17"/>
          <w:szCs w:val="17"/>
          <w:color w:val="auto"/>
        </w:rPr>
        <w:t>Includes primarily the operations of our Universal theme parks in Orlando, Florida; Hollywood, California; Osaka, Japan; and</w:t>
      </w:r>
      <w:r>
        <w:rPr>
          <w:rFonts w:ascii="Arial" w:cs="Arial" w:eastAsia="Arial" w:hAnsi="Arial"/>
          <w:sz w:val="17"/>
          <w:szCs w:val="17"/>
          <w:b w:val="1"/>
          <w:bCs w:val="1"/>
          <w:color w:val="auto"/>
        </w:rPr>
        <w:t xml:space="preserve"> </w:t>
      </w:r>
      <w:r>
        <w:rPr>
          <w:rFonts w:ascii="Arial" w:cs="Arial" w:eastAsia="Arial" w:hAnsi="Arial"/>
          <w:sz w:val="17"/>
          <w:szCs w:val="17"/>
          <w:color w:val="auto"/>
        </w:rPr>
        <w:t>Beijing, China. Revenue is generated primarily from guest spending at our theme parks.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other business interests consist primarily of Sky operations outside of the Connectivity &amp; Platforms markets, the operations of Comcast Spectacor, which owns the Philadelphia Flyers and the Wells Fargo Center arena in Philadelphia, Pennsylvania, and the operations of Xumo, our consolidated streaming platform joint venture with Charter Communications formed in June 2022.</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Connectivity &amp; Platforms and Content &amp; Experiences businesses, and between segments within the Content &amp; Experiences business, generally include intercompany profit consistent with third-party transactions. The segments within our Connectivity &amp; Platforms business use certain shared infrastructure, including the cable distribution network in the United States, and each segment is presented with its direct costs and an allocation of shared costs, as well as revenue from its customers.</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financial data by reportable business segment is presented in the tables below and has been updated to reflect our new segment presentation, including: (1) presentation of Cable Communications results in the Residential Connectivity &amp; Platforms and Business Services Connectivity segments and (2) presentation of Sky’s results across the segments within the Connectivity &amp; Platforms and Content &amp; Experiences businesses, and Corporate and Other. We do not present asset information for our reportable business segments as this information is not used to allocate resources and capital.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color w:val="auto"/>
              </w:rPr>
              <w:t>Three Months Ended June 30,</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2022</w:t>
            </w: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9"/>
                <w:szCs w:val="19"/>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8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4"/>
                <w:szCs w:val="14"/>
                <w:color w:val="auto"/>
                <w:w w:val="93"/>
              </w:rPr>
              <w:t>Adjusted EBITDA</w:t>
            </w:r>
            <w:r>
              <w:rPr>
                <w:rFonts w:ascii="Arial" w:cs="Arial" w:eastAsia="Arial" w:hAnsi="Arial"/>
                <w:sz w:val="18"/>
                <w:szCs w:val="18"/>
                <w:color w:val="auto"/>
                <w:w w:val="93"/>
                <w:vertAlign w:val="superscript"/>
              </w:rPr>
              <w:t>(b)</w:t>
            </w:r>
          </w:p>
        </w:tc>
        <w:tc>
          <w:tcPr>
            <w:tcW w:w="300" w:type="dxa"/>
            <w:vAlign w:val="bottom"/>
          </w:tcPr>
          <w:p>
            <w:pPr>
              <w:spacing w:after="0"/>
              <w:rPr>
                <w:sz w:val="19"/>
                <w:szCs w:val="19"/>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r>
      <w:tr>
        <w:trPr>
          <w:trHeight w:val="229"/>
        </w:trPr>
        <w:tc>
          <w:tcPr>
            <w:tcW w:w="40" w:type="dxa"/>
            <w:vAlign w:val="bottom"/>
          </w:tcPr>
          <w:p>
            <w:pPr>
              <w:spacing w:after="0"/>
              <w:rPr>
                <w:sz w:val="19"/>
                <w:szCs w:val="19"/>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Residential Connectivity &amp; Platforms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18,068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7,024</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18,131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6,733</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20,360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8,346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20,335</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7,995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Media</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6,195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1,244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6,188</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1,520</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Studios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Theme Parks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2,209</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833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1,804</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Headquarters and Other</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492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10,873</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10,453</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Corporate and Other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617</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(167)</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4920" w:type="dxa"/>
            <w:vAlign w:val="bottom"/>
            <w:tcBorders>
              <w:bottom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30,513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10,244</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9,827</w:t>
            </w:r>
          </w:p>
        </w:tc>
        <w:tc>
          <w:tcPr>
            <w:tcW w:w="20" w:type="dxa"/>
            <w:vAlign w:val="bottom"/>
          </w:tcPr>
          <w:p>
            <w:pPr>
              <w:spacing w:after="0"/>
              <w:rPr>
                <w:sz w:val="19"/>
                <w:szCs w:val="19"/>
                <w:color w:val="auto"/>
              </w:rPr>
            </w:pPr>
          </w:p>
        </w:tc>
      </w:tr>
      <w:tr>
        <w:trPr>
          <w:trHeight w:val="361"/>
        </w:trPr>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color w:val="auto"/>
              </w:rPr>
              <w:t>Six Months Ended June 30,</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2022</w:t>
            </w: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9"/>
                <w:szCs w:val="19"/>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8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Arial" w:cs="Arial" w:eastAsia="Arial" w:hAnsi="Arial"/>
                <w:sz w:val="14"/>
                <w:szCs w:val="14"/>
                <w:color w:val="auto"/>
                <w:w w:val="93"/>
              </w:rPr>
              <w:t>Adjusted EBITDA</w:t>
            </w:r>
            <w:r>
              <w:rPr>
                <w:rFonts w:ascii="Arial" w:cs="Arial" w:eastAsia="Arial" w:hAnsi="Arial"/>
                <w:sz w:val="18"/>
                <w:szCs w:val="18"/>
                <w:color w:val="auto"/>
                <w:w w:val="93"/>
                <w:vertAlign w:val="superscript"/>
              </w:rPr>
              <w:t>(b)</w:t>
            </w:r>
          </w:p>
        </w:tc>
        <w:tc>
          <w:tcPr>
            <w:tcW w:w="300" w:type="dxa"/>
            <w:vAlign w:val="bottom"/>
          </w:tcPr>
          <w:p>
            <w:pPr>
              <w:spacing w:after="0"/>
              <w:rPr>
                <w:sz w:val="19"/>
                <w:szCs w:val="19"/>
                <w:color w:val="auto"/>
              </w:rPr>
            </w:pPr>
          </w:p>
        </w:tc>
        <w:tc>
          <w:tcPr>
            <w:tcW w:w="1260" w:type="dxa"/>
            <w:vAlign w:val="bottom"/>
          </w:tcPr>
          <w:p>
            <w:pPr>
              <w:jc w:val="right"/>
              <w:ind w:right="395"/>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r>
      <w:tr>
        <w:trPr>
          <w:trHeight w:val="229"/>
        </w:trPr>
        <w:tc>
          <w:tcPr>
            <w:tcW w:w="40" w:type="dxa"/>
            <w:vAlign w:val="bottom"/>
          </w:tcPr>
          <w:p>
            <w:pPr>
              <w:spacing w:after="0"/>
              <w:rPr>
                <w:sz w:val="19"/>
                <w:szCs w:val="19"/>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Residential Connectivity &amp; Platforms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35,937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13,785</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36,472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13,344</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Business Services Connectivity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4,575</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2,654</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4,375</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Connectivity &amp; Platforms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40,512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16,439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40,846</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15,840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Media</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12,347</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2,124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13,946</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2,701</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Studios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6,023</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Theme Parks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4,158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1,490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3,364</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1,082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Headquarters and Other</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4920" w:type="dxa"/>
            <w:vAlign w:val="bottom"/>
            <w:tcBorders>
              <w:bottom w:val="single" w:sz="8" w:color="auto"/>
            </w:tcBorders>
          </w:tcPr>
          <w:p>
            <w:pPr>
              <w:ind w:left="220"/>
              <w:spacing w:after="0" w:line="236"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(1,448)</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(1,566)</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Content &amp; Experiences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21,792</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Corporate and Other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1,360</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1,330</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(402)</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4920" w:type="dxa"/>
            <w:vAlign w:val="bottom"/>
            <w:tcBorders>
              <w:bottom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Comcast Consolidated</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60,205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19,659</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61,026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18,977</w:t>
            </w:r>
          </w:p>
        </w:tc>
        <w:tc>
          <w:tcPr>
            <w:tcW w:w="20" w:type="dxa"/>
            <w:vAlign w:val="bottom"/>
          </w:tcPr>
          <w:p>
            <w:pPr>
              <w:spacing w:after="0"/>
              <w:rPr>
                <w:sz w:val="19"/>
                <w:szCs w:val="19"/>
                <w:color w:val="auto"/>
              </w:rPr>
            </w:pPr>
          </w:p>
        </w:tc>
      </w:tr>
      <w:tr>
        <w:trPr>
          <w:trHeight w:val="772"/>
        </w:trPr>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775"/>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Borders>
              <w:bottom w:val="single" w:sz="8" w:color="9A9A9A"/>
            </w:tcBorders>
          </w:tcPr>
          <w:p>
            <w:pPr>
              <w:spacing w:after="0"/>
              <w:rPr>
                <w:sz w:val="18"/>
                <w:szCs w:val="18"/>
                <w:color w:val="auto"/>
              </w:rPr>
            </w:pPr>
          </w:p>
        </w:tc>
        <w:tc>
          <w:tcPr>
            <w:tcW w:w="4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41" w:lineRule="exact"/>
        <w:rPr>
          <w:sz w:val="20"/>
          <w:szCs w:val="20"/>
          <w:color w:val="auto"/>
        </w:rPr>
      </w:pPr>
    </w:p>
    <w:p>
      <w:pPr>
        <w:jc w:val="both"/>
        <w:ind w:left="320" w:hanging="315"/>
        <w:spacing w:after="0" w:line="279" w:lineRule="auto"/>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The most significant of these transactions include distribution revenue in Media related to fees from Residential Connectivity &amp; Platforms for the rights to distribute television programming and content licensing revenue in Studios for licenses of owned content to Media. Revenue for licenses of content from Studios to Media is generally recognized at a point in time, consistent with the recognition of transactions with third parties, when the content is delivered and made available for use. The costs of these licenses in Media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125"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8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w w:val="83"/>
              </w:rPr>
              <w:t>2022</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Connectivity &amp; Platforms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220"/>
              <w:spacing w:after="0"/>
              <w:rPr>
                <w:sz w:val="20"/>
                <w:szCs w:val="20"/>
                <w:color w:val="auto"/>
              </w:rPr>
            </w:pPr>
            <w:r>
              <w:rPr>
                <w:rFonts w:ascii="Arial" w:cs="Arial" w:eastAsia="Arial" w:hAnsi="Arial"/>
                <w:sz w:val="14"/>
                <w:szCs w:val="14"/>
                <w:color w:val="auto"/>
              </w:rPr>
              <w:t>Residential Connectivity &amp; Platforms</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43</w:t>
            </w:r>
          </w:p>
        </w:tc>
        <w:tc>
          <w:tcPr>
            <w:tcW w:w="62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50</w:t>
            </w:r>
          </w:p>
        </w:tc>
        <w:tc>
          <w:tcPr>
            <w:tcW w:w="4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96</w:t>
            </w:r>
          </w:p>
        </w:tc>
        <w:tc>
          <w:tcPr>
            <w:tcW w:w="5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Business Services Connectivity</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w:t>
            </w: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w:t>
            </w:r>
          </w:p>
        </w:tc>
        <w:tc>
          <w:tcPr>
            <w:tcW w:w="5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7"/>
        </w:trPr>
        <w:tc>
          <w:tcPr>
            <w:tcW w:w="4820" w:type="dxa"/>
            <w:vAlign w:val="bottom"/>
          </w:tcPr>
          <w:p>
            <w:pPr>
              <w:ind w:left="20"/>
              <w:spacing w:after="0"/>
              <w:rPr>
                <w:sz w:val="20"/>
                <w:szCs w:val="20"/>
                <w:color w:val="auto"/>
              </w:rPr>
            </w:pPr>
            <w:r>
              <w:rPr>
                <w:rFonts w:ascii="Arial" w:cs="Arial" w:eastAsia="Arial" w:hAnsi="Arial"/>
                <w:sz w:val="14"/>
                <w:szCs w:val="14"/>
                <w:color w:val="auto"/>
              </w:rPr>
              <w:t>Content &amp; Experiences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Media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1,164</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1,117</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2,332</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181"/>
        </w:trPr>
        <w:tc>
          <w:tcPr>
            <w:tcW w:w="4820" w:type="dxa"/>
            <w:vAlign w:val="bottom"/>
          </w:tcPr>
          <w:p>
            <w:pPr>
              <w:ind w:left="220"/>
              <w:spacing w:after="0"/>
              <w:rPr>
                <w:sz w:val="20"/>
                <w:szCs w:val="20"/>
                <w:color w:val="auto"/>
              </w:rPr>
            </w:pPr>
            <w:r>
              <w:rPr>
                <w:rFonts w:ascii="Arial" w:cs="Arial" w:eastAsia="Arial" w:hAnsi="Arial"/>
                <w:sz w:val="14"/>
                <w:szCs w:val="14"/>
                <w:color w:val="auto"/>
              </w:rPr>
              <w:t>Studios</w:t>
            </w:r>
          </w:p>
        </w:tc>
        <w:tc>
          <w:tcPr>
            <w:tcW w:w="30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747</w:t>
            </w:r>
          </w:p>
        </w:tc>
        <w:tc>
          <w:tcPr>
            <w:tcW w:w="62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833</w:t>
            </w:r>
          </w:p>
        </w:tc>
        <w:tc>
          <w:tcPr>
            <w:tcW w:w="42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1,709</w:t>
            </w: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Theme Parks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82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3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62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13</w:t>
            </w: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33</w:t>
            </w:r>
          </w:p>
        </w:tc>
        <w:tc>
          <w:tcPr>
            <w:tcW w:w="6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36</w:t>
            </w: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87</w:t>
            </w: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8"/>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intersegment revenue</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2,003</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2,053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4,247</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left="320" w:hanging="315"/>
        <w:spacing w:after="0" w:line="266" w:lineRule="auto"/>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segments to consolidated income before income taxes is presented in the table below.</w:t>
      </w:r>
    </w:p>
    <w:p>
      <w:pPr>
        <w:spacing w:after="0" w:line="12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2"/>
          </w:tcPr>
          <w:p>
            <w:pPr>
              <w:jc w:val="right"/>
              <w:ind w:right="250"/>
              <w:spacing w:after="0"/>
              <w:rPr>
                <w:sz w:val="20"/>
                <w:szCs w:val="20"/>
                <w:color w:val="auto"/>
              </w:rPr>
            </w:pPr>
            <w:r>
              <w:rPr>
                <w:rFonts w:ascii="Arial" w:cs="Arial" w:eastAsia="Arial" w:hAnsi="Arial"/>
                <w:sz w:val="14"/>
                <w:szCs w:val="14"/>
                <w:color w:val="auto"/>
                <w:w w:val="90"/>
              </w:rPr>
              <w:t>Three Months Ended</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20" w:type="dxa"/>
            <w:vAlign w:val="bottom"/>
          </w:tcPr>
          <w:p>
            <w:pPr>
              <w:spacing w:after="0"/>
              <w:rPr>
                <w:sz w:val="14"/>
                <w:szCs w:val="14"/>
                <w:color w:val="auto"/>
              </w:rPr>
            </w:pPr>
          </w:p>
        </w:tc>
      </w:tr>
      <w:tr>
        <w:trPr>
          <w:trHeight w:val="182"/>
        </w:trPr>
        <w:tc>
          <w:tcPr>
            <w:tcW w:w="48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5"/>
                <w:szCs w:val="15"/>
                <w:color w:val="auto"/>
              </w:rPr>
            </w:pPr>
          </w:p>
        </w:tc>
      </w:tr>
      <w:tr>
        <w:trPr>
          <w:trHeight w:val="18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w w:val="96"/>
              </w:rPr>
              <w:t>2022</w:t>
            </w:r>
          </w:p>
        </w:tc>
      </w:tr>
      <w:tr>
        <w:trPr>
          <w:trHeight w:val="19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780" w:type="dxa"/>
            <w:vAlign w:val="bottom"/>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7"/>
              </w:rPr>
              <w:t>10,244</w:t>
            </w:r>
          </w:p>
        </w:tc>
        <w:tc>
          <w:tcPr>
            <w:tcW w:w="920" w:type="dxa"/>
            <w:vAlign w:val="bottom"/>
            <w:shd w:val="clear" w:color="auto" w:fill="CCEEFF"/>
          </w:tcPr>
          <w:p>
            <w:pPr>
              <w:jc w:val="right"/>
              <w:ind w:right="65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9,827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19,659</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18,977</w:t>
            </w:r>
          </w:p>
        </w:tc>
      </w:tr>
      <w:tr>
        <w:trPr>
          <w:trHeight w:val="181"/>
        </w:trPr>
        <w:tc>
          <w:tcPr>
            <w:tcW w:w="482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780" w:type="dxa"/>
            <w:vAlign w:val="bottom"/>
          </w:tcPr>
          <w:p>
            <w:pPr>
              <w:spacing w:after="0"/>
              <w:rPr>
                <w:sz w:val="15"/>
                <w:szCs w:val="15"/>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3</w:t>
            </w:r>
          </w:p>
        </w:tc>
        <w:tc>
          <w:tcPr>
            <w:tcW w:w="920" w:type="dxa"/>
            <w:vAlign w:val="bottom"/>
          </w:tcPr>
          <w:p>
            <w:pPr>
              <w:spacing w:after="0"/>
              <w:rPr>
                <w:sz w:val="15"/>
                <w:szCs w:val="15"/>
                <w:color w:val="auto"/>
              </w:rPr>
            </w:pPr>
          </w:p>
        </w:tc>
        <w:tc>
          <w:tcPr>
            <w:tcW w:w="560" w:type="dxa"/>
            <w:vAlign w:val="bottom"/>
          </w:tcPr>
          <w:p>
            <w:pPr>
              <w:jc w:val="right"/>
              <w:ind w:right="90"/>
              <w:spacing w:after="0"/>
              <w:rPr>
                <w:sz w:val="20"/>
                <w:szCs w:val="20"/>
                <w:color w:val="auto"/>
              </w:rPr>
            </w:pPr>
            <w:r>
              <w:rPr>
                <w:rFonts w:ascii="Arial" w:cs="Arial" w:eastAsia="Arial" w:hAnsi="Arial"/>
                <w:sz w:val="14"/>
                <w:szCs w:val="14"/>
                <w:color w:val="auto"/>
              </w:rPr>
              <w:t>9</w:t>
            </w:r>
          </w:p>
        </w:tc>
        <w:tc>
          <w:tcPr>
            <w:tcW w:w="4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11</w:t>
            </w: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(2,195)</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4"/>
              </w:rPr>
              <w:t>(2,162)</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(4,459)</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r>
      <w:tr>
        <w:trPr>
          <w:trHeight w:val="187"/>
        </w:trPr>
        <w:tc>
          <w:tcPr>
            <w:tcW w:w="48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80" w:type="dxa"/>
            <w:vAlign w:val="bottom"/>
          </w:tcPr>
          <w:p>
            <w:pPr>
              <w:spacing w:after="0"/>
              <w:rPr>
                <w:sz w:val="16"/>
                <w:szCs w:val="16"/>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(1,343)</w:t>
            </w:r>
          </w:p>
        </w:tc>
        <w:tc>
          <w:tcPr>
            <w:tcW w:w="9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w w:val="94"/>
              </w:rPr>
              <w:t>(1,306)</w:t>
            </w:r>
          </w:p>
        </w:tc>
        <w:tc>
          <w:tcPr>
            <w:tcW w:w="400" w:type="dxa"/>
            <w:vAlign w:val="bottom"/>
          </w:tcPr>
          <w:p>
            <w:pPr>
              <w:spacing w:after="0"/>
              <w:rPr>
                <w:sz w:val="16"/>
                <w:szCs w:val="16"/>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(2,856)</w:t>
            </w: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(2,641)</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(998)</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(968)</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(2,007)</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r>
      <w:tr>
        <w:trPr>
          <w:trHeight w:val="181"/>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(897)</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622</w:t>
            </w: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r>
      <w:tr>
        <w:trPr>
          <w:trHeight w:val="198"/>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7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5,726</w:t>
            </w:r>
          </w:p>
        </w:tc>
        <w:tc>
          <w:tcPr>
            <w:tcW w:w="92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4,502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10,970</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9,266</w:t>
            </w:r>
          </w:p>
        </w:tc>
      </w:tr>
    </w:tbl>
    <w:p>
      <w:pPr>
        <w:spacing w:after="0" w:line="1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Adjustments represent the impact of certain events, gains, losses or other charges that are excluded from Adjusted EBITDA, including costs related to our investment portfolio.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by Segment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for the six months ended June 30, 2023 are presented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3"/>
          </w:tcPr>
          <w:p>
            <w:pPr>
              <w:jc w:val="right"/>
              <w:ind w:right="356"/>
              <w:spacing w:after="0"/>
              <w:rPr>
                <w:sz w:val="20"/>
                <w:szCs w:val="20"/>
                <w:color w:val="auto"/>
              </w:rPr>
            </w:pPr>
            <w:r>
              <w:rPr>
                <w:rFonts w:ascii="Arial" w:cs="Arial" w:eastAsia="Arial" w:hAnsi="Arial"/>
                <w:sz w:val="14"/>
                <w:szCs w:val="14"/>
                <w:color w:val="auto"/>
              </w:rPr>
              <w:t>Connectivity &amp; Platforms</w:t>
            </w:r>
          </w:p>
        </w:tc>
        <w:tc>
          <w:tcPr>
            <w:tcW w:w="260" w:type="dxa"/>
            <w:vAlign w:val="bottom"/>
          </w:tcPr>
          <w:p>
            <w:pPr>
              <w:spacing w:after="0"/>
              <w:rPr>
                <w:sz w:val="15"/>
                <w:szCs w:val="15"/>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color w:val="auto"/>
              </w:rPr>
              <w:t>Content &amp; Experiences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Cable</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Connectivity &amp;</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w w:val="87"/>
              </w:rPr>
              <w:t>Business Services</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Theme</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Corporate</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2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Communications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Platforms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Connectivity</w:t>
            </w: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Media</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Studios</w:t>
            </w: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Parks</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Sky</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and Other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2022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100"/>
              <w:spacing w:after="0"/>
              <w:rPr>
                <w:sz w:val="20"/>
                <w:szCs w:val="20"/>
                <w:color w:val="auto"/>
              </w:rPr>
            </w:pPr>
            <w:r>
              <w:rPr>
                <w:rFonts w:ascii="Arial" w:cs="Arial" w:eastAsia="Arial" w:hAnsi="Arial"/>
                <w:sz w:val="17"/>
                <w:szCs w:val="17"/>
                <w:b w:val="1"/>
                <w:bCs w:val="1"/>
                <w:color w:val="auto"/>
              </w:rPr>
              <w:t>Goodwill</w:t>
            </w:r>
          </w:p>
        </w:tc>
        <w:tc>
          <w:tcPr>
            <w:tcW w:w="220" w:type="dxa"/>
            <w:vAlign w:val="bottom"/>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16.2</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1300" w:type="dxa"/>
            <w:vAlign w:val="bottom"/>
            <w:gridSpan w:val="2"/>
          </w:tcPr>
          <w:p>
            <w:pPr>
              <w:jc w:val="right"/>
              <w:ind w:right="73"/>
              <w:spacing w:after="0"/>
              <w:rPr>
                <w:sz w:val="20"/>
                <w:szCs w:val="20"/>
                <w:color w:val="auto"/>
              </w:rPr>
            </w:pPr>
            <w:r>
              <w:rPr>
                <w:rFonts w:ascii="Arial" w:cs="Arial" w:eastAsia="Arial" w:hAnsi="Arial"/>
                <w:sz w:val="17"/>
                <w:szCs w:val="17"/>
                <w:b w:val="1"/>
                <w:bCs w:val="1"/>
                <w:color w:val="auto"/>
              </w:rPr>
              <w:t>— $</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14.7</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220" w:type="dxa"/>
            <w:vAlign w:val="bottom"/>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26.0</w:t>
            </w:r>
          </w:p>
        </w:tc>
        <w:tc>
          <w:tcPr>
            <w:tcW w:w="200" w:type="dxa"/>
            <w:vAlign w:val="bottom"/>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ind w:left="420"/>
              <w:spacing w:after="0"/>
              <w:rPr>
                <w:sz w:val="20"/>
                <w:szCs w:val="20"/>
                <w:color w:val="auto"/>
              </w:rPr>
            </w:pPr>
            <w:r>
              <w:rPr>
                <w:rFonts w:ascii="Arial" w:cs="Arial" w:eastAsia="Arial" w:hAnsi="Arial"/>
                <w:sz w:val="17"/>
                <w:szCs w:val="17"/>
                <w:b w:val="1"/>
                <w:bCs w:val="1"/>
                <w:color w:val="auto"/>
              </w:rPr>
              <w:t>— $</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66.4</w:t>
            </w:r>
          </w:p>
        </w:tc>
        <w:tc>
          <w:tcPr>
            <w:tcW w:w="0" w:type="dxa"/>
            <w:vAlign w:val="bottom"/>
          </w:tcPr>
          <w:p>
            <w:pPr>
              <w:spacing w:after="0"/>
              <w:rPr>
                <w:sz w:val="1"/>
                <w:szCs w:val="1"/>
                <w:color w:val="auto"/>
              </w:rPr>
            </w:pPr>
          </w:p>
        </w:tc>
      </w:tr>
      <w:tr>
        <w:trPr>
          <w:trHeight w:val="236"/>
        </w:trPr>
        <w:tc>
          <w:tcPr>
            <w:tcW w:w="2720" w:type="dxa"/>
            <w:vAlign w:val="bottom"/>
            <w:tcBorders>
              <w:bottom w:val="single" w:sz="8" w:color="auto"/>
            </w:tcBorders>
            <w:shd w:val="clear" w:color="auto" w:fill="CCEEFF"/>
          </w:tcPr>
          <w:p>
            <w:pPr>
              <w:ind w:left="100"/>
              <w:spacing w:after="0" w:line="236" w:lineRule="exact"/>
              <w:rPr>
                <w:sz w:val="20"/>
                <w:szCs w:val="20"/>
                <w:color w:val="auto"/>
              </w:rPr>
            </w:pPr>
            <w:r>
              <w:rPr>
                <w:rFonts w:ascii="Arial" w:cs="Arial" w:eastAsia="Arial" w:hAnsi="Arial"/>
                <w:sz w:val="17"/>
                <w:szCs w:val="17"/>
                <w:b w:val="1"/>
                <w:bCs w:val="1"/>
                <w:color w:val="auto"/>
                <w:w w:val="93"/>
              </w:rPr>
              <w:t>Accumulated impairment losses</w:t>
            </w:r>
            <w:r>
              <w:rPr>
                <w:rFonts w:ascii="Arial" w:cs="Arial" w:eastAsia="Arial" w:hAnsi="Arial"/>
                <w:sz w:val="22"/>
                <w:szCs w:val="22"/>
                <w:b w:val="1"/>
                <w:bCs w:val="1"/>
                <w:color w:val="auto"/>
                <w:w w:val="93"/>
                <w:vertAlign w:val="superscript"/>
              </w:rPr>
              <w:t>(a)</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w:t>
            </w:r>
          </w:p>
        </w:tc>
        <w:tc>
          <w:tcPr>
            <w:tcW w:w="130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7"/>
                <w:szCs w:val="17"/>
                <w:b w:val="1"/>
                <w:bCs w:val="1"/>
                <w:color w:val="auto"/>
              </w:rPr>
              <w:t>—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change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line="184" w:lineRule="exact"/>
              <w:rPr>
                <w:sz w:val="20"/>
                <w:szCs w:val="20"/>
                <w:color w:val="auto"/>
              </w:rPr>
            </w:pPr>
            <w:r>
              <w:rPr>
                <w:rFonts w:ascii="Arial" w:cs="Arial" w:eastAsia="Arial" w:hAnsi="Arial"/>
                <w:sz w:val="17"/>
                <w:szCs w:val="17"/>
                <w:color w:val="auto"/>
              </w:rPr>
              <w:t>Foreign currency translation and</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7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June 30, 2023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720" w:type="dxa"/>
            <w:vAlign w:val="bottom"/>
          </w:tcPr>
          <w:p>
            <w:pPr>
              <w:ind w:left="100"/>
              <w:spacing w:after="0"/>
              <w:rPr>
                <w:sz w:val="20"/>
                <w:szCs w:val="20"/>
                <w:color w:val="auto"/>
              </w:rPr>
            </w:pPr>
            <w:r>
              <w:rPr>
                <w:rFonts w:ascii="Arial" w:cs="Arial" w:eastAsia="Arial" w:hAnsi="Arial"/>
                <w:sz w:val="17"/>
                <w:szCs w:val="17"/>
                <w:b w:val="1"/>
                <w:bCs w:val="1"/>
                <w:color w:val="auto"/>
              </w:rPr>
              <w:t>Goodwill</w:t>
            </w:r>
          </w:p>
        </w:tc>
        <w:tc>
          <w:tcPr>
            <w:tcW w:w="220" w:type="dxa"/>
            <w:vAlign w:val="bottom"/>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34.4</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260" w:type="dxa"/>
            <w:vAlign w:val="bottom"/>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21.9</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5.3</w:t>
            </w:r>
          </w:p>
        </w:tc>
        <w:tc>
          <w:tcPr>
            <w:tcW w:w="220" w:type="dxa"/>
            <w:vAlign w:val="bottom"/>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8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rPr>
              <w:t>— $</w:t>
            </w:r>
          </w:p>
        </w:tc>
        <w:tc>
          <w:tcPr>
            <w:tcW w:w="940" w:type="dxa"/>
            <w:vAlign w:val="bottom"/>
          </w:tcPr>
          <w:p>
            <w:pPr>
              <w:ind w:left="420"/>
              <w:spacing w:after="0"/>
              <w:rPr>
                <w:sz w:val="20"/>
                <w:szCs w:val="20"/>
                <w:color w:val="auto"/>
              </w:rPr>
            </w:pPr>
            <w:r>
              <w:rPr>
                <w:rFonts w:ascii="Arial" w:cs="Arial" w:eastAsia="Arial" w:hAnsi="Arial"/>
                <w:sz w:val="17"/>
                <w:szCs w:val="17"/>
                <w:b w:val="1"/>
                <w:bCs w:val="1"/>
                <w:color w:val="auto"/>
              </w:rPr>
              <w:t>— $</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67.5</w:t>
            </w:r>
          </w:p>
        </w:tc>
        <w:tc>
          <w:tcPr>
            <w:tcW w:w="0" w:type="dxa"/>
            <w:vAlign w:val="bottom"/>
          </w:tcPr>
          <w:p>
            <w:pPr>
              <w:spacing w:after="0"/>
              <w:rPr>
                <w:sz w:val="1"/>
                <w:szCs w:val="1"/>
                <w:color w:val="auto"/>
              </w:rPr>
            </w:pPr>
          </w:p>
        </w:tc>
      </w:tr>
      <w:tr>
        <w:trPr>
          <w:trHeight w:val="226"/>
        </w:trPr>
        <w:tc>
          <w:tcPr>
            <w:tcW w:w="2720" w:type="dxa"/>
            <w:vAlign w:val="bottom"/>
            <w:tcBorders>
              <w:bottom w:val="single" w:sz="8" w:color="auto"/>
            </w:tcBorders>
            <w:shd w:val="clear" w:color="auto" w:fill="CCEEFF"/>
          </w:tcPr>
          <w:p>
            <w:pPr>
              <w:ind w:left="100"/>
              <w:spacing w:after="0" w:line="226" w:lineRule="exact"/>
              <w:rPr>
                <w:sz w:val="20"/>
                <w:szCs w:val="20"/>
                <w:color w:val="auto"/>
              </w:rPr>
            </w:pPr>
            <w:r>
              <w:rPr>
                <w:rFonts w:ascii="Arial" w:cs="Arial" w:eastAsia="Arial" w:hAnsi="Arial"/>
                <w:sz w:val="17"/>
                <w:szCs w:val="17"/>
                <w:b w:val="1"/>
                <w:bCs w:val="1"/>
                <w:color w:val="auto"/>
                <w:w w:val="93"/>
              </w:rPr>
              <w:t>Accumulated impairment losses</w:t>
            </w:r>
            <w:r>
              <w:rPr>
                <w:rFonts w:ascii="Arial" w:cs="Arial" w:eastAsia="Arial" w:hAnsi="Arial"/>
                <w:sz w:val="22"/>
                <w:szCs w:val="22"/>
                <w:b w:val="1"/>
                <w:bCs w:val="1"/>
                <w:color w:val="auto"/>
                <w:w w:val="93"/>
                <w:vertAlign w:val="superscript"/>
              </w:rPr>
              <w:t>(a)</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0" w:type="dxa"/>
            <w:vAlign w:val="bottom"/>
          </w:tcPr>
          <w:p>
            <w:pPr>
              <w:spacing w:after="0"/>
              <w:rPr>
                <w:sz w:val="1"/>
                <w:szCs w:val="1"/>
                <w:color w:val="auto"/>
              </w:rPr>
            </w:pPr>
          </w:p>
        </w:tc>
      </w:tr>
      <w:tr>
        <w:trPr>
          <w:trHeight w:val="222"/>
        </w:trPr>
        <w:tc>
          <w:tcPr>
            <w:tcW w:w="2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19.7</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rPr>
              <w:t>— $</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59.0</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(a) Amounts relate to 2022 impairment related to Sky allocated to the new segments on a consistent basis with goodwill. Amounts are impacted by foreign currency translation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Revenue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right"/>
              <w:ind w:right="313"/>
              <w:spacing w:after="0"/>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gridSpan w:val="2"/>
          </w:tcPr>
          <w:p>
            <w:pPr>
              <w:jc w:val="right"/>
              <w:ind w:right="273"/>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1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w w:val="89"/>
              </w:rPr>
              <w:t>2022</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Domestic broadband</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6,377</w:t>
            </w:r>
          </w:p>
        </w:tc>
        <w:tc>
          <w:tcPr>
            <w:tcW w:w="6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6,107</w:t>
            </w:r>
          </w:p>
        </w:tc>
        <w:tc>
          <w:tcPr>
            <w:tcW w:w="4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12,720</w:t>
            </w:r>
          </w:p>
        </w:tc>
        <w:tc>
          <w:tcPr>
            <w:tcW w:w="5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12,158</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7"/>
                <w:szCs w:val="17"/>
                <w:color w:val="auto"/>
              </w:rPr>
              <w:t>Domestic wireless</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869</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722</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1,727</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1,399</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International connectivity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1,002</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791</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1,900</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216"/>
        </w:trPr>
        <w:tc>
          <w:tcPr>
            <w:tcW w:w="5180" w:type="dxa"/>
            <w:vAlign w:val="bottom"/>
          </w:tcPr>
          <w:p>
            <w:pPr>
              <w:ind w:left="120"/>
              <w:spacing w:after="0"/>
              <w:rPr>
                <w:sz w:val="20"/>
                <w:szCs w:val="20"/>
                <w:color w:val="auto"/>
              </w:rPr>
            </w:pPr>
            <w:r>
              <w:rPr>
                <w:rFonts w:ascii="Arial" w:cs="Arial" w:eastAsia="Arial" w:hAnsi="Arial"/>
                <w:sz w:val="17"/>
                <w:szCs w:val="17"/>
                <w:color w:val="auto"/>
              </w:rPr>
              <w:t>Total residential connectivity</w:t>
            </w:r>
          </w:p>
        </w:tc>
        <w:tc>
          <w:tcPr>
            <w:tcW w:w="32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8,248</w:t>
            </w:r>
          </w:p>
        </w:tc>
        <w:tc>
          <w:tcPr>
            <w:tcW w:w="62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7,620</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16,346</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15,187</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Video</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7,358</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7,793</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14,741</w:t>
            </w: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15,795</w:t>
            </w:r>
          </w:p>
        </w:tc>
        <w:tc>
          <w:tcPr>
            <w:tcW w:w="0" w:type="dxa"/>
            <w:vAlign w:val="bottom"/>
          </w:tcPr>
          <w:p>
            <w:pPr>
              <w:spacing w:after="0"/>
              <w:rPr>
                <w:sz w:val="1"/>
                <w:szCs w:val="1"/>
                <w:color w:val="auto"/>
              </w:rPr>
            </w:pPr>
          </w:p>
        </w:tc>
      </w:tr>
      <w:tr>
        <w:trPr>
          <w:trHeight w:val="222"/>
        </w:trPr>
        <w:tc>
          <w:tcPr>
            <w:tcW w:w="5180" w:type="dxa"/>
            <w:vAlign w:val="bottom"/>
          </w:tcPr>
          <w:p>
            <w:pPr>
              <w:ind w:left="140"/>
              <w:spacing w:after="0"/>
              <w:rPr>
                <w:sz w:val="20"/>
                <w:szCs w:val="20"/>
                <w:color w:val="auto"/>
              </w:rPr>
            </w:pPr>
            <w:r>
              <w:rPr>
                <w:rFonts w:ascii="Arial" w:cs="Arial" w:eastAsia="Arial" w:hAnsi="Arial"/>
                <w:sz w:val="17"/>
                <w:szCs w:val="17"/>
                <w:color w:val="auto"/>
              </w:rPr>
              <w:t>Advertising</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993</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1,112</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1,900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2,185</w:t>
            </w:r>
          </w:p>
        </w:tc>
        <w:tc>
          <w:tcPr>
            <w:tcW w:w="0" w:type="dxa"/>
            <w:vAlign w:val="bottom"/>
          </w:tcPr>
          <w:p>
            <w:pPr>
              <w:spacing w:after="0"/>
              <w:rPr>
                <w:sz w:val="1"/>
                <w:szCs w:val="1"/>
                <w:color w:val="auto"/>
              </w:rPr>
            </w:pPr>
          </w:p>
        </w:tc>
      </w:tr>
      <w:tr>
        <w:trPr>
          <w:trHeight w:val="222"/>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1,469</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1,607</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2,950</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3,305</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Total Residential Connectivity &amp; Platforms</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18,068</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18,131</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35,937</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36,472</w:t>
            </w:r>
          </w:p>
        </w:tc>
        <w:tc>
          <w:tcPr>
            <w:tcW w:w="0" w:type="dxa"/>
            <w:vAlign w:val="bottom"/>
          </w:tcPr>
          <w:p>
            <w:pPr>
              <w:spacing w:after="0"/>
              <w:rPr>
                <w:sz w:val="1"/>
                <w:szCs w:val="1"/>
                <w:color w:val="auto"/>
              </w:rPr>
            </w:pPr>
          </w:p>
        </w:tc>
      </w:tr>
      <w:tr>
        <w:trPr>
          <w:trHeight w:val="111"/>
        </w:trPr>
        <w:tc>
          <w:tcPr>
            <w:tcW w:w="5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Business Services Connectivity</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2,292</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2,203</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4,575</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Connectivity &amp; Platforms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20,360</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20,335</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40,512</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40,846</w:t>
            </w:r>
          </w:p>
        </w:tc>
        <w:tc>
          <w:tcPr>
            <w:tcW w:w="0" w:type="dxa"/>
            <w:vAlign w:val="bottom"/>
          </w:tcPr>
          <w:p>
            <w:pPr>
              <w:spacing w:after="0"/>
              <w:rPr>
                <w:sz w:val="1"/>
                <w:szCs w:val="1"/>
                <w:color w:val="auto"/>
              </w:rPr>
            </w:pPr>
          </w:p>
        </w:tc>
      </w:tr>
      <w:tr>
        <w:trPr>
          <w:trHeight w:val="105"/>
        </w:trPr>
        <w:tc>
          <w:tcPr>
            <w:tcW w:w="5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Domestic advertising</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2,027</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2,131</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4,051</w:t>
            </w: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5,441</w:t>
            </w:r>
          </w:p>
        </w:tc>
        <w:tc>
          <w:tcPr>
            <w:tcW w:w="0" w:type="dxa"/>
            <w:vAlign w:val="bottom"/>
          </w:tcPr>
          <w:p>
            <w:pPr>
              <w:spacing w:after="0"/>
              <w:rPr>
                <w:sz w:val="1"/>
                <w:szCs w:val="1"/>
                <w:color w:val="auto"/>
              </w:rPr>
            </w:pPr>
          </w:p>
        </w:tc>
      </w:tr>
      <w:tr>
        <w:trPr>
          <w:trHeight w:val="222"/>
        </w:trPr>
        <w:tc>
          <w:tcPr>
            <w:tcW w:w="5180" w:type="dxa"/>
            <w:vAlign w:val="bottom"/>
          </w:tcPr>
          <w:p>
            <w:pPr>
              <w:ind w:left="140"/>
              <w:spacing w:after="0"/>
              <w:rPr>
                <w:sz w:val="20"/>
                <w:szCs w:val="20"/>
                <w:color w:val="auto"/>
              </w:rPr>
            </w:pPr>
            <w:r>
              <w:rPr>
                <w:rFonts w:ascii="Arial" w:cs="Arial" w:eastAsia="Arial" w:hAnsi="Arial"/>
                <w:sz w:val="17"/>
                <w:szCs w:val="17"/>
                <w:color w:val="auto"/>
              </w:rPr>
              <w:t>Domestic distribution</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2,615</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2,558</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5,325</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5,496</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 networks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1,035</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970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2,043</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518</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529</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928</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222"/>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Media</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6,195</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6,188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12,347</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13,946</w:t>
            </w:r>
          </w:p>
        </w:tc>
        <w:tc>
          <w:tcPr>
            <w:tcW w:w="0" w:type="dxa"/>
            <w:vAlign w:val="bottom"/>
          </w:tcPr>
          <w:p>
            <w:pPr>
              <w:spacing w:after="0"/>
              <w:rPr>
                <w:sz w:val="1"/>
                <w:szCs w:val="1"/>
                <w:color w:val="auto"/>
              </w:rPr>
            </w:pPr>
          </w:p>
        </w:tc>
      </w:tr>
      <w:tr>
        <w:trPr>
          <w:trHeight w:val="105"/>
        </w:trPr>
        <w:tc>
          <w:tcPr>
            <w:tcW w:w="5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Content licensing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1,821</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2,269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4,165</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4,698</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7"/>
                <w:szCs w:val="17"/>
                <w:color w:val="auto"/>
              </w:rPr>
              <w:t>Theatrical</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913</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550</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1,232</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718</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354</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298</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646</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7"/>
                <w:szCs w:val="17"/>
                <w:color w:val="auto"/>
              </w:rPr>
              <w:t>Total Studios</w:t>
            </w:r>
          </w:p>
        </w:tc>
        <w:tc>
          <w:tcPr>
            <w:tcW w:w="32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3,087</w:t>
            </w:r>
          </w:p>
        </w:tc>
        <w:tc>
          <w:tcPr>
            <w:tcW w:w="62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3,117</w:t>
            </w:r>
          </w:p>
        </w:tc>
        <w:tc>
          <w:tcPr>
            <w:tcW w:w="440" w:type="dxa"/>
            <w:vAlign w:val="bottom"/>
          </w:tcPr>
          <w:p>
            <w:pPr>
              <w:spacing w:after="0"/>
              <w:rPr>
                <w:sz w:val="18"/>
                <w:szCs w:val="18"/>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6,043</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6,023</w:t>
            </w:r>
          </w:p>
        </w:tc>
        <w:tc>
          <w:tcPr>
            <w:tcW w:w="0" w:type="dxa"/>
            <w:vAlign w:val="bottom"/>
          </w:tcPr>
          <w:p>
            <w:pPr>
              <w:spacing w:after="0"/>
              <w:rPr>
                <w:sz w:val="1"/>
                <w:szCs w:val="1"/>
                <w:color w:val="auto"/>
              </w:rPr>
            </w:pPr>
          </w:p>
        </w:tc>
      </w:tr>
      <w:tr>
        <w:trPr>
          <w:trHeight w:val="105"/>
        </w:trPr>
        <w:tc>
          <w:tcPr>
            <w:tcW w:w="5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7"/>
                <w:szCs w:val="17"/>
                <w:color w:val="auto"/>
              </w:rPr>
              <w:t>Total Theme Parks</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2,209</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1,804</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4,158</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3,364</w:t>
            </w:r>
          </w:p>
        </w:tc>
        <w:tc>
          <w:tcPr>
            <w:tcW w:w="0" w:type="dxa"/>
            <w:vAlign w:val="bottom"/>
          </w:tcPr>
          <w:p>
            <w:pPr>
              <w:spacing w:after="0"/>
              <w:rPr>
                <w:sz w:val="1"/>
                <w:szCs w:val="1"/>
                <w:color w:val="auto"/>
              </w:rPr>
            </w:pPr>
          </w:p>
        </w:tc>
      </w:tr>
      <w:tr>
        <w:trPr>
          <w:trHeight w:val="111"/>
        </w:trPr>
        <w:tc>
          <w:tcPr>
            <w:tcW w:w="5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Headquarters and Other</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13</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8</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31</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(631)</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(664)</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(1,448)</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Total Content &amp; Experiences</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10,873</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10,453</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21,131</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21,792</w:t>
            </w:r>
          </w:p>
        </w:tc>
        <w:tc>
          <w:tcPr>
            <w:tcW w:w="0" w:type="dxa"/>
            <w:vAlign w:val="bottom"/>
          </w:tcPr>
          <w:p>
            <w:pPr>
              <w:spacing w:after="0"/>
              <w:rPr>
                <w:sz w:val="1"/>
                <w:szCs w:val="1"/>
                <w:color w:val="auto"/>
              </w:rPr>
            </w:pPr>
          </w:p>
        </w:tc>
      </w:tr>
      <w:tr>
        <w:trPr>
          <w:trHeight w:val="111"/>
        </w:trPr>
        <w:tc>
          <w:tcPr>
            <w:tcW w:w="5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Corporate and Other</w:t>
            </w:r>
          </w:p>
        </w:tc>
        <w:tc>
          <w:tcPr>
            <w:tcW w:w="32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654</w:t>
            </w:r>
          </w:p>
        </w:tc>
        <w:tc>
          <w:tcPr>
            <w:tcW w:w="6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617</w:t>
            </w:r>
          </w:p>
        </w:tc>
        <w:tc>
          <w:tcPr>
            <w:tcW w:w="44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1,360</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color w:val="auto"/>
              </w:rPr>
              <w:t>Eliminations</w:t>
            </w:r>
            <w:r>
              <w:rPr>
                <w:rFonts w:ascii="Arial" w:cs="Arial" w:eastAsia="Arial" w:hAnsi="Arial"/>
                <w:sz w:val="22"/>
                <w:szCs w:val="22"/>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(1,373)</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(1,389)</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(2,799)</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w:t>
            </w:r>
          </w:p>
        </w:tc>
        <w:tc>
          <w:tcPr>
            <w:tcW w:w="0" w:type="dxa"/>
            <w:vAlign w:val="bottom"/>
          </w:tcPr>
          <w:p>
            <w:pPr>
              <w:spacing w:after="0"/>
              <w:rPr>
                <w:sz w:val="1"/>
                <w:szCs w:val="1"/>
                <w:color w:val="auto"/>
              </w:rPr>
            </w:pPr>
          </w:p>
        </w:tc>
      </w:tr>
      <w:tr>
        <w:trPr>
          <w:trHeight w:val="23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revenue</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30,513</w:t>
            </w:r>
          </w:p>
        </w:tc>
        <w:tc>
          <w:tcPr>
            <w:tcW w:w="6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30,016</w:t>
            </w: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60,205</w:t>
            </w:r>
          </w:p>
        </w:tc>
        <w:tc>
          <w:tcPr>
            <w:tcW w:w="5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61,026</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sheets that relate to the recognition of revenue and collection of the related cash.</w:t>
      </w:r>
    </w:p>
    <w:p>
      <w:pPr>
        <w:sectPr>
          <w:pgSz w:w="11900" w:h="16838" w:orient="portrait"/>
          <w:cols w:equalWidth="0" w:num="1">
            <w:col w:w="11240"/>
          </w:cols>
          <w:pgMar w:left="320" w:top="121" w:right="339" w:bottom="1440" w:gutter="0" w:footer="0" w:header="0"/>
        </w:sect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June 30,</w:t>
      </w:r>
    </w:p>
    <w:p>
      <w:pPr>
        <w:spacing w:after="0" w:line="18"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December 31,</w:t>
      </w:r>
    </w:p>
    <w:p>
      <w:pPr>
        <w:spacing w:after="0" w:line="18"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2022</w:t>
      </w:r>
    </w:p>
    <w:p>
      <w:pPr>
        <w:spacing w:after="0" w:line="9" w:lineRule="exact"/>
        <w:rPr>
          <w:sz w:val="20"/>
          <w:szCs w:val="20"/>
          <w:color w:val="auto"/>
        </w:rPr>
      </w:pPr>
    </w:p>
    <w:p>
      <w:pPr>
        <w:sectPr>
          <w:pgSz w:w="11900" w:h="16838" w:orient="portrait"/>
          <w:cols w:equalWidth="0" w:num="3">
            <w:col w:w="7920" w:space="720"/>
            <w:col w:w="780" w:space="720"/>
            <w:col w:w="1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Receivables, gross</w:t>
            </w:r>
          </w:p>
        </w:tc>
        <w:tc>
          <w:tcPr>
            <w:tcW w:w="3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rPr>
              <w:t>13,692</w:t>
            </w:r>
          </w:p>
        </w:tc>
        <w:tc>
          <w:tcPr>
            <w:tcW w:w="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13,407</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Allowance for credit losses</w:t>
            </w:r>
          </w:p>
        </w:tc>
        <w:tc>
          <w:tcPr>
            <w:tcW w:w="3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713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Receivables, net</w:t>
            </w:r>
          </w:p>
        </w:tc>
        <w:tc>
          <w:tcPr>
            <w:tcW w:w="3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b w:val="1"/>
                <w:bCs w:val="1"/>
                <w:color w:val="auto"/>
              </w:rPr>
              <w:t>12,980</w:t>
            </w: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12,672</w:t>
            </w:r>
          </w:p>
        </w:tc>
        <w:tc>
          <w:tcPr>
            <w:tcW w:w="0" w:type="dxa"/>
            <w:vAlign w:val="bottom"/>
          </w:tcPr>
          <w:p>
            <w:pPr>
              <w:spacing w:after="0"/>
              <w:rPr>
                <w:sz w:val="1"/>
                <w:szCs w:val="1"/>
                <w:color w:val="auto"/>
              </w:rPr>
            </w:pPr>
          </w:p>
        </w:tc>
      </w:tr>
      <w:tr>
        <w:trPr>
          <w:trHeight w:val="301"/>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260" w:type="dxa"/>
            <w:vAlign w:val="bottom"/>
          </w:tcPr>
          <w:p>
            <w:pPr>
              <w:spacing w:after="0"/>
              <w:rPr>
                <w:sz w:val="24"/>
                <w:szCs w:val="24"/>
                <w:color w:val="auto"/>
              </w:rPr>
            </w:pPr>
          </w:p>
        </w:tc>
        <w:tc>
          <w:tcPr>
            <w:tcW w:w="1220" w:type="dxa"/>
            <w:vAlign w:val="bottom"/>
          </w:tcPr>
          <w:p>
            <w:pPr>
              <w:jc w:val="right"/>
              <w:ind w:right="478"/>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24"/>
                <w:szCs w:val="24"/>
                <w:color w:val="auto"/>
              </w:rPr>
            </w:pPr>
          </w:p>
        </w:tc>
        <w:tc>
          <w:tcPr>
            <w:tcW w:w="1220" w:type="dxa"/>
            <w:vAlign w:val="bottom"/>
          </w:tcPr>
          <w:p>
            <w:pPr>
              <w:jc w:val="right"/>
              <w:ind w:right="23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Noncurrent receivables, net (included in other noncurrent assets, net)</w:t>
            </w:r>
          </w:p>
        </w:tc>
        <w:tc>
          <w:tcPr>
            <w:tcW w:w="32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1,838</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deferred revenue (included in other noncurrent liabilities)</w:t>
            </w:r>
          </w:p>
        </w:tc>
        <w:tc>
          <w:tcPr>
            <w:tcW w:w="3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781</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863"/>
        </w:trPr>
        <w:tc>
          <w:tcPr>
            <w:tcW w:w="5200" w:type="dxa"/>
            <w:vAlign w:val="bottom"/>
          </w:tcPr>
          <w:p>
            <w:pPr>
              <w:spacing w:after="0"/>
              <w:rPr>
                <w:sz w:val="24"/>
                <w:szCs w:val="24"/>
                <w:color w:val="auto"/>
              </w:rPr>
            </w:pPr>
          </w:p>
        </w:tc>
        <w:tc>
          <w:tcPr>
            <w:tcW w:w="3260" w:type="dxa"/>
            <w:vAlign w:val="bottom"/>
          </w:tcPr>
          <w:p>
            <w:pPr>
              <w:jc w:val="right"/>
              <w:ind w:right="2653"/>
              <w:spacing w:after="0"/>
              <w:rPr>
                <w:sz w:val="20"/>
                <w:szCs w:val="20"/>
                <w:color w:val="auto"/>
              </w:rPr>
            </w:pPr>
            <w:r>
              <w:rPr>
                <w:rFonts w:ascii="Arial" w:cs="Arial" w:eastAsia="Arial" w:hAnsi="Arial"/>
                <w:sz w:val="17"/>
                <w:szCs w:val="17"/>
                <w:color w:val="auto"/>
              </w:rPr>
              <w:t>10</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9A9A9A"/>
            </w:tcBorders>
          </w:tcPr>
          <w:p>
            <w:pPr>
              <w:spacing w:after="0"/>
              <w:rPr>
                <w:sz w:val="18"/>
                <w:szCs w:val="18"/>
                <w:color w:val="auto"/>
              </w:rPr>
            </w:pPr>
          </w:p>
        </w:tc>
        <w:tc>
          <w:tcPr>
            <w:tcW w:w="32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accounts receivables include amounts not yet billed related to equipment installment plans, as summarized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240"/>
              <w:spacing w:after="0"/>
              <w:rPr>
                <w:sz w:val="20"/>
                <w:szCs w:val="20"/>
                <w:color w:val="auto"/>
              </w:rPr>
            </w:pPr>
            <w:r>
              <w:rPr>
                <w:rFonts w:ascii="Arial" w:cs="Arial" w:eastAsia="Arial" w:hAnsi="Arial"/>
                <w:sz w:val="14"/>
                <w:szCs w:val="14"/>
                <w:color w:val="auto"/>
                <w:w w:val="97"/>
              </w:rPr>
              <w:t>December 31,</w:t>
            </w:r>
          </w:p>
        </w:tc>
      </w:tr>
      <w:tr>
        <w:trPr>
          <w:trHeight w:val="183"/>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2022</w:t>
            </w:r>
          </w:p>
        </w:tc>
      </w:tr>
      <w:tr>
        <w:trPr>
          <w:trHeight w:val="234"/>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Receivables, net</w:t>
            </w:r>
          </w:p>
        </w:tc>
        <w:tc>
          <w:tcPr>
            <w:tcW w:w="2620" w:type="dxa"/>
            <w:vAlign w:val="bottom"/>
            <w:shd w:val="clear" w:color="auto" w:fill="CCEEFF"/>
          </w:tcPr>
          <w:p>
            <w:pPr>
              <w:jc w:val="right"/>
              <w:ind w:right="7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9"/>
              </w:rPr>
              <w:t>1,523</w:t>
            </w:r>
          </w:p>
        </w:tc>
        <w:tc>
          <w:tcPr>
            <w:tcW w:w="3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w:t>
            </w:r>
          </w:p>
        </w:tc>
      </w:tr>
      <w:tr>
        <w:trPr>
          <w:trHeight w:val="20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Noncurrent receivables, net (included in other noncurrent assets, net)</w:t>
            </w:r>
          </w:p>
        </w:tc>
        <w:tc>
          <w:tcPr>
            <w:tcW w:w="2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9"/>
              </w:rPr>
              <w:t>1,065</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w:t>
            </w:r>
          </w:p>
        </w:tc>
      </w:tr>
      <w:tr>
        <w:trPr>
          <w:trHeight w:val="235"/>
        </w:trPr>
        <w:tc>
          <w:tcPr>
            <w:tcW w:w="6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62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9"/>
              </w:rPr>
              <w:t>2,588</w:t>
            </w:r>
          </w:p>
        </w:tc>
        <w:tc>
          <w:tcPr>
            <w:tcW w:w="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Programming and Production Costs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60" w:type="dxa"/>
            <w:vAlign w:val="bottom"/>
          </w:tcPr>
          <w:p>
            <w:pPr>
              <w:spacing w:after="0"/>
              <w:rPr>
                <w:sz w:val="14"/>
                <w:szCs w:val="14"/>
                <w:color w:val="auto"/>
              </w:rPr>
            </w:pPr>
          </w:p>
        </w:tc>
      </w:tr>
      <w:tr>
        <w:trPr>
          <w:trHeight w:val="189"/>
        </w:trPr>
        <w:tc>
          <w:tcPr>
            <w:tcW w:w="5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6"/>
                <w:szCs w:val="16"/>
                <w:color w:val="auto"/>
              </w:rPr>
            </w:pPr>
          </w:p>
        </w:tc>
      </w:tr>
      <w:tr>
        <w:trPr>
          <w:trHeight w:val="18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2023</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3"/>
              </w:rPr>
              <w:t>2022</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w w:val="96"/>
              </w:rPr>
              <w:t>2022</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Video distribution programming</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3,191</w:t>
            </w:r>
          </w:p>
        </w:tc>
        <w:tc>
          <w:tcPr>
            <w:tcW w:w="64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3,288</w:t>
            </w:r>
          </w:p>
        </w:tc>
        <w:tc>
          <w:tcPr>
            <w:tcW w:w="4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6,381</w:t>
            </w:r>
          </w:p>
        </w:tc>
        <w:tc>
          <w:tcPr>
            <w:tcW w:w="60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6,713</w:t>
            </w:r>
          </w:p>
        </w:tc>
      </w:tr>
      <w:tr>
        <w:trPr>
          <w:trHeight w:val="222"/>
        </w:trPr>
        <w:tc>
          <w:tcPr>
            <w:tcW w:w="5340" w:type="dxa"/>
            <w:vAlign w:val="bottom"/>
          </w:tcPr>
          <w:p>
            <w:pPr>
              <w:ind w:left="20"/>
              <w:spacing w:after="0"/>
              <w:rPr>
                <w:sz w:val="20"/>
                <w:szCs w:val="20"/>
                <w:color w:val="auto"/>
              </w:rPr>
            </w:pPr>
            <w:r>
              <w:rPr>
                <w:rFonts w:ascii="Arial" w:cs="Arial" w:eastAsia="Arial" w:hAnsi="Arial"/>
                <w:sz w:val="17"/>
                <w:szCs w:val="17"/>
                <w:color w:val="auto"/>
              </w:rPr>
              <w:t>Film and television content: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6"/>
        </w:trPr>
        <w:tc>
          <w:tcPr>
            <w:tcW w:w="5340" w:type="dxa"/>
            <w:vAlign w:val="bottom"/>
            <w:shd w:val="clear" w:color="auto" w:fill="CCEEFF"/>
          </w:tcPr>
          <w:p>
            <w:pPr>
              <w:ind w:left="140"/>
              <w:spacing w:after="0" w:line="236" w:lineRule="exact"/>
              <w:rPr>
                <w:sz w:val="20"/>
                <w:szCs w:val="20"/>
                <w:color w:val="auto"/>
              </w:rPr>
            </w:pPr>
            <w:r>
              <w:rPr>
                <w:rFonts w:ascii="Arial" w:cs="Arial" w:eastAsia="Arial" w:hAnsi="Arial"/>
                <w:sz w:val="17"/>
                <w:szCs w:val="17"/>
                <w:color w:val="auto"/>
              </w:rPr>
              <w:t>Owned</w:t>
            </w:r>
            <w:r>
              <w:rPr>
                <w:rFonts w:ascii="Arial" w:cs="Arial" w:eastAsia="Arial" w:hAnsi="Arial"/>
                <w:sz w:val="22"/>
                <w:szCs w:val="22"/>
                <w:color w:val="auto"/>
                <w:vertAlign w:val="superscript"/>
              </w:rPr>
              <w:t>(a)</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2,804</w:t>
            </w:r>
          </w:p>
        </w:tc>
        <w:tc>
          <w:tcPr>
            <w:tcW w:w="6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2,919</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5,539</w:t>
            </w: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5,426</w:t>
            </w:r>
          </w:p>
        </w:tc>
      </w:tr>
      <w:tr>
        <w:trPr>
          <w:trHeight w:val="222"/>
        </w:trPr>
        <w:tc>
          <w:tcPr>
            <w:tcW w:w="5340" w:type="dxa"/>
            <w:vAlign w:val="bottom"/>
          </w:tcPr>
          <w:p>
            <w:pPr>
              <w:ind w:left="140"/>
              <w:spacing w:after="0"/>
              <w:rPr>
                <w:sz w:val="20"/>
                <w:szCs w:val="20"/>
                <w:color w:val="auto"/>
              </w:rPr>
            </w:pPr>
            <w:r>
              <w:rPr>
                <w:rFonts w:ascii="Arial" w:cs="Arial" w:eastAsia="Arial" w:hAnsi="Arial"/>
                <w:sz w:val="17"/>
                <w:szCs w:val="17"/>
                <w:color w:val="auto"/>
              </w:rPr>
              <w:t>Licensed, including sports rights</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2,461</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auto"/>
              </w:rPr>
              <w:t>2,377</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5,193</w:t>
            </w: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6,702</w:t>
            </w:r>
          </w:p>
        </w:tc>
      </w:tr>
      <w:tr>
        <w:trPr>
          <w:trHeight w:val="222"/>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393</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304</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740</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w:t>
            </w:r>
          </w:p>
        </w:tc>
      </w:tr>
      <w:tr>
        <w:trPr>
          <w:trHeight w:val="23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programming and production costs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8,849</w:t>
            </w: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8,887</w:t>
            </w:r>
          </w:p>
        </w:tc>
        <w:tc>
          <w:tcPr>
            <w:tcW w:w="4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17,853</w:t>
            </w:r>
          </w:p>
        </w:tc>
        <w:tc>
          <w:tcPr>
            <w:tcW w:w="6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19,457</w:t>
            </w:r>
          </w:p>
        </w:tc>
      </w:tr>
    </w:tbl>
    <w:p>
      <w:pPr>
        <w:spacing w:after="0" w:line="165" w:lineRule="exact"/>
        <w:rPr>
          <w:sz w:val="20"/>
          <w:szCs w:val="20"/>
          <w:color w:val="auto"/>
        </w:rPr>
      </w:pPr>
    </w:p>
    <w:p>
      <w:pPr>
        <w:ind w:firstLine="5"/>
        <w:spacing w:after="0" w:line="279" w:lineRule="auto"/>
        <w:tabs>
          <w:tab w:leader="none" w:pos="185"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 includes amortization of owned content of $2.0 billion and $4.3 billion for the three and six months ended June 30, 2023, respectively, and $2.4 billion and $4.4 billion for the three and six months ended June 30, 2022, respectively, as well as participations and residuals expenses.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Capitalized Film and Television Costs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60" w:type="dxa"/>
            <w:vAlign w:val="bottom"/>
          </w:tcPr>
          <w:p>
            <w:pPr>
              <w:spacing w:after="0"/>
              <w:rPr>
                <w:sz w:val="14"/>
                <w:szCs w:val="14"/>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Owned:</w:t>
            </w:r>
          </w:p>
        </w:tc>
        <w:tc>
          <w:tcPr>
            <w:tcW w:w="3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7"/>
                <w:szCs w:val="17"/>
                <w:color w:val="auto"/>
              </w:rPr>
              <w:t>In production and in development</w:t>
            </w:r>
          </w:p>
        </w:tc>
        <w:tc>
          <w:tcPr>
            <w:tcW w:w="306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7"/>
              <w:spacing w:after="0"/>
              <w:rPr>
                <w:sz w:val="20"/>
                <w:szCs w:val="20"/>
                <w:color w:val="auto"/>
              </w:rPr>
            </w:pPr>
            <w:r>
              <w:rPr>
                <w:rFonts w:ascii="Arial" w:cs="Arial" w:eastAsia="Arial" w:hAnsi="Arial"/>
                <w:sz w:val="17"/>
                <w:szCs w:val="17"/>
                <w:color w:val="auto"/>
              </w:rPr>
              <w:t>3,126</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3,210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Completed, not released</w:t>
            </w:r>
          </w:p>
        </w:tc>
        <w:tc>
          <w:tcPr>
            <w:tcW w:w="3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367</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Released, less amortization</w:t>
            </w:r>
          </w:p>
        </w:tc>
        <w:tc>
          <w:tcPr>
            <w:tcW w:w="3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4,465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7,958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Licensed, including sports advances</w:t>
            </w:r>
          </w:p>
        </w:tc>
        <w:tc>
          <w:tcPr>
            <w:tcW w:w="3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4,683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4,586</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Film and television costs</w:t>
            </w:r>
          </w:p>
        </w:tc>
        <w:tc>
          <w:tcPr>
            <w:tcW w:w="3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12,641</w:t>
            </w: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12,560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 Long-Term Debt</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June 30, 2023, our debt had a carrying value of $97.5 billion and an estimated fair value of $90.5 billion. As of December 31, 2022, our debt had a carrying value of $94.8 billion and an estimated fair value of $86.9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Investments and Variable Interest Entities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and Other Income (Loss), Net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2"/>
          </w:tcPr>
          <w:p>
            <w:pPr>
              <w:jc w:val="right"/>
              <w:ind w:right="359"/>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1"/>
              </w:rPr>
              <w:t>Six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gridSpan w:val="2"/>
          </w:tcPr>
          <w:p>
            <w:pPr>
              <w:jc w:val="right"/>
              <w:ind w:right="719"/>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85"/>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9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net income (losses) of investees, net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(80)</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(413)</w:t>
            </w:r>
          </w:p>
        </w:tc>
        <w:tc>
          <w:tcPr>
            <w:tcW w:w="104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405</w:t>
            </w:r>
          </w:p>
        </w:tc>
        <w:tc>
          <w:tcPr>
            <w:tcW w:w="6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7"/>
                <w:szCs w:val="17"/>
                <w:color w:val="auto"/>
              </w:rPr>
              <w:t>Realized and unrealized gains (losses) on equity securities, net</w:t>
            </w:r>
          </w:p>
        </w:tc>
        <w:tc>
          <w:tcPr>
            <w:tcW w:w="88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7"/>
                <w:szCs w:val="17"/>
                <w:color w:val="auto"/>
              </w:rPr>
              <w:t>(38)</w:t>
            </w:r>
          </w:p>
        </w:tc>
        <w:tc>
          <w:tcPr>
            <w:tcW w:w="1040" w:type="dxa"/>
            <w:vAlign w:val="bottom"/>
          </w:tcPr>
          <w:p>
            <w:pPr>
              <w:spacing w:after="0"/>
              <w:rPr>
                <w:sz w:val="19"/>
                <w:szCs w:val="19"/>
                <w:color w:val="auto"/>
              </w:rPr>
            </w:pPr>
          </w:p>
        </w:tc>
        <w:tc>
          <w:tcPr>
            <w:tcW w:w="580" w:type="dxa"/>
            <w:vAlign w:val="bottom"/>
          </w:tcPr>
          <w:p>
            <w:pPr>
              <w:jc w:val="right"/>
              <w:ind w:right="33"/>
              <w:spacing w:after="0"/>
              <w:rPr>
                <w:sz w:val="20"/>
                <w:szCs w:val="20"/>
                <w:color w:val="auto"/>
              </w:rPr>
            </w:pPr>
            <w:r>
              <w:rPr>
                <w:rFonts w:ascii="Arial" w:cs="Arial" w:eastAsia="Arial" w:hAnsi="Arial"/>
                <w:sz w:val="17"/>
                <w:szCs w:val="17"/>
                <w:color w:val="auto"/>
              </w:rPr>
              <w:t>(321)</w:t>
            </w:r>
          </w:p>
        </w:tc>
        <w:tc>
          <w:tcPr>
            <w:tcW w:w="1040" w:type="dxa"/>
            <w:vAlign w:val="bottom"/>
          </w:tcPr>
          <w:p>
            <w:pPr>
              <w:spacing w:after="0"/>
              <w:rPr>
                <w:sz w:val="19"/>
                <w:szCs w:val="19"/>
                <w:color w:val="auto"/>
              </w:rPr>
            </w:pPr>
          </w:p>
        </w:tc>
        <w:tc>
          <w:tcPr>
            <w:tcW w:w="580" w:type="dxa"/>
            <w:vAlign w:val="bottom"/>
          </w:tcPr>
          <w:p>
            <w:pPr>
              <w:ind w:left="180"/>
              <w:spacing w:after="0"/>
              <w:rPr>
                <w:sz w:val="20"/>
                <w:szCs w:val="20"/>
                <w:color w:val="auto"/>
              </w:rPr>
            </w:pPr>
            <w:r>
              <w:rPr>
                <w:rFonts w:ascii="Arial" w:cs="Arial" w:eastAsia="Arial" w:hAnsi="Arial"/>
                <w:sz w:val="17"/>
                <w:szCs w:val="17"/>
                <w:color w:val="auto"/>
              </w:rPr>
              <w:t>(44)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(loss), net</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133</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(162)</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261</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2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Investment and other income (loss), net</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b w:val="1"/>
                <w:bCs w:val="1"/>
                <w:color w:val="auto"/>
                <w:w w:val="84"/>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b w:val="1"/>
                <w:bCs w:val="1"/>
                <w:color w:val="auto"/>
              </w:rPr>
              <w:t>15</w:t>
            </w:r>
          </w:p>
        </w:tc>
        <w:tc>
          <w:tcPr>
            <w:tcW w:w="104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(897)</w:t>
            </w:r>
          </w:p>
        </w:tc>
        <w:tc>
          <w:tcPr>
            <w:tcW w:w="104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622</w:t>
            </w:r>
          </w:p>
        </w:tc>
        <w:tc>
          <w:tcPr>
            <w:tcW w:w="6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amount of unrealized gains (losses), net recognized in the three months ended June 30, 2023 and 2022 that related to marketable and nonmarketable equity securities still held as of the end of each reporting period was $(41) million and $(333) million, respectively. The amount of unrealized gains (losses), net recognized in the six months ended June 30, 2023 and 2022 that related to marketable and nonmarketable equity securities still held as of the end of each reporting period was $(66) million and $(251) million,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r>
      <w:tr>
        <w:trPr>
          <w:trHeight w:val="18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2022</w:t>
            </w:r>
          </w:p>
        </w:tc>
      </w:tr>
      <w:tr>
        <w:trPr>
          <w:trHeight w:val="234"/>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method</w:t>
            </w:r>
          </w:p>
        </w:tc>
        <w:tc>
          <w:tcPr>
            <w:tcW w:w="3240" w:type="dxa"/>
            <w:vAlign w:val="bottom"/>
            <w:shd w:val="clear" w:color="auto" w:fill="CCEEFF"/>
          </w:tcPr>
          <w:p>
            <w:pPr>
              <w:jc w:val="right"/>
              <w:ind w:right="7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9"/>
              </w:rPr>
              <w:t>6,500</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5,421</w:t>
            </w: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Marketable equity securities</w:t>
            </w:r>
          </w:p>
        </w:tc>
        <w:tc>
          <w:tcPr>
            <w:tcW w:w="3240" w:type="dxa"/>
            <w:vAlign w:val="bottom"/>
          </w:tcPr>
          <w:p>
            <w:pPr>
              <w:spacing w:after="0"/>
              <w:rPr>
                <w:sz w:val="19"/>
                <w:szCs w:val="19"/>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82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Nonmarketable equity securities</w:t>
            </w:r>
          </w:p>
        </w:tc>
        <w:tc>
          <w:tcPr>
            <w:tcW w:w="32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9"/>
              </w:rPr>
              <w:t>1,526</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r>
      <w:tr>
        <w:trPr>
          <w:trHeight w:val="22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investments</w:t>
            </w:r>
          </w:p>
        </w:tc>
        <w:tc>
          <w:tcPr>
            <w:tcW w:w="3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380</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w:t>
            </w: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32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9"/>
              </w:rPr>
              <w:t>8,488</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8,142</w:t>
            </w: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Less: Current investments</w:t>
            </w:r>
          </w:p>
        </w:tc>
        <w:tc>
          <w:tcPr>
            <w:tcW w:w="3240" w:type="dxa"/>
            <w:vAlign w:val="bottom"/>
          </w:tcPr>
          <w:p>
            <w:pPr>
              <w:spacing w:after="0"/>
              <w:rPr>
                <w:sz w:val="19"/>
                <w:szCs w:val="19"/>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247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402</w:t>
            </w:r>
          </w:p>
        </w:tc>
      </w:tr>
      <w:tr>
        <w:trPr>
          <w:trHeight w:val="229"/>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Less: Investment securing collateralized obligation</w:t>
            </w:r>
          </w:p>
        </w:tc>
        <w:tc>
          <w:tcPr>
            <w:tcW w:w="3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480</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28"/>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Noncurrent investments</w:t>
            </w:r>
          </w:p>
        </w:tc>
        <w:tc>
          <w:tcPr>
            <w:tcW w:w="3240" w:type="dxa"/>
            <w:vAlign w:val="bottom"/>
            <w:tcBorders>
              <w:bottom w:val="single" w:sz="8" w:color="auto"/>
            </w:tcBorders>
          </w:tcPr>
          <w:p>
            <w:pPr>
              <w:jc w:val="right"/>
              <w:ind w:right="782"/>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9"/>
              </w:rPr>
              <w:t>7,761</w:t>
            </w: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7,250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amount of cash distributions received from equity method investments presented within operating activities in the condensed consolidated statements of cash flows in the six months ended June 30, 2023 and 2022 was $142 million and $67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Atairos</w:t>
      </w:r>
    </w:p>
    <w:p>
      <w:pPr>
        <w:spacing w:after="0" w:line="7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six months ended June 30, 2023 and 2022, we made cash capital contributions to Atairos totaling $28 million and $26 million, respectively. As of June 30, 2023 and December 31, 2022, our investment in Atairos, inclusive of certain distributions retained by Atairos on our behalf and classified as advances within other investments, was $4.7 billion and $4.3 billion, respectively. As of June 30, 2023, our remaining unfunded capital commitment was $1.5 billion.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Hulu and Collateralized Obligation</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2019, we borrowed $5.2 billion under a term loan facility due March 2024 which is fully collateralized by the minimum guaranteed proceeds of the put/call option related to our investment in Hulu. As of both June 30, 2023 and December 31, 2022, the carrying value and estimated fair value of our collateralized obligation were each $5.2 billion. The estimated fair values were based on Level 2 inputs that use interest rates for debt with similar terms and remaining maturities. We present our investment in Hulu and the term loan separately in our condensed consolidated balance sheets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Investments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Other investments include investments in certain short-term instruments with maturities over three months when purchased, such as commercial paper, certificates of deposit and U.S. government obligations, which are generally accounted for at amortized cost. These short-term instruments totaled $162 million and $304 million as of June 30, 2023 and December 31, 2022, respectively. The carrying amounts of these investments approximate their fair values, which are primarily based on Level 2 inputs that use interest rates for instruments with similar terms and remaining maturities. Proceeds from short-term instruments for the six months ended June 30, 2023 were $304 million and there were no proceeds for the six months ended June 30, 2022. Purchases of short-term instruments for the six months ended June 30, 2023 and 2022 were $162 million and $1.0 billion,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Beijing Resort</w:t>
      </w:r>
    </w:p>
    <w:p>
      <w:pPr>
        <w:spacing w:after="0" w:line="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own a 30% interest in a Universal theme park and resort in Beijing, China (“Universal Beijing Resort”), which opened in September 2021.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June 30, 2023, Universal Beijing Resort had $3.4 billion of debt outstanding, including $3.0 billion principal amount of a term loan outstanding under the debt financing agreement.</w:t>
      </w:r>
    </w:p>
    <w:p>
      <w:pPr>
        <w:spacing w:after="0" w:line="5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As of June 30, 2023, our condensed consolidated balance sheets included assets and liabilities of Universal Beijing Resort totaling $7.8 billion and $7.1 billion, respectively. The assets and liabilities of Universal Beijing Resort primarily consist of property and equipment, operating lease assets and liabilities, and debt.</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 Equity and Share-Based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Weighted-Average Common Shares Outstanding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780" w:type="dxa"/>
            <w:vAlign w:val="bottom"/>
            <w:gridSpan w:val="2"/>
          </w:tcPr>
          <w:p>
            <w:pPr>
              <w:jc w:val="right"/>
              <w:ind w:right="816"/>
              <w:spacing w:after="0"/>
              <w:rPr>
                <w:sz w:val="20"/>
                <w:szCs w:val="20"/>
                <w:color w:val="auto"/>
              </w:rPr>
            </w:pPr>
            <w:r>
              <w:rPr>
                <w:rFonts w:ascii="Arial" w:cs="Arial" w:eastAsia="Arial" w:hAnsi="Arial"/>
                <w:sz w:val="14"/>
                <w:szCs w:val="14"/>
                <w:color w:val="auto"/>
              </w:rPr>
              <w:t>Three Months Ended</w:t>
            </w:r>
          </w:p>
        </w:tc>
        <w:tc>
          <w:tcPr>
            <w:tcW w:w="164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80" w:type="dxa"/>
            <w:vAlign w:val="bottom"/>
          </w:tcPr>
          <w:p>
            <w:pPr>
              <w:spacing w:after="0"/>
              <w:rPr>
                <w:sz w:val="15"/>
                <w:szCs w:val="15"/>
                <w:color w:val="auto"/>
              </w:rPr>
            </w:pPr>
          </w:p>
        </w:tc>
        <w:tc>
          <w:tcPr>
            <w:tcW w:w="1680" w:type="dxa"/>
            <w:vAlign w:val="bottom"/>
          </w:tcPr>
          <w:p>
            <w:pPr>
              <w:jc w:val="right"/>
              <w:ind w:right="80"/>
              <w:spacing w:after="0"/>
              <w:rPr>
                <w:sz w:val="20"/>
                <w:szCs w:val="20"/>
                <w:color w:val="auto"/>
              </w:rPr>
            </w:pPr>
            <w:r>
              <w:rPr>
                <w:rFonts w:ascii="Arial" w:cs="Arial" w:eastAsia="Arial" w:hAnsi="Arial"/>
                <w:sz w:val="14"/>
                <w:szCs w:val="14"/>
                <w:color w:val="auto"/>
              </w:rPr>
              <w:t>June 30,</w:t>
            </w:r>
          </w:p>
        </w:tc>
        <w:tc>
          <w:tcPr>
            <w:tcW w:w="1100" w:type="dxa"/>
            <w:vAlign w:val="bottom"/>
          </w:tcPr>
          <w:p>
            <w:pPr>
              <w:spacing w:after="0"/>
              <w:rPr>
                <w:sz w:val="15"/>
                <w:szCs w:val="15"/>
                <w:color w:val="auto"/>
              </w:rPr>
            </w:pPr>
          </w:p>
        </w:tc>
        <w:tc>
          <w:tcPr>
            <w:tcW w:w="1640" w:type="dxa"/>
            <w:vAlign w:val="bottom"/>
          </w:tcPr>
          <w:p>
            <w:pPr>
              <w:jc w:val="right"/>
              <w:ind w:right="240"/>
              <w:spacing w:after="0"/>
              <w:rPr>
                <w:sz w:val="20"/>
                <w:szCs w:val="20"/>
                <w:color w:val="auto"/>
              </w:rPr>
            </w:pPr>
            <w:r>
              <w:rPr>
                <w:rFonts w:ascii="Arial" w:cs="Arial" w:eastAsia="Arial" w:hAnsi="Arial"/>
                <w:sz w:val="14"/>
                <w:szCs w:val="14"/>
                <w:color w:val="auto"/>
              </w:rPr>
              <w:t>June 30,</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right"/>
              <w:ind w:right="860"/>
              <w:spacing w:after="0"/>
              <w:rPr>
                <w:sz w:val="20"/>
                <w:szCs w:val="20"/>
                <w:color w:val="auto"/>
              </w:rPr>
            </w:pPr>
            <w:r>
              <w:rPr>
                <w:rFonts w:ascii="Arial" w:cs="Arial" w:eastAsia="Arial" w:hAnsi="Arial"/>
                <w:sz w:val="14"/>
                <w:szCs w:val="14"/>
                <w:color w:val="auto"/>
              </w:rPr>
              <w:t>2023</w:t>
            </w:r>
          </w:p>
        </w:tc>
        <w:tc>
          <w:tcPr>
            <w:tcW w:w="11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rPr>
              <w:t>2022</w:t>
            </w:r>
          </w:p>
        </w:tc>
        <w:tc>
          <w:tcPr>
            <w:tcW w:w="1640" w:type="dxa"/>
            <w:vAlign w:val="bottom"/>
            <w:tcBorders>
              <w:bottom w:val="single" w:sz="8" w:color="auto"/>
            </w:tcBorders>
          </w:tcPr>
          <w:p>
            <w:pPr>
              <w:jc w:val="right"/>
              <w:ind w:right="1020"/>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w w:val="83"/>
              </w:rPr>
              <w:t>2022</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common shares outstanding – basic</w:t>
            </w:r>
          </w:p>
        </w:tc>
        <w:tc>
          <w:tcPr>
            <w:tcW w:w="1680" w:type="dxa"/>
            <w:vAlign w:val="bottom"/>
            <w:shd w:val="clear" w:color="auto" w:fill="CCEEFF"/>
          </w:tcPr>
          <w:p>
            <w:pPr>
              <w:jc w:val="right"/>
              <w:ind w:right="480"/>
              <w:spacing w:after="0"/>
              <w:rPr>
                <w:sz w:val="20"/>
                <w:szCs w:val="20"/>
                <w:color w:val="auto"/>
              </w:rPr>
            </w:pPr>
            <w:r>
              <w:rPr>
                <w:rFonts w:ascii="Arial" w:cs="Arial" w:eastAsia="Arial" w:hAnsi="Arial"/>
                <w:sz w:val="17"/>
                <w:szCs w:val="17"/>
                <w:color w:val="auto"/>
              </w:rPr>
              <w:t>4,165</w:t>
            </w: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4,457</w:t>
            </w:r>
          </w:p>
        </w:tc>
        <w:tc>
          <w:tcPr>
            <w:tcW w:w="1640" w:type="dxa"/>
            <w:vAlign w:val="bottom"/>
            <w:shd w:val="clear" w:color="auto" w:fill="CCEEFF"/>
          </w:tcPr>
          <w:p>
            <w:pPr>
              <w:jc w:val="right"/>
              <w:ind w:right="640"/>
              <w:spacing w:after="0"/>
              <w:rPr>
                <w:sz w:val="20"/>
                <w:szCs w:val="20"/>
                <w:color w:val="auto"/>
              </w:rPr>
            </w:pPr>
            <w:r>
              <w:rPr>
                <w:rFonts w:ascii="Arial" w:cs="Arial" w:eastAsia="Arial" w:hAnsi="Arial"/>
                <w:sz w:val="17"/>
                <w:szCs w:val="17"/>
                <w:color w:val="auto"/>
              </w:rPr>
              <w:t>4,186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4,485</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1680" w:type="dxa"/>
            <w:vAlign w:val="bottom"/>
          </w:tcPr>
          <w:p>
            <w:pPr>
              <w:jc w:val="right"/>
              <w:ind w:right="480"/>
              <w:spacing w:after="0"/>
              <w:rPr>
                <w:sz w:val="20"/>
                <w:szCs w:val="20"/>
                <w:color w:val="auto"/>
              </w:rPr>
            </w:pPr>
            <w:r>
              <w:rPr>
                <w:rFonts w:ascii="Arial" w:cs="Arial" w:eastAsia="Arial" w:hAnsi="Arial"/>
                <w:sz w:val="17"/>
                <w:szCs w:val="17"/>
                <w:color w:val="auto"/>
              </w:rPr>
              <w:t>18</w:t>
            </w:r>
          </w:p>
        </w:tc>
        <w:tc>
          <w:tcPr>
            <w:tcW w:w="1100" w:type="dxa"/>
            <w:vAlign w:val="bottom"/>
          </w:tcPr>
          <w:p>
            <w:pPr>
              <w:jc w:val="right"/>
              <w:ind w:right="176"/>
              <w:spacing w:after="0"/>
              <w:rPr>
                <w:sz w:val="20"/>
                <w:szCs w:val="20"/>
                <w:color w:val="auto"/>
              </w:rPr>
            </w:pPr>
            <w:r>
              <w:rPr>
                <w:rFonts w:ascii="Arial" w:cs="Arial" w:eastAsia="Arial" w:hAnsi="Arial"/>
                <w:sz w:val="17"/>
                <w:szCs w:val="17"/>
                <w:color w:val="auto"/>
              </w:rPr>
              <w:t>25</w:t>
            </w:r>
          </w:p>
        </w:tc>
        <w:tc>
          <w:tcPr>
            <w:tcW w:w="1640" w:type="dxa"/>
            <w:vAlign w:val="bottom"/>
          </w:tcPr>
          <w:p>
            <w:pPr>
              <w:jc w:val="right"/>
              <w:ind w:right="640"/>
              <w:spacing w:after="0"/>
              <w:rPr>
                <w:sz w:val="20"/>
                <w:szCs w:val="20"/>
                <w:color w:val="auto"/>
              </w:rPr>
            </w:pPr>
            <w:r>
              <w:rPr>
                <w:rFonts w:ascii="Arial" w:cs="Arial" w:eastAsia="Arial" w:hAnsi="Arial"/>
                <w:sz w:val="17"/>
                <w:szCs w:val="17"/>
                <w:color w:val="auto"/>
              </w:rPr>
              <w:t>19</w:t>
            </w:r>
          </w:p>
        </w:tc>
        <w:tc>
          <w:tcPr>
            <w:tcW w:w="7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number of common shares outstanding – diluted</w:t>
            </w:r>
          </w:p>
        </w:tc>
        <w:tc>
          <w:tcPr>
            <w:tcW w:w="168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7"/>
                <w:szCs w:val="17"/>
                <w:color w:val="auto"/>
              </w:rPr>
              <w:t>4,183</w:t>
            </w:r>
          </w:p>
        </w:tc>
        <w:tc>
          <w:tcPr>
            <w:tcW w:w="11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4,482</w:t>
            </w:r>
          </w:p>
        </w:tc>
        <w:tc>
          <w:tcPr>
            <w:tcW w:w="164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7"/>
                <w:szCs w:val="17"/>
                <w:color w:val="auto"/>
              </w:rPr>
              <w:t>4,205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4,520</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Antidilutive securities</w:t>
            </w:r>
          </w:p>
        </w:tc>
        <w:tc>
          <w:tcPr>
            <w:tcW w:w="1680" w:type="dxa"/>
            <w:vAlign w:val="bottom"/>
            <w:tcBorders>
              <w:bottom w:val="single" w:sz="8" w:color="auto"/>
            </w:tcBorders>
          </w:tcPr>
          <w:p>
            <w:pPr>
              <w:jc w:val="right"/>
              <w:ind w:right="480"/>
              <w:spacing w:after="0"/>
              <w:rPr>
                <w:sz w:val="20"/>
                <w:szCs w:val="20"/>
                <w:color w:val="auto"/>
              </w:rPr>
            </w:pPr>
            <w:r>
              <w:rPr>
                <w:rFonts w:ascii="Arial" w:cs="Arial" w:eastAsia="Arial" w:hAnsi="Arial"/>
                <w:sz w:val="17"/>
                <w:szCs w:val="17"/>
                <w:color w:val="auto"/>
              </w:rPr>
              <w:t>230</w:t>
            </w: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182</w:t>
            </w:r>
          </w:p>
        </w:tc>
        <w:tc>
          <w:tcPr>
            <w:tcW w:w="1640" w:type="dxa"/>
            <w:vAlign w:val="bottom"/>
            <w:tcBorders>
              <w:bottom w:val="single" w:sz="8" w:color="auto"/>
            </w:tcBorders>
          </w:tcPr>
          <w:p>
            <w:pPr>
              <w:jc w:val="right"/>
              <w:ind w:right="640"/>
              <w:spacing w:after="0"/>
              <w:rPr>
                <w:sz w:val="20"/>
                <w:szCs w:val="20"/>
                <w:color w:val="auto"/>
              </w:rPr>
            </w:pPr>
            <w:r>
              <w:rPr>
                <w:rFonts w:ascii="Arial" w:cs="Arial" w:eastAsia="Arial" w:hAnsi="Arial"/>
                <w:sz w:val="17"/>
                <w:szCs w:val="17"/>
                <w:color w:val="auto"/>
              </w:rPr>
              <w:t>216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40" w:type="dxa"/>
            <w:vAlign w:val="bottom"/>
          </w:tcPr>
          <w:p>
            <w:pPr>
              <w:jc w:val="right"/>
              <w:ind w:right="519"/>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220" w:type="dxa"/>
            <w:vAlign w:val="bottom"/>
          </w:tcPr>
          <w:p>
            <w:pPr>
              <w:jc w:val="right"/>
              <w:ind w:right="239"/>
              <w:spacing w:after="0"/>
              <w:rPr>
                <w:sz w:val="20"/>
                <w:szCs w:val="20"/>
                <w:color w:val="auto"/>
              </w:rPr>
            </w:pPr>
            <w:r>
              <w:rPr>
                <w:rFonts w:ascii="Arial" w:cs="Arial" w:eastAsia="Arial" w:hAnsi="Arial"/>
                <w:sz w:val="14"/>
                <w:szCs w:val="14"/>
                <w:color w:val="auto"/>
              </w:rPr>
              <w:t>December 31,</w:t>
            </w:r>
          </w:p>
        </w:tc>
      </w:tr>
      <w:tr>
        <w:trPr>
          <w:trHeight w:val="178"/>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760" w:type="dxa"/>
            <w:vAlign w:val="bottom"/>
          </w:tcPr>
          <w:p>
            <w:pPr>
              <w:spacing w:after="0"/>
              <w:rPr>
                <w:sz w:val="15"/>
                <w:szCs w:val="15"/>
                <w:color w:val="auto"/>
              </w:rPr>
            </w:pPr>
          </w:p>
        </w:tc>
        <w:tc>
          <w:tcPr>
            <w:tcW w:w="1240" w:type="dxa"/>
            <w:vAlign w:val="bottom"/>
          </w:tcPr>
          <w:p>
            <w:pPr>
              <w:jc w:val="right"/>
              <w:ind w:right="599"/>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5"/>
                <w:szCs w:val="15"/>
                <w:color w:val="auto"/>
              </w:rPr>
            </w:pPr>
          </w:p>
        </w:tc>
        <w:tc>
          <w:tcPr>
            <w:tcW w:w="1220" w:type="dxa"/>
            <w:vAlign w:val="bottom"/>
          </w:tcPr>
          <w:p>
            <w:pPr>
              <w:jc w:val="right"/>
              <w:ind w:right="499"/>
              <w:spacing w:after="0"/>
              <w:rPr>
                <w:sz w:val="20"/>
                <w:szCs w:val="20"/>
                <w:color w:val="auto"/>
              </w:rPr>
            </w:pPr>
            <w:r>
              <w:rPr>
                <w:rFonts w:ascii="Arial" w:cs="Arial" w:eastAsia="Arial" w:hAnsi="Arial"/>
                <w:sz w:val="14"/>
                <w:szCs w:val="14"/>
                <w:color w:val="auto"/>
              </w:rPr>
              <w:t>2022</w:t>
            </w:r>
          </w:p>
        </w:tc>
      </w:tr>
      <w:tr>
        <w:trPr>
          <w:trHeight w:val="23"/>
        </w:trPr>
        <w:tc>
          <w:tcPr>
            <w:tcW w:w="6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translation adjustments</w:t>
            </w:r>
          </w:p>
        </w:tc>
        <w:tc>
          <w:tcPr>
            <w:tcW w:w="17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(1,786)</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r>
      <w:tr>
        <w:trPr>
          <w:trHeight w:val="222"/>
        </w:trPr>
        <w:tc>
          <w:tcPr>
            <w:tcW w:w="6700" w:type="dxa"/>
            <w:vAlign w:val="bottom"/>
          </w:tcPr>
          <w:p>
            <w:pPr>
              <w:ind w:left="20"/>
              <w:spacing w:after="0"/>
              <w:rPr>
                <w:sz w:val="20"/>
                <w:szCs w:val="20"/>
                <w:color w:val="auto"/>
              </w:rPr>
            </w:pPr>
            <w:r>
              <w:rPr>
                <w:rFonts w:ascii="Arial" w:cs="Arial" w:eastAsia="Arial" w:hAnsi="Arial"/>
                <w:sz w:val="17"/>
                <w:szCs w:val="17"/>
                <w:color w:val="auto"/>
              </w:rPr>
              <w:t>Deferred gains (losses) on cash flow hedges</w:t>
            </w:r>
          </w:p>
        </w:tc>
        <w:tc>
          <w:tcPr>
            <w:tcW w:w="1760" w:type="dxa"/>
            <w:vAlign w:val="bottom"/>
          </w:tcPr>
          <w:p>
            <w:pPr>
              <w:spacing w:after="0"/>
              <w:rPr>
                <w:sz w:val="19"/>
                <w:szCs w:val="19"/>
                <w:color w:val="auto"/>
              </w:rPr>
            </w:pPr>
          </w:p>
        </w:tc>
        <w:tc>
          <w:tcPr>
            <w:tcW w:w="1240" w:type="dxa"/>
            <w:vAlign w:val="bottom"/>
          </w:tcPr>
          <w:p>
            <w:pPr>
              <w:jc w:val="right"/>
              <w:ind w:right="99"/>
              <w:spacing w:after="0"/>
              <w:rPr>
                <w:sz w:val="20"/>
                <w:szCs w:val="20"/>
                <w:color w:val="auto"/>
              </w:rPr>
            </w:pPr>
            <w:r>
              <w:rPr>
                <w:rFonts w:ascii="Arial" w:cs="Arial" w:eastAsia="Arial" w:hAnsi="Arial"/>
                <w:sz w:val="17"/>
                <w:szCs w:val="17"/>
                <w:color w:val="auto"/>
              </w:rPr>
              <w:t>74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22"/>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Unrecognized gains (losses) on employee benefit obligations and other</w:t>
            </w:r>
          </w:p>
        </w:tc>
        <w:tc>
          <w:tcPr>
            <w:tcW w:w="17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280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2"/>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Accumulated other comprehensive income (loss), net of deferred taxes</w:t>
            </w:r>
          </w:p>
        </w:tc>
        <w:tc>
          <w:tcPr>
            <w:tcW w:w="17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(1,432)</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(2,611)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share-based compensation plans consist primarily of awards of restricted share units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 March 2023, we granted 22 million RSUs and 57 million stock options related to our annual management awards. The weighted-average fair values associated with these grants were $36.62 per RSU and $8.33 per stock option.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three months ended June 30, 2023 and 2022, share-based compensation expense recognized in our condensed consolidated statements of income was $252 million and $246 million, respectively. During the six months ended June 30, 2023 and 2022, share-based compensation expense recognized in our condensed consolidated statements of income was $547 million and $546 million, respectively. As of June 30, 2023, we had unrecognized pretax compensation expense of $2.4 billion related to nonvested RSUs and nonvested stock options.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 Supplemental Financial Information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Cash Payments for Interest and Income Taxes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2"/>
        </w:trPr>
        <w:tc>
          <w:tcPr>
            <w:tcW w:w="8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5"/>
                <w:szCs w:val="15"/>
                <w:color w:val="auto"/>
              </w:rPr>
            </w:pPr>
          </w:p>
        </w:tc>
      </w:tr>
      <w:tr>
        <w:trPr>
          <w:trHeight w:val="189"/>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2022</w:t>
            </w:r>
          </w:p>
        </w:tc>
      </w:tr>
      <w:tr>
        <w:trPr>
          <w:trHeight w:val="22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1,823</w:t>
            </w:r>
          </w:p>
        </w:tc>
        <w:tc>
          <w:tcPr>
            <w:tcW w:w="6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r>
      <w:tr>
        <w:trPr>
          <w:trHeight w:val="229"/>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7"/>
                <w:szCs w:val="17"/>
                <w:color w:val="auto"/>
              </w:rPr>
              <w:t>2,384</w:t>
            </w:r>
          </w:p>
        </w:tc>
        <w:tc>
          <w:tcPr>
            <w:tcW w:w="6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2,841</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Activities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2023:</w:t>
      </w:r>
    </w:p>
    <w:p>
      <w:pPr>
        <w:spacing w:after="0" w:line="79"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acquired $2.2 billion of property and equipment and intangible assets that were accrued but unpaid</w:t>
      </w:r>
    </w:p>
    <w:p>
      <w:pPr>
        <w:spacing w:after="0" w:line="79" w:lineRule="exact"/>
        <w:rPr>
          <w:rFonts w:ascii="Arial" w:cs="Arial" w:eastAsia="Arial" w:hAnsi="Arial"/>
          <w:sz w:val="17"/>
          <w:szCs w:val="17"/>
          <w:color w:val="auto"/>
        </w:rPr>
      </w:pPr>
    </w:p>
    <w:p>
      <w:pPr>
        <w:ind w:right="2760" w:firstLine="319"/>
        <w:spacing w:after="0" w:line="337" w:lineRule="auto"/>
        <w:tabs>
          <w:tab w:leader="none" w:pos="6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recorded a liability of $1.2 billion for a quarterly cash dividend of $0.29 per common share paid in July 2023 During the six months ended June 30, 2022:</w:t>
      </w: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acquired $1.9 billion of property and equipment and intangible assets that were accrued but unpaid</w:t>
      </w:r>
    </w:p>
    <w:p>
      <w:pPr>
        <w:spacing w:after="0" w:line="79"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recorded a liability of $1.2 billion for a quarterly cash dividend of $0.27 per common share paid in July 2022</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40"/>
              <w:spacing w:after="0"/>
              <w:rPr>
                <w:sz w:val="20"/>
                <w:szCs w:val="20"/>
                <w:color w:val="auto"/>
              </w:rPr>
            </w:pPr>
            <w:r>
              <w:rPr>
                <w:rFonts w:ascii="Arial" w:cs="Arial" w:eastAsia="Arial" w:hAnsi="Arial"/>
                <w:sz w:val="14"/>
                <w:szCs w:val="14"/>
                <w:color w:val="auto"/>
              </w:rPr>
              <w:t>December 31,</w:t>
            </w:r>
          </w:p>
        </w:tc>
      </w:tr>
      <w:tr>
        <w:trPr>
          <w:trHeight w:val="178"/>
        </w:trPr>
        <w:tc>
          <w:tcPr>
            <w:tcW w:w="6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60" w:type="dxa"/>
            <w:vAlign w:val="bottom"/>
          </w:tcPr>
          <w:p>
            <w:pPr>
              <w:jc w:val="right"/>
              <w:ind w:right="22"/>
              <w:spacing w:after="0"/>
              <w:rPr>
                <w:sz w:val="20"/>
                <w:szCs w:val="20"/>
                <w:color w:val="auto"/>
              </w:rPr>
            </w:pPr>
            <w:r>
              <w:rPr>
                <w:rFonts w:ascii="Arial" w:cs="Arial" w:eastAsia="Arial" w:hAnsi="Arial"/>
                <w:sz w:val="14"/>
                <w:szCs w:val="14"/>
                <w:color w:val="auto"/>
              </w:rPr>
              <w:t>2023</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00"/>
              <w:spacing w:after="0"/>
              <w:rPr>
                <w:sz w:val="20"/>
                <w:szCs w:val="20"/>
                <w:color w:val="auto"/>
              </w:rPr>
            </w:pPr>
            <w:r>
              <w:rPr>
                <w:rFonts w:ascii="Arial" w:cs="Arial" w:eastAsia="Arial" w:hAnsi="Arial"/>
                <w:sz w:val="14"/>
                <w:szCs w:val="14"/>
                <w:color w:val="auto"/>
              </w:rPr>
              <w:t>2022</w:t>
            </w:r>
          </w:p>
        </w:tc>
      </w:tr>
      <w:tr>
        <w:trPr>
          <w:trHeight w:val="23"/>
        </w:trPr>
        <w:tc>
          <w:tcPr>
            <w:tcW w:w="68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60" w:type="dxa"/>
            <w:vAlign w:val="bottom"/>
            <w:shd w:val="clear" w:color="auto" w:fill="CCEEFF"/>
          </w:tcPr>
          <w:p>
            <w:pPr>
              <w:jc w:val="right"/>
              <w:ind w:right="7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9"/>
              </w:rPr>
              <w:t>7,146</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4,749</w:t>
            </w:r>
          </w:p>
        </w:tc>
      </w:tr>
      <w:tr>
        <w:trPr>
          <w:trHeight w:val="222"/>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included in other current assets and other noncurrent assets, net</w:t>
            </w:r>
          </w:p>
        </w:tc>
        <w:tc>
          <w:tcPr>
            <w:tcW w:w="2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55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r>
      <w:tr>
        <w:trPr>
          <w:trHeight w:val="235"/>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22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9"/>
              </w:rPr>
              <w:t>7,202</w:t>
            </w:r>
          </w:p>
        </w:tc>
        <w:tc>
          <w:tcPr>
            <w:tcW w:w="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4,782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120"/>
        <w:spacing w:after="0" w:line="276" w:lineRule="auto"/>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discussion is provided as a supplement to, and should be read in conjunction with, the condensed consolidated financial statements and related notes included in this Quarterly Report on Form 10-Q and our 2022 Annual Report on Form 10-K.</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We are a global media and technology company with two primary businesses: Connectivity &amp; Platforms and Content &amp; Experiences. We present the operations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of (1) our Connectivity &amp; Platforms business in two reportable business segments: Residential Connectivity &amp; Platforms and Business Services Connectivity and (2) our Content &amp; Experiences business in three reportable business segments: Media, Studios and Theme Parks. Refer to Note 2 for information on our reportable business segments, including a description of the segment change implemented in the first quarter of 2023. All amounts are presented under the new segment structure.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Operating Results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854"/>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Change</w:t>
            </w: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2022</w:t>
            </w: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2023</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w w:val="83"/>
              </w:rPr>
              <w:t>2022</w:t>
            </w: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30,513</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30,016</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60,205</w:t>
            </w:r>
          </w:p>
        </w:tc>
        <w:tc>
          <w:tcPr>
            <w:tcW w:w="5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61,026</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Programming and production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8,849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8,887</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17,853</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19,457</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Marketing and promotion</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2,100</w:t>
            </w:r>
          </w:p>
        </w:tc>
        <w:tc>
          <w:tcPr>
            <w:tcW w:w="380" w:type="dxa"/>
            <w:vAlign w:val="bottom"/>
          </w:tcPr>
          <w:p>
            <w:pPr>
              <w:spacing w:after="0"/>
              <w:rPr>
                <w:sz w:val="19"/>
                <w:szCs w:val="19"/>
                <w:color w:val="auto"/>
              </w:rPr>
            </w:pPr>
          </w:p>
        </w:tc>
        <w:tc>
          <w:tcPr>
            <w:tcW w:w="1140" w:type="dxa"/>
            <w:vAlign w:val="bottom"/>
          </w:tcPr>
          <w:p>
            <w:pPr>
              <w:jc w:val="right"/>
              <w:ind w:right="254"/>
              <w:spacing w:after="0"/>
              <w:rPr>
                <w:sz w:val="20"/>
                <w:szCs w:val="20"/>
                <w:color w:val="auto"/>
              </w:rPr>
            </w:pPr>
            <w:r>
              <w:rPr>
                <w:rFonts w:ascii="Arial" w:cs="Arial" w:eastAsia="Arial" w:hAnsi="Arial"/>
                <w:sz w:val="17"/>
                <w:szCs w:val="17"/>
                <w:color w:val="auto"/>
              </w:rPr>
              <w:t>2,196</w:t>
            </w: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(4.4)</w:t>
            </w:r>
          </w:p>
        </w:tc>
        <w:tc>
          <w:tcPr>
            <w:tcW w:w="3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4,063</w:t>
            </w:r>
          </w:p>
        </w:tc>
        <w:tc>
          <w:tcPr>
            <w:tcW w:w="52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4,258</w:t>
            </w:r>
          </w:p>
        </w:tc>
        <w:tc>
          <w:tcPr>
            <w:tcW w:w="1180" w:type="dxa"/>
            <w:vAlign w:val="bottom"/>
          </w:tcPr>
          <w:p>
            <w:pPr>
              <w:jc w:val="right"/>
              <w:ind w:right="95"/>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6"/>
        </w:trPr>
        <w:tc>
          <w:tcPr>
            <w:tcW w:w="3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and administrative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9,317</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9,098</w:t>
            </w:r>
          </w:p>
        </w:tc>
        <w:tc>
          <w:tcPr>
            <w:tcW w:w="126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2.4</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18,618</w:t>
            </w: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18,358</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2"/>
        </w:trPr>
        <w:tc>
          <w:tcPr>
            <w:tcW w:w="3180" w:type="dxa"/>
            <w:vAlign w:val="bottom"/>
          </w:tcPr>
          <w:p>
            <w:pPr>
              <w:ind w:left="34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2,195</w:t>
            </w:r>
          </w:p>
        </w:tc>
        <w:tc>
          <w:tcPr>
            <w:tcW w:w="380" w:type="dxa"/>
            <w:vAlign w:val="bottom"/>
          </w:tcPr>
          <w:p>
            <w:pPr>
              <w:spacing w:after="0"/>
              <w:rPr>
                <w:sz w:val="19"/>
                <w:szCs w:val="19"/>
                <w:color w:val="auto"/>
              </w:rPr>
            </w:pPr>
          </w:p>
        </w:tc>
        <w:tc>
          <w:tcPr>
            <w:tcW w:w="1140" w:type="dxa"/>
            <w:vAlign w:val="bottom"/>
          </w:tcPr>
          <w:p>
            <w:pPr>
              <w:jc w:val="right"/>
              <w:ind w:right="254"/>
              <w:spacing w:after="0"/>
              <w:rPr>
                <w:sz w:val="20"/>
                <w:szCs w:val="20"/>
                <w:color w:val="auto"/>
              </w:rPr>
            </w:pPr>
            <w:r>
              <w:rPr>
                <w:rFonts w:ascii="Arial" w:cs="Arial" w:eastAsia="Arial" w:hAnsi="Arial"/>
                <w:sz w:val="17"/>
                <w:szCs w:val="17"/>
                <w:color w:val="auto"/>
              </w:rPr>
              <w:t>2,162</w:t>
            </w: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1.5</w:t>
            </w:r>
          </w:p>
        </w:tc>
        <w:tc>
          <w:tcPr>
            <w:tcW w:w="3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4,459</w:t>
            </w:r>
          </w:p>
        </w:tc>
        <w:tc>
          <w:tcPr>
            <w:tcW w:w="52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4,375</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1,343</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1,306</w:t>
            </w:r>
          </w:p>
        </w:tc>
        <w:tc>
          <w:tcPr>
            <w:tcW w:w="12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2,856</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2,641</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23,804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23,649</w:t>
            </w: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0.7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47,849</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49,089</w:t>
            </w: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6,709</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6,367</w:t>
            </w:r>
          </w:p>
        </w:tc>
        <w:tc>
          <w:tcPr>
            <w:tcW w:w="126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5.4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12,355</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11,936</w:t>
            </w: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(998)</w:t>
            </w:r>
          </w:p>
        </w:tc>
        <w:tc>
          <w:tcPr>
            <w:tcW w:w="38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Arial" w:cs="Arial" w:eastAsia="Arial" w:hAnsi="Arial"/>
                <w:sz w:val="17"/>
                <w:szCs w:val="17"/>
                <w:color w:val="auto"/>
              </w:rPr>
              <w:t>(968)</w:t>
            </w: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3.0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(2,007)</w:t>
            </w:r>
          </w:p>
        </w:tc>
        <w:tc>
          <w:tcPr>
            <w:tcW w:w="52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(1,962)</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Investment and other income (loss),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(897)</w:t>
            </w:r>
          </w:p>
        </w:tc>
        <w:tc>
          <w:tcPr>
            <w:tcW w:w="12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NM</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622</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(709)</w:t>
            </w: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5,726</w:t>
            </w:r>
          </w:p>
        </w:tc>
        <w:tc>
          <w:tcPr>
            <w:tcW w:w="38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Arial" w:cs="Arial" w:eastAsia="Arial" w:hAnsi="Arial"/>
                <w:sz w:val="17"/>
                <w:szCs w:val="17"/>
                <w:color w:val="auto"/>
              </w:rPr>
              <w:t>4,502</w:t>
            </w: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27.2</w:t>
            </w:r>
          </w:p>
        </w:tc>
        <w:tc>
          <w:tcPr>
            <w:tcW w:w="3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10,970</w:t>
            </w:r>
          </w:p>
        </w:tc>
        <w:tc>
          <w:tcPr>
            <w:tcW w:w="52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9,266</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(1,261)</w:t>
            </w:r>
          </w:p>
        </w:tc>
        <w:tc>
          <w:tcPr>
            <w:tcW w:w="12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21.9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(3,013)</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(2,548)</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2"/>
        </w:trPr>
        <w:tc>
          <w:tcPr>
            <w:tcW w:w="3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4,189</w:t>
            </w:r>
          </w:p>
        </w:tc>
        <w:tc>
          <w:tcPr>
            <w:tcW w:w="380" w:type="dxa"/>
            <w:vAlign w:val="bottom"/>
          </w:tcPr>
          <w:p>
            <w:pPr>
              <w:spacing w:after="0"/>
              <w:rPr>
                <w:sz w:val="19"/>
                <w:szCs w:val="19"/>
                <w:color w:val="auto"/>
              </w:rPr>
            </w:pPr>
          </w:p>
        </w:tc>
        <w:tc>
          <w:tcPr>
            <w:tcW w:w="1140" w:type="dxa"/>
            <w:vAlign w:val="bottom"/>
          </w:tcPr>
          <w:p>
            <w:pPr>
              <w:jc w:val="right"/>
              <w:ind w:right="254"/>
              <w:spacing w:after="0"/>
              <w:rPr>
                <w:sz w:val="20"/>
                <w:szCs w:val="20"/>
                <w:color w:val="auto"/>
              </w:rPr>
            </w:pPr>
            <w:r>
              <w:rPr>
                <w:rFonts w:ascii="Arial" w:cs="Arial" w:eastAsia="Arial" w:hAnsi="Arial"/>
                <w:sz w:val="17"/>
                <w:szCs w:val="17"/>
                <w:color w:val="auto"/>
              </w:rPr>
              <w:t>3,241</w:t>
            </w: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29.2</w:t>
            </w:r>
          </w:p>
        </w:tc>
        <w:tc>
          <w:tcPr>
            <w:tcW w:w="3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7,957</w:t>
            </w:r>
          </w:p>
        </w:tc>
        <w:tc>
          <w:tcPr>
            <w:tcW w:w="520" w:type="dxa"/>
            <w:vAlign w:val="bottom"/>
          </w:tcPr>
          <w:p>
            <w:pPr>
              <w:spacing w:after="0"/>
              <w:rPr>
                <w:sz w:val="19"/>
                <w:szCs w:val="19"/>
                <w:color w:val="auto"/>
              </w:rPr>
            </w:pP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6,717</w:t>
            </w: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Less: Net income (loss) attributable to</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rPr>
              <w:t>(155)</w:t>
            </w:r>
          </w:p>
        </w:tc>
        <w:tc>
          <w:tcPr>
            <w:tcW w:w="126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(61.8)</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5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rPr>
              <w:t>(227)</w:t>
            </w:r>
          </w:p>
        </w:tc>
        <w:tc>
          <w:tcPr>
            <w:tcW w:w="118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28"/>
        </w:trPr>
        <w:tc>
          <w:tcPr>
            <w:tcW w:w="3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Net income attributable to Comcast</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4,248</w:t>
            </w:r>
          </w:p>
        </w:tc>
        <w:tc>
          <w:tcPr>
            <w:tcW w:w="38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3,396</w:t>
            </w: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25.1 %</w:t>
            </w:r>
          </w:p>
        </w:tc>
        <w:tc>
          <w:tcPr>
            <w:tcW w:w="3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8,082</w:t>
            </w:r>
          </w:p>
        </w:tc>
        <w:tc>
          <w:tcPr>
            <w:tcW w:w="520" w:type="dxa"/>
            <w:vAlign w:val="bottom"/>
            <w:vMerge w:val="restart"/>
          </w:tcPr>
          <w:p>
            <w:pPr>
              <w:jc w:val="right"/>
              <w:ind w:right="273"/>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6,945</w:t>
            </w: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16.4 %</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Corporation</w:t>
            </w:r>
          </w:p>
        </w:tc>
        <w:tc>
          <w:tcPr>
            <w:tcW w:w="2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80" w:type="dxa"/>
            <w:vAlign w:val="bottom"/>
            <w:shd w:val="clear" w:color="auto" w:fill="CCEEFF"/>
          </w:tcPr>
          <w:p>
            <w:pPr>
              <w:ind w:left="20"/>
              <w:spacing w:after="0" w:line="178" w:lineRule="exact"/>
              <w:rPr>
                <w:sz w:val="20"/>
                <w:szCs w:val="20"/>
                <w:color w:val="auto"/>
              </w:rPr>
            </w:pPr>
            <w:r>
              <w:rPr>
                <w:rFonts w:ascii="Arial" w:cs="Arial" w:eastAsia="Arial" w:hAnsi="Arial"/>
                <w:sz w:val="17"/>
                <w:szCs w:val="17"/>
                <w:b w:val="1"/>
                <w:bCs w:val="1"/>
                <w:color w:val="auto"/>
              </w:rPr>
              <w:t>Basic earnings per common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b w:val="1"/>
                <w:bCs w:val="1"/>
                <w:color w:val="auto"/>
              </w:rPr>
              <w:t>attributable to Comcast Corporation</w:t>
            </w: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1.02</w:t>
            </w:r>
          </w:p>
        </w:tc>
        <w:tc>
          <w:tcPr>
            <w:tcW w:w="38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0.76</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34.2 %</w:t>
            </w:r>
          </w:p>
        </w:tc>
        <w:tc>
          <w:tcPr>
            <w:tcW w:w="32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1.93</w:t>
            </w:r>
          </w:p>
        </w:tc>
        <w:tc>
          <w:tcPr>
            <w:tcW w:w="520" w:type="dxa"/>
            <w:vAlign w:val="bottom"/>
            <w:vMerge w:val="restart"/>
            <w:shd w:val="clear" w:color="auto" w:fill="CCEEFF"/>
          </w:tcPr>
          <w:p>
            <w:pPr>
              <w:jc w:val="right"/>
              <w:ind w:right="273"/>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1.55</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24.5 %</w:t>
            </w:r>
          </w:p>
        </w:tc>
        <w:tc>
          <w:tcPr>
            <w:tcW w:w="0" w:type="dxa"/>
            <w:vAlign w:val="bottom"/>
          </w:tcPr>
          <w:p>
            <w:pPr>
              <w:spacing w:after="0"/>
              <w:rPr>
                <w:sz w:val="1"/>
                <w:szCs w:val="1"/>
                <w:color w:val="auto"/>
              </w:rPr>
            </w:pPr>
          </w:p>
        </w:tc>
      </w:tr>
      <w:tr>
        <w:trPr>
          <w:trHeight w:val="222"/>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shareholders</w:t>
            </w: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80" w:type="dxa"/>
            <w:vAlign w:val="bottom"/>
          </w:tcPr>
          <w:p>
            <w:pPr>
              <w:ind w:left="20"/>
              <w:spacing w:after="0" w:line="178" w:lineRule="exact"/>
              <w:rPr>
                <w:sz w:val="20"/>
                <w:szCs w:val="20"/>
                <w:color w:val="auto"/>
              </w:rPr>
            </w:pPr>
            <w:r>
              <w:rPr>
                <w:rFonts w:ascii="Arial" w:cs="Arial" w:eastAsia="Arial" w:hAnsi="Arial"/>
                <w:sz w:val="17"/>
                <w:szCs w:val="17"/>
                <w:b w:val="1"/>
                <w:bCs w:val="1"/>
                <w:color w:val="auto"/>
              </w:rPr>
              <w:t>Diluted earnings per common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line="176" w:lineRule="exact"/>
              <w:rPr>
                <w:sz w:val="20"/>
                <w:szCs w:val="20"/>
                <w:color w:val="auto"/>
              </w:rPr>
            </w:pPr>
            <w:r>
              <w:rPr>
                <w:rFonts w:ascii="Arial" w:cs="Arial" w:eastAsia="Arial" w:hAnsi="Arial"/>
                <w:sz w:val="17"/>
                <w:szCs w:val="17"/>
                <w:b w:val="1"/>
                <w:bCs w:val="1"/>
                <w:color w:val="auto"/>
              </w:rPr>
              <w:t>attributable to Comcast Corporation</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1.02</w:t>
            </w:r>
          </w:p>
        </w:tc>
        <w:tc>
          <w:tcPr>
            <w:tcW w:w="380" w:type="dxa"/>
            <w:vAlign w:val="bottom"/>
            <w:vMerge w:val="restart"/>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0.76</w:t>
            </w: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34.2 %</w:t>
            </w:r>
          </w:p>
        </w:tc>
        <w:tc>
          <w:tcPr>
            <w:tcW w:w="32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1.92</w:t>
            </w:r>
          </w:p>
        </w:tc>
        <w:tc>
          <w:tcPr>
            <w:tcW w:w="520" w:type="dxa"/>
            <w:vAlign w:val="bottom"/>
            <w:vMerge w:val="restart"/>
          </w:tcPr>
          <w:p>
            <w:pPr>
              <w:jc w:val="right"/>
              <w:ind w:right="273"/>
              <w:spacing w:after="0"/>
              <w:rPr>
                <w:sz w:val="20"/>
                <w:szCs w:val="20"/>
                <w:color w:val="auto"/>
              </w:rPr>
            </w:pPr>
            <w:r>
              <w:rPr>
                <w:rFonts w:ascii="Arial" w:cs="Arial" w:eastAsia="Arial" w:hAnsi="Arial"/>
                <w:sz w:val="17"/>
                <w:szCs w:val="17"/>
                <w:b w:val="1"/>
                <w:bCs w:val="1"/>
                <w:color w:val="auto"/>
              </w:rPr>
              <w:t>$</w:t>
            </w:r>
          </w:p>
        </w:tc>
        <w:tc>
          <w:tcPr>
            <w:tcW w:w="102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1.54</w:t>
            </w: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24.7 %</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shareholders</w:t>
            </w:r>
          </w:p>
        </w:tc>
        <w:tc>
          <w:tcPr>
            <w:tcW w:w="2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318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color w:val="auto"/>
                <w:vertAlign w:val="superscript"/>
              </w:rPr>
              <w:t>(a)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10,244</w:t>
            </w:r>
          </w:p>
        </w:tc>
        <w:tc>
          <w:tcPr>
            <w:tcW w:w="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9,827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4.2 %</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19,659</w:t>
            </w:r>
          </w:p>
        </w:tc>
        <w:tc>
          <w:tcPr>
            <w:tcW w:w="5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18,977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35" w:lineRule="exact"/>
        <w:rPr>
          <w:sz w:val="20"/>
          <w:szCs w:val="20"/>
          <w:color w:val="auto"/>
        </w:rPr>
      </w:pPr>
    </w:p>
    <w:p>
      <w:pPr>
        <w:ind w:left="240" w:hanging="235"/>
        <w:spacing w:after="0" w:line="269" w:lineRule="auto"/>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27 for additional information, including our definition and our use of Adjusted EBITDA, and for a reconciliation from net income attributable to Comcast Corporation to Adjusted EBITDA.</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revenue </w:t>
      </w:r>
      <w:r>
        <w:rPr>
          <w:rFonts w:ascii="Arial" w:cs="Arial" w:eastAsia="Arial" w:hAnsi="Arial"/>
          <w:sz w:val="17"/>
          <w:szCs w:val="17"/>
          <w:color w:val="auto"/>
        </w:rPr>
        <w:t>increased for the three months ended June 30, 2023 primarily driven by increases in the Content &amp; Experiences business and 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and Other. Consolidated revenue decreased for the six months ended June 30, 2023, primarily driven by a decrease in the Content &amp; Experiences business, partially offset by an increase in Corporate and Other. Revenue for our reportable business segments and other businesses is discussed separately below under the heading “Segment Operating Results.”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Consolidated costs and expenses</w:t>
      </w:r>
      <w:r>
        <w:rPr>
          <w:rFonts w:ascii="Arial" w:cs="Arial" w:eastAsia="Arial" w:hAnsi="Arial"/>
          <w:sz w:val="17"/>
          <w:szCs w:val="17"/>
          <w:color w:val="auto"/>
        </w:rPr>
        <w:t>, excluding depreciation and amortization expense, remained consistent with the prior year period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2023 driven by increases in the Content &amp; Experiences business and in Corporate and Other, offset by a decrease in the Connectivity &amp; Platforms business. Consolidated costs and expenses, excluding depreciation and amortization expense, decreased for the six months ended June 30, 2023, driven by decreases in the Connectivity &amp; Platforms and Content &amp; Experiences businesses, partially offset by an increase in Corporate and Other. Costs and expenses for our reportable business segments and our corporate operations and other businesses are discussed separately below under the heading “Segment Operating Results.”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 xml:space="preserve">Consolidated depreciation and amortization expense </w:t>
      </w:r>
      <w:r>
        <w:rPr>
          <w:rFonts w:ascii="Arial" w:cs="Arial" w:eastAsia="Arial" w:hAnsi="Arial"/>
          <w:sz w:val="17"/>
          <w:szCs w:val="17"/>
          <w:color w:val="auto"/>
        </w:rPr>
        <w:t>increased for the three months ended June 30, 2023 primarily due to increased depreciation at our</w:t>
      </w:r>
      <w:r>
        <w:rPr>
          <w:rFonts w:ascii="Arial" w:cs="Arial" w:eastAsia="Arial" w:hAnsi="Arial"/>
          <w:sz w:val="17"/>
          <w:szCs w:val="17"/>
          <w:b w:val="1"/>
          <w:bCs w:val="1"/>
          <w:color w:val="auto"/>
        </w:rPr>
        <w:t xml:space="preserve"> </w:t>
      </w:r>
      <w:r>
        <w:rPr>
          <w:rFonts w:ascii="Arial" w:cs="Arial" w:eastAsia="Arial" w:hAnsi="Arial"/>
          <w:sz w:val="17"/>
          <w:szCs w:val="17"/>
          <w:color w:val="auto"/>
        </w:rPr>
        <w:t>theme parks. Consolidated depreciation and amortization increased for the six months ended June 30, 2023 primarily due to an increase in the amortization of software, partially offset by the impact of foreign currency.</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Amortization expense from acquisition-related intangible assets totaled $572 million and $1.1 billion for the three and six months ended June 30, 2023, respectively, and $568 million and $1.2 billion for the three and six months ended June 30, 2022, respectively. Amounts primarily relate to customer relationship intangible assets recorded in connection with the Sky transaction in 2018 and the NBCUniversal transaction in 2011.</w:t>
      </w:r>
    </w:p>
    <w:p>
      <w:pPr>
        <w:spacing w:after="0" w:line="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Consolidated interest expense </w:t>
      </w:r>
      <w:r>
        <w:rPr>
          <w:rFonts w:ascii="Arial" w:cs="Arial" w:eastAsia="Arial" w:hAnsi="Arial"/>
          <w:sz w:val="17"/>
          <w:szCs w:val="17"/>
          <w:color w:val="auto"/>
        </w:rPr>
        <w:t>increased for the three and six months ended June 30, 2023 primarily due to higher weighted-average interest rates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increases in average debt outstanding.</w:t>
      </w:r>
    </w:p>
    <w:p>
      <w:pPr>
        <w:jc w:val="both"/>
        <w:spacing w:after="0" w:line="301" w:lineRule="auto"/>
        <w:rPr>
          <w:sz w:val="20"/>
          <w:szCs w:val="20"/>
          <w:color w:val="auto"/>
        </w:rPr>
      </w:pPr>
      <w:r>
        <w:rPr>
          <w:rFonts w:ascii="Arial" w:cs="Arial" w:eastAsia="Arial" w:hAnsi="Arial"/>
          <w:sz w:val="17"/>
          <w:szCs w:val="17"/>
          <w:b w:val="1"/>
          <w:bCs w:val="1"/>
          <w:color w:val="auto"/>
        </w:rPr>
        <w:t xml:space="preserve">Consolidated investment and other income (loss), net </w:t>
      </w:r>
      <w:r>
        <w:rPr>
          <w:rFonts w:ascii="Arial" w:cs="Arial" w:eastAsia="Arial" w:hAnsi="Arial"/>
          <w:sz w:val="17"/>
          <w:szCs w:val="17"/>
          <w:color w:val="auto"/>
        </w:rPr>
        <w:t>increased for the three and six months ended June 30, 2023 compared to the same periods in</w:t>
      </w:r>
      <w:r>
        <w:rPr>
          <w:rFonts w:ascii="Arial" w:cs="Arial" w:eastAsia="Arial" w:hAnsi="Arial"/>
          <w:sz w:val="17"/>
          <w:szCs w:val="17"/>
          <w:b w:val="1"/>
          <w:bCs w:val="1"/>
          <w:color w:val="auto"/>
        </w:rPr>
        <w:t xml:space="preserve"> </w:t>
      </w:r>
      <w:r>
        <w:rPr>
          <w:rFonts w:ascii="Arial" w:cs="Arial" w:eastAsia="Arial" w:hAnsi="Arial"/>
          <w:sz w:val="17"/>
          <w:szCs w:val="17"/>
          <w:color w:val="auto"/>
        </w:rPr>
        <w:t>2022.</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160" w:type="dxa"/>
            <w:vAlign w:val="bottom"/>
            <w:gridSpan w:val="3"/>
          </w:tcPr>
          <w:p>
            <w:pPr>
              <w:jc w:val="right"/>
              <w:ind w:right="199"/>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1"/>
              </w:rPr>
              <w:t>Six Months Ended</w:t>
            </w:r>
          </w:p>
        </w:tc>
        <w:tc>
          <w:tcPr>
            <w:tcW w:w="780" w:type="dxa"/>
            <w:vAlign w:val="bottom"/>
          </w:tcPr>
          <w:p>
            <w:pPr>
              <w:spacing w:after="0"/>
              <w:rPr>
                <w:sz w:val="14"/>
                <w:szCs w:val="14"/>
                <w:color w:val="auto"/>
              </w:rPr>
            </w:pPr>
          </w:p>
        </w:tc>
      </w:tr>
      <w:tr>
        <w:trPr>
          <w:trHeight w:val="182"/>
        </w:trPr>
        <w:tc>
          <w:tcPr>
            <w:tcW w:w="57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5"/>
              </w:rPr>
              <w:t>June 30,</w:t>
            </w:r>
          </w:p>
        </w:tc>
        <w:tc>
          <w:tcPr>
            <w:tcW w:w="780" w:type="dxa"/>
            <w:vAlign w:val="bottom"/>
            <w:tcBorders>
              <w:bottom w:val="single" w:sz="8" w:color="auto"/>
            </w:tcBorders>
          </w:tcPr>
          <w:p>
            <w:pPr>
              <w:spacing w:after="0"/>
              <w:rPr>
                <w:sz w:val="15"/>
                <w:szCs w:val="15"/>
                <w:color w:val="auto"/>
              </w:rPr>
            </w:pPr>
          </w:p>
        </w:tc>
      </w:tr>
      <w:tr>
        <w:trPr>
          <w:trHeight w:val="189"/>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w w:val="89"/>
              </w:rPr>
              <w:t>2022</w:t>
            </w:r>
          </w:p>
        </w:tc>
      </w:tr>
      <w:tr>
        <w:trPr>
          <w:trHeight w:val="222"/>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net income (losses) of investees, net</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60" w:type="dxa"/>
            <w:vAlign w:val="bottom"/>
            <w:shd w:val="clear" w:color="auto" w:fill="CCEEFF"/>
          </w:tcPr>
          <w:p>
            <w:pPr>
              <w:jc w:val="right"/>
              <w:ind w:right="619"/>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820" w:type="dxa"/>
            <w:vAlign w:val="bottom"/>
            <w:shd w:val="clear" w:color="auto" w:fill="CCEEFF"/>
          </w:tcPr>
          <w:p>
            <w:pPr>
              <w:jc w:val="right"/>
              <w:ind w:right="57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405</w:t>
            </w:r>
          </w:p>
        </w:tc>
        <w:tc>
          <w:tcPr>
            <w:tcW w:w="5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22"/>
        </w:trPr>
        <w:tc>
          <w:tcPr>
            <w:tcW w:w="5760" w:type="dxa"/>
            <w:vAlign w:val="bottom"/>
          </w:tcPr>
          <w:p>
            <w:pPr>
              <w:ind w:left="20"/>
              <w:spacing w:after="0"/>
              <w:rPr>
                <w:sz w:val="20"/>
                <w:szCs w:val="20"/>
                <w:color w:val="auto"/>
              </w:rPr>
            </w:pPr>
            <w:r>
              <w:rPr>
                <w:rFonts w:ascii="Arial" w:cs="Arial" w:eastAsia="Arial" w:hAnsi="Arial"/>
                <w:sz w:val="17"/>
                <w:szCs w:val="17"/>
                <w:color w:val="auto"/>
              </w:rPr>
              <w:t>Realized and unrealized gains (losses) on equity securities, net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(38)</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(321)</w:t>
            </w:r>
          </w:p>
        </w:tc>
        <w:tc>
          <w:tcPr>
            <w:tcW w:w="820" w:type="dxa"/>
            <w:vAlign w:val="bottom"/>
          </w:tcPr>
          <w:p>
            <w:pPr>
              <w:spacing w:after="0"/>
              <w:rPr>
                <w:sz w:val="19"/>
                <w:szCs w:val="19"/>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auto"/>
              </w:rPr>
              <w:t>(44)</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(loss),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133</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261</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28"/>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investment and other income (loss), net</w:t>
            </w:r>
          </w:p>
        </w:tc>
        <w:tc>
          <w:tcPr>
            <w:tcW w:w="840" w:type="dxa"/>
            <w:vAlign w:val="bottom"/>
            <w:tcBorders>
              <w:bottom w:val="single" w:sz="8" w:color="auto"/>
            </w:tcBorders>
          </w:tcPr>
          <w:p>
            <w:pPr>
              <w:jc w:val="right"/>
              <w:ind w:right="662"/>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15</w:t>
            </w:r>
          </w:p>
        </w:tc>
        <w:tc>
          <w:tcPr>
            <w:tcW w:w="860" w:type="dxa"/>
            <w:vAlign w:val="bottom"/>
            <w:tcBorders>
              <w:bottom w:val="single" w:sz="8" w:color="auto"/>
            </w:tcBorders>
          </w:tcPr>
          <w:p>
            <w:pPr>
              <w:jc w:val="right"/>
              <w:ind w:right="619"/>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(897)</w:t>
            </w:r>
          </w:p>
        </w:tc>
        <w:tc>
          <w:tcPr>
            <w:tcW w:w="820" w:type="dxa"/>
            <w:vAlign w:val="bottom"/>
            <w:tcBorders>
              <w:bottom w:val="single" w:sz="8" w:color="auto"/>
            </w:tcBorders>
          </w:tcPr>
          <w:p>
            <w:pPr>
              <w:jc w:val="right"/>
              <w:ind w:right="57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622</w:t>
            </w:r>
          </w:p>
        </w:tc>
        <w:tc>
          <w:tcPr>
            <w:tcW w:w="5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(709)</w:t>
            </w:r>
          </w:p>
        </w:tc>
      </w:tr>
    </w:tbl>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changes in investment and other income (loss), net for the three and six months ended June 30, 2023 were primarily due to equity in net income (losses) of investees, net driven by our investment in Atairos, as well as due to changes in other income (loss), net and realized and unrealized gains (losses) on equity securities, net. The income (losses) at Atairos were driven by fair value adjustments on its underlying investments with income (loss) of $(23) million and $501 million for the three and six months ended June 30, 2023, respectively, and $(454) million and $(376) million for the three and six months ended June 30, 2022, respectively.</w:t>
      </w:r>
    </w:p>
    <w:p>
      <w:pPr>
        <w:spacing w:after="0" w:line="12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change in other income (loss), net for the three months ended June 30, 2023 primarily resulted from gains on insurance contracts compared to losses in the prior year period and foreign exchange remeasurement losses in the prior year period compared to gains in the current year period. The change in other income (loss), net for the six months ended June 30, 2023 primarily resulted from foreign exchange remeasurement losses in the prior year period compared to gains in the current year period, gains on insurance contracts compared to losses in the prior year period and increased interest income compared to the prior year period.</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change in realized and unrealized gains (losses) on equity securities, net for the three months ended June 30, 2023 was primarily due to losses on marketable and nonmarketable securities in the prior year period. The change in realized and unrealized gains (losses) on equity securities, net for the six months ended June 30, 2023 was primarily due to losses on marketable securities in the prior year period.</w:t>
      </w:r>
    </w:p>
    <w:p>
      <w:pPr>
        <w:spacing w:after="0" w:line="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Consolidated income tax expense </w:t>
      </w:r>
      <w:r>
        <w:rPr>
          <w:rFonts w:ascii="Arial" w:cs="Arial" w:eastAsia="Arial" w:hAnsi="Arial"/>
          <w:sz w:val="16"/>
          <w:szCs w:val="16"/>
          <w:color w:val="auto"/>
        </w:rPr>
        <w:t>for the three and six months ended June 30, 2023 and 2022 reflects an effective income tax rate that differs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statutory rate due to state and foreign income taxes and adjustments associated with uncertain tax positions. The increases in income tax expense for the three and six months ended June 30, 2023 compared to the same periods in 2022 were primarily driven by higher income before income taxes.</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 xml:space="preserve">Consolidated net income (loss) attributable to noncontrolling interests </w:t>
      </w:r>
      <w:r>
        <w:rPr>
          <w:rFonts w:ascii="Arial" w:cs="Arial" w:eastAsia="Arial" w:hAnsi="Arial"/>
          <w:sz w:val="17"/>
          <w:szCs w:val="17"/>
          <w:color w:val="auto"/>
        </w:rPr>
        <w:t>changed for the three and six months ended June 30, 2023 compared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periods in 2022 primarily due to lower losses at Universal Beijing Resort as a result of increased operations in the current year periods, partially offset by losses in our Xumo streaming platform joint venture in the current year periods.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Operating Results</w:t>
      </w:r>
    </w:p>
    <w:p>
      <w:pPr>
        <w:spacing w:after="0" w:line="66"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See Note 2 for additional information on our reportable business segments.</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Connectivity &amp; Platforms Results of Operations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color w:val="auto"/>
                <w:w w:val="89"/>
              </w:rPr>
              <w:t>Constant</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gridSpan w:val="3"/>
          </w:tcPr>
          <w:p>
            <w:pPr>
              <w:jc w:val="right"/>
              <w:ind w:right="275"/>
              <w:spacing w:after="0" w:line="137" w:lineRule="exact"/>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1"/>
                <w:szCs w:val="11"/>
                <w:color w:val="auto"/>
              </w:rPr>
            </w:pPr>
          </w:p>
        </w:tc>
        <w:tc>
          <w:tcPr>
            <w:tcW w:w="900" w:type="dxa"/>
            <w:vAlign w:val="bottom"/>
            <w:vMerge w:val="restart"/>
          </w:tcPr>
          <w:p>
            <w:pPr>
              <w:jc w:val="center"/>
              <w:ind w:right="116"/>
              <w:spacing w:after="0"/>
              <w:rPr>
                <w:sz w:val="20"/>
                <w:szCs w:val="20"/>
                <w:color w:val="auto"/>
              </w:rPr>
            </w:pPr>
            <w:r>
              <w:rPr>
                <w:rFonts w:ascii="Arial" w:cs="Arial" w:eastAsia="Arial" w:hAnsi="Arial"/>
                <w:sz w:val="14"/>
                <w:szCs w:val="14"/>
                <w:color w:val="auto"/>
                <w:w w:val="85"/>
              </w:rPr>
              <w:t>Change</w:t>
            </w:r>
          </w:p>
        </w:tc>
        <w:tc>
          <w:tcPr>
            <w:tcW w:w="880" w:type="dxa"/>
            <w:vAlign w:val="bottom"/>
          </w:tcPr>
          <w:p>
            <w:pPr>
              <w:jc w:val="center"/>
              <w:ind w:right="38"/>
              <w:spacing w:after="0" w:line="137" w:lineRule="exact"/>
              <w:rPr>
                <w:sz w:val="20"/>
                <w:szCs w:val="20"/>
                <w:color w:val="auto"/>
              </w:rPr>
            </w:pPr>
            <w:r>
              <w:rPr>
                <w:rFonts w:ascii="Arial" w:cs="Arial" w:eastAsia="Arial" w:hAnsi="Arial"/>
                <w:sz w:val="14"/>
                <w:szCs w:val="14"/>
                <w:color w:val="auto"/>
                <w:w w:val="91"/>
              </w:rPr>
              <w:t>Currency</w:t>
            </w:r>
          </w:p>
        </w:tc>
        <w:tc>
          <w:tcPr>
            <w:tcW w:w="320" w:type="dxa"/>
            <w:vAlign w:val="bottom"/>
          </w:tcPr>
          <w:p>
            <w:pPr>
              <w:spacing w:after="0"/>
              <w:rPr>
                <w:sz w:val="11"/>
                <w:szCs w:val="11"/>
                <w:color w:val="auto"/>
              </w:rPr>
            </w:pPr>
          </w:p>
        </w:tc>
        <w:tc>
          <w:tcPr>
            <w:tcW w:w="1860" w:type="dxa"/>
            <w:vAlign w:val="bottom"/>
            <w:gridSpan w:val="3"/>
          </w:tcPr>
          <w:p>
            <w:pPr>
              <w:jc w:val="right"/>
              <w:ind w:right="355"/>
              <w:spacing w:after="0" w:line="137" w:lineRule="exact"/>
              <w:rPr>
                <w:sz w:val="20"/>
                <w:szCs w:val="20"/>
                <w:color w:val="auto"/>
              </w:rPr>
            </w:pPr>
            <w:r>
              <w:rPr>
                <w:rFonts w:ascii="Arial" w:cs="Arial" w:eastAsia="Arial" w:hAnsi="Arial"/>
                <w:sz w:val="14"/>
                <w:szCs w:val="14"/>
                <w:color w:val="auto"/>
              </w:rPr>
              <w:t>Six Months Ended</w:t>
            </w:r>
          </w:p>
        </w:tc>
        <w:tc>
          <w:tcPr>
            <w:tcW w:w="320" w:type="dxa"/>
            <w:vAlign w:val="bottom"/>
          </w:tcPr>
          <w:p>
            <w:pPr>
              <w:spacing w:after="0"/>
              <w:rPr>
                <w:sz w:val="11"/>
                <w:szCs w:val="11"/>
                <w:color w:val="auto"/>
              </w:rPr>
            </w:pPr>
          </w:p>
        </w:tc>
        <w:tc>
          <w:tcPr>
            <w:tcW w:w="900" w:type="dxa"/>
            <w:vAlign w:val="bottom"/>
            <w:vMerge w:val="restart"/>
          </w:tcPr>
          <w:p>
            <w:pPr>
              <w:jc w:val="right"/>
              <w:ind w:right="256"/>
              <w:spacing w:after="0"/>
              <w:rPr>
                <w:sz w:val="20"/>
                <w:szCs w:val="20"/>
                <w:color w:val="auto"/>
              </w:rPr>
            </w:pPr>
            <w:r>
              <w:rPr>
                <w:rFonts w:ascii="Arial" w:cs="Arial" w:eastAsia="Arial" w:hAnsi="Arial"/>
                <w:sz w:val="14"/>
                <w:szCs w:val="14"/>
                <w:color w:val="auto"/>
              </w:rPr>
              <w:t>Change</w:t>
            </w:r>
          </w:p>
        </w:tc>
        <w:tc>
          <w:tcPr>
            <w:tcW w:w="840" w:type="dxa"/>
            <w:vAlign w:val="bottom"/>
          </w:tcPr>
          <w:p>
            <w:pPr>
              <w:jc w:val="center"/>
              <w:spacing w:after="0" w:line="137" w:lineRule="exact"/>
              <w:rPr>
                <w:sz w:val="20"/>
                <w:szCs w:val="20"/>
                <w:color w:val="auto"/>
              </w:rPr>
            </w:pPr>
            <w:r>
              <w:rPr>
                <w:rFonts w:ascii="Arial" w:cs="Arial" w:eastAsia="Arial" w:hAnsi="Arial"/>
                <w:sz w:val="14"/>
                <w:szCs w:val="14"/>
                <w:color w:val="auto"/>
                <w:w w:val="91"/>
              </w:rPr>
              <w:t>Currency</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June 30,</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89"/>
              </w:rPr>
              <w:t>Change</w:t>
            </w:r>
            <w:r>
              <w:rPr>
                <w:rFonts w:ascii="Arial" w:cs="Arial" w:eastAsia="Arial" w:hAnsi="Arial"/>
                <w:sz w:val="9"/>
                <w:szCs w:val="9"/>
                <w:color w:val="auto"/>
                <w:w w:val="89"/>
              </w:rPr>
              <w:t>(b)</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9"/>
              </w:rPr>
              <w:t>June 30,</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89"/>
              </w:rPr>
              <w:t>Change</w:t>
            </w:r>
            <w:r>
              <w:rPr>
                <w:rFonts w:ascii="Arial" w:cs="Arial" w:eastAsia="Arial" w:hAnsi="Arial"/>
                <w:sz w:val="9"/>
                <w:szCs w:val="9"/>
                <w:color w:val="auto"/>
                <w:w w:val="89"/>
              </w:rPr>
              <w:t>(b)</w:t>
            </w:r>
          </w:p>
        </w:tc>
        <w:tc>
          <w:tcPr>
            <w:tcW w:w="0" w:type="dxa"/>
            <w:vAlign w:val="bottom"/>
          </w:tcPr>
          <w:p>
            <w:pPr>
              <w:spacing w:after="0"/>
              <w:rPr>
                <w:sz w:val="1"/>
                <w:szCs w:val="1"/>
                <w:color w:val="auto"/>
              </w:rPr>
            </w:pPr>
          </w:p>
        </w:tc>
      </w:tr>
      <w:tr>
        <w:trPr>
          <w:trHeight w:val="189"/>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6"/>
              </w:rPr>
              <w:t>%</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7"/>
                <w:szCs w:val="17"/>
                <w:color w:val="auto"/>
                <w:w w:val="98"/>
              </w:rPr>
              <w:t>Residential Connectivity &amp; Platforms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18,068</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18,131</w:t>
            </w:r>
          </w:p>
        </w:tc>
        <w:tc>
          <w:tcPr>
            <w:tcW w:w="3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(0.4) %</w:t>
            </w:r>
          </w:p>
        </w:tc>
        <w:tc>
          <w:tcPr>
            <w:tcW w:w="880" w:type="dxa"/>
            <w:vAlign w:val="bottom"/>
          </w:tcPr>
          <w:p>
            <w:pPr>
              <w:jc w:val="right"/>
              <w:spacing w:after="0"/>
              <w:rPr>
                <w:sz w:val="20"/>
                <w:szCs w:val="20"/>
                <w:color w:val="auto"/>
              </w:rPr>
            </w:pPr>
            <w:r>
              <w:rPr>
                <w:rFonts w:ascii="Arial" w:cs="Arial" w:eastAsia="Arial" w:hAnsi="Arial"/>
                <w:sz w:val="17"/>
                <w:szCs w:val="17"/>
                <w:color w:val="auto"/>
              </w:rPr>
              <w:t>(0.5) %</w:t>
            </w:r>
          </w:p>
        </w:tc>
        <w:tc>
          <w:tcPr>
            <w:tcW w:w="32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35,937</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36,472</w:t>
            </w:r>
          </w:p>
        </w:tc>
        <w:tc>
          <w:tcPr>
            <w:tcW w:w="3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(1.5) %</w:t>
            </w:r>
          </w:p>
        </w:tc>
        <w:tc>
          <w:tcPr>
            <w:tcW w:w="840" w:type="dxa"/>
            <w:vAlign w:val="bottom"/>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4.0</w:t>
            </w:r>
          </w:p>
        </w:tc>
        <w:tc>
          <w:tcPr>
            <w:tcW w:w="8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4.0</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4,575</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4.6</w:t>
            </w:r>
          </w:p>
        </w:tc>
        <w:tc>
          <w:tcPr>
            <w:tcW w:w="8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70"/>
        </w:trPr>
        <w:tc>
          <w:tcPr>
            <w:tcW w:w="2720" w:type="dxa"/>
            <w:vAlign w:val="bottom"/>
          </w:tcPr>
          <w:p>
            <w:pPr>
              <w:spacing w:after="0" w:line="170" w:lineRule="exact"/>
              <w:rPr>
                <w:sz w:val="20"/>
                <w:szCs w:val="20"/>
                <w:color w:val="auto"/>
              </w:rPr>
            </w:pPr>
            <w:r>
              <w:rPr>
                <w:rFonts w:ascii="Arial" w:cs="Arial" w:eastAsia="Arial" w:hAnsi="Arial"/>
                <w:sz w:val="17"/>
                <w:szCs w:val="17"/>
                <w:b w:val="1"/>
                <w:bCs w:val="1"/>
                <w:color w:val="auto"/>
              </w:rPr>
              <w:t>Total Connectivity &amp; Platforms</w:t>
            </w:r>
          </w:p>
        </w:tc>
        <w:tc>
          <w:tcPr>
            <w:tcW w:w="24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20,360</w:t>
            </w:r>
          </w:p>
        </w:tc>
        <w:tc>
          <w:tcPr>
            <w:tcW w:w="60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20,335</w:t>
            </w:r>
          </w:p>
        </w:tc>
        <w:tc>
          <w:tcPr>
            <w:tcW w:w="320" w:type="dxa"/>
            <w:vAlign w:val="bottom"/>
          </w:tcPr>
          <w:p>
            <w:pPr>
              <w:spacing w:after="0"/>
              <w:rPr>
                <w:sz w:val="14"/>
                <w:szCs w:val="14"/>
                <w:color w:val="auto"/>
              </w:rPr>
            </w:pPr>
          </w:p>
        </w:tc>
        <w:tc>
          <w:tcPr>
            <w:tcW w:w="900" w:type="dxa"/>
            <w:vAlign w:val="bottom"/>
            <w:vMerge w:val="restart"/>
          </w:tcPr>
          <w:p>
            <w:pPr>
              <w:ind w:left="360"/>
              <w:spacing w:after="0"/>
              <w:rPr>
                <w:sz w:val="20"/>
                <w:szCs w:val="20"/>
                <w:color w:val="auto"/>
              </w:rPr>
            </w:pPr>
            <w:r>
              <w:rPr>
                <w:rFonts w:ascii="Arial" w:cs="Arial" w:eastAsia="Arial" w:hAnsi="Arial"/>
                <w:sz w:val="17"/>
                <w:szCs w:val="17"/>
                <w:b w:val="1"/>
                <w:bCs w:val="1"/>
                <w:color w:val="auto"/>
              </w:rPr>
              <w:t>0.1 %</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40,512</w:t>
            </w:r>
          </w:p>
        </w:tc>
        <w:tc>
          <w:tcPr>
            <w:tcW w:w="60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40,846</w:t>
            </w:r>
          </w:p>
        </w:tc>
        <w:tc>
          <w:tcPr>
            <w:tcW w:w="320" w:type="dxa"/>
            <w:vAlign w:val="bottom"/>
          </w:tcPr>
          <w:p>
            <w:pPr>
              <w:spacing w:after="0"/>
              <w:rPr>
                <w:sz w:val="14"/>
                <w:szCs w:val="14"/>
                <w:color w:val="auto"/>
              </w:rPr>
            </w:pPr>
          </w:p>
        </w:tc>
        <w:tc>
          <w:tcPr>
            <w:tcW w:w="90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(0.8)%</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w:t>
            </w:r>
          </w:p>
        </w:tc>
        <w:tc>
          <w:tcPr>
            <w:tcW w:w="0" w:type="dxa"/>
            <w:vAlign w:val="bottom"/>
          </w:tcPr>
          <w:p>
            <w:pPr>
              <w:spacing w:after="0"/>
              <w:rPr>
                <w:sz w:val="1"/>
                <w:szCs w:val="1"/>
                <w:color w:val="auto"/>
              </w:rPr>
            </w:pPr>
          </w:p>
        </w:tc>
      </w:tr>
      <w:tr>
        <w:trPr>
          <w:trHeight w:val="222"/>
        </w:trPr>
        <w:tc>
          <w:tcPr>
            <w:tcW w:w="27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7"/>
                <w:szCs w:val="17"/>
                <w:color w:val="auto"/>
                <w:w w:val="98"/>
              </w:rPr>
              <w:t>Residential Connectivity &amp; Platforms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7,024</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6,733</w:t>
            </w:r>
          </w:p>
        </w:tc>
        <w:tc>
          <w:tcPr>
            <w:tcW w:w="32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Arial" w:cs="Arial" w:eastAsia="Arial" w:hAnsi="Arial"/>
                <w:sz w:val="17"/>
                <w:szCs w:val="17"/>
                <w:color w:val="auto"/>
              </w:rPr>
              <w:t>4.3 %</w:t>
            </w:r>
          </w:p>
        </w:tc>
        <w:tc>
          <w:tcPr>
            <w:tcW w:w="880" w:type="dxa"/>
            <w:vAlign w:val="bottom"/>
          </w:tcPr>
          <w:p>
            <w:pPr>
              <w:jc w:val="right"/>
              <w:spacing w:after="0"/>
              <w:rPr>
                <w:sz w:val="20"/>
                <w:szCs w:val="20"/>
                <w:color w:val="auto"/>
              </w:rPr>
            </w:pPr>
            <w:r>
              <w:rPr>
                <w:rFonts w:ascii="Arial" w:cs="Arial" w:eastAsia="Arial" w:hAnsi="Arial"/>
                <w:sz w:val="17"/>
                <w:szCs w:val="17"/>
                <w:color w:val="auto"/>
              </w:rPr>
              <w:t>4.3 %</w:t>
            </w:r>
          </w:p>
        </w:tc>
        <w:tc>
          <w:tcPr>
            <w:tcW w:w="32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13,785</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13,344</w:t>
            </w:r>
          </w:p>
        </w:tc>
        <w:tc>
          <w:tcPr>
            <w:tcW w:w="32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3.3 %</w:t>
            </w:r>
          </w:p>
        </w:tc>
        <w:tc>
          <w:tcPr>
            <w:tcW w:w="840" w:type="dxa"/>
            <w:vAlign w:val="bottom"/>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22"/>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4.7</w:t>
            </w:r>
          </w:p>
        </w:tc>
        <w:tc>
          <w:tcPr>
            <w:tcW w:w="8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4.7</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2,654</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rPr>
              <w:t>6.3</w:t>
            </w:r>
          </w:p>
        </w:tc>
        <w:tc>
          <w:tcPr>
            <w:tcW w:w="8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1"/>
        </w:trPr>
        <w:tc>
          <w:tcPr>
            <w:tcW w:w="2720" w:type="dxa"/>
            <w:vAlign w:val="bottom"/>
          </w:tcPr>
          <w:p>
            <w:pPr>
              <w:spacing w:after="0" w:line="172" w:lineRule="exact"/>
              <w:rPr>
                <w:sz w:val="20"/>
                <w:szCs w:val="20"/>
                <w:color w:val="auto"/>
              </w:rPr>
            </w:pPr>
            <w:r>
              <w:rPr>
                <w:rFonts w:ascii="Arial" w:cs="Arial" w:eastAsia="Arial" w:hAnsi="Arial"/>
                <w:sz w:val="17"/>
                <w:szCs w:val="17"/>
                <w:b w:val="1"/>
                <w:bCs w:val="1"/>
                <w:color w:val="auto"/>
              </w:rPr>
              <w:t>Total Connectivity &amp; Platforms</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7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Adjusted EBITDA</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8,346</w:t>
            </w: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7,995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4.4 %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4.3 %</w:t>
            </w:r>
          </w:p>
        </w:tc>
        <w:tc>
          <w:tcPr>
            <w:tcW w:w="3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16,439</w:t>
            </w: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15,840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3.8 %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2"/>
                <w:szCs w:val="22"/>
                <w:b w:val="1"/>
                <w:bCs w:val="1"/>
                <w:color w:val="auto"/>
                <w:vertAlign w:val="superscript"/>
              </w:rPr>
              <w:t>(a)</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20"/>
                <w:szCs w:val="20"/>
                <w:color w:val="auto"/>
              </w:rPr>
            </w:pPr>
            <w:r>
              <w:rPr>
                <w:rFonts w:ascii="Arial" w:cs="Arial" w:eastAsia="Arial" w:hAnsi="Arial"/>
                <w:sz w:val="17"/>
                <w:szCs w:val="17"/>
                <w:color w:val="auto"/>
                <w:w w:val="98"/>
              </w:rPr>
              <w:t>Residential Connectivity &amp; Platforms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38.9</w:t>
            </w:r>
          </w:p>
        </w:tc>
        <w:tc>
          <w:tcPr>
            <w:tcW w:w="60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37.1</w:t>
            </w:r>
          </w:p>
        </w:tc>
        <w:tc>
          <w:tcPr>
            <w:tcW w:w="3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180 bps</w:t>
            </w:r>
          </w:p>
        </w:tc>
        <w:tc>
          <w:tcPr>
            <w:tcW w:w="880" w:type="dxa"/>
            <w:vAlign w:val="bottom"/>
          </w:tcPr>
          <w:p>
            <w:pPr>
              <w:jc w:val="right"/>
              <w:spacing w:after="0"/>
              <w:rPr>
                <w:sz w:val="20"/>
                <w:szCs w:val="20"/>
                <w:color w:val="auto"/>
              </w:rPr>
            </w:pPr>
            <w:r>
              <w:rPr>
                <w:rFonts w:ascii="Arial" w:cs="Arial" w:eastAsia="Arial" w:hAnsi="Arial"/>
                <w:sz w:val="17"/>
                <w:szCs w:val="17"/>
                <w:color w:val="auto"/>
              </w:rPr>
              <w:t>180 bps</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38.4</w:t>
            </w:r>
          </w:p>
        </w:tc>
        <w:tc>
          <w:tcPr>
            <w:tcW w:w="600" w:type="dxa"/>
            <w:vAlign w:val="bottom"/>
          </w:tcPr>
          <w:p>
            <w:pPr>
              <w:jc w:val="right"/>
              <w:ind w:right="316"/>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36.6</w:t>
            </w:r>
          </w:p>
        </w:tc>
        <w:tc>
          <w:tcPr>
            <w:tcW w:w="3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180 bps</w:t>
            </w:r>
          </w:p>
        </w:tc>
        <w:tc>
          <w:tcPr>
            <w:tcW w:w="840" w:type="dxa"/>
            <w:vAlign w:val="bottom"/>
          </w:tcPr>
          <w:p>
            <w:pPr>
              <w:jc w:val="right"/>
              <w:spacing w:after="0"/>
              <w:rPr>
                <w:sz w:val="20"/>
                <w:szCs w:val="20"/>
                <w:color w:val="auto"/>
              </w:rPr>
            </w:pPr>
            <w:r>
              <w:rPr>
                <w:rFonts w:ascii="Arial" w:cs="Arial" w:eastAsia="Arial" w:hAnsi="Arial"/>
                <w:sz w:val="17"/>
                <w:szCs w:val="17"/>
                <w:color w:val="auto"/>
              </w:rPr>
              <w:t>160 bps</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Business Services Connectivity</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40 bps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 bps</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90 bps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 bps</w:t>
            </w:r>
          </w:p>
        </w:tc>
        <w:tc>
          <w:tcPr>
            <w:tcW w:w="0" w:type="dxa"/>
            <w:vAlign w:val="bottom"/>
          </w:tcPr>
          <w:p>
            <w:pPr>
              <w:spacing w:after="0"/>
              <w:rPr>
                <w:sz w:val="1"/>
                <w:szCs w:val="1"/>
                <w:color w:val="auto"/>
              </w:rPr>
            </w:pPr>
          </w:p>
        </w:tc>
      </w:tr>
      <w:tr>
        <w:trPr>
          <w:trHeight w:val="163"/>
        </w:trPr>
        <w:tc>
          <w:tcPr>
            <w:tcW w:w="2720" w:type="dxa"/>
            <w:vAlign w:val="bottom"/>
          </w:tcPr>
          <w:p>
            <w:pPr>
              <w:spacing w:after="0" w:line="163" w:lineRule="exact"/>
              <w:rPr>
                <w:sz w:val="20"/>
                <w:szCs w:val="20"/>
                <w:color w:val="auto"/>
              </w:rPr>
            </w:pPr>
            <w:r>
              <w:rPr>
                <w:rFonts w:ascii="Arial" w:cs="Arial" w:eastAsia="Arial" w:hAnsi="Arial"/>
                <w:sz w:val="17"/>
                <w:szCs w:val="17"/>
                <w:b w:val="1"/>
                <w:bCs w:val="1"/>
                <w:color w:val="auto"/>
              </w:rPr>
              <w:t>Total Connectivity &amp; Platforms</w:t>
            </w:r>
          </w:p>
        </w:tc>
        <w:tc>
          <w:tcPr>
            <w:tcW w:w="240" w:type="dxa"/>
            <w:vAlign w:val="bottom"/>
          </w:tcPr>
          <w:p>
            <w:pPr>
              <w:spacing w:after="0"/>
              <w:rPr>
                <w:sz w:val="14"/>
                <w:szCs w:val="14"/>
                <w:color w:val="auto"/>
              </w:rPr>
            </w:pPr>
          </w:p>
        </w:tc>
        <w:tc>
          <w:tcPr>
            <w:tcW w:w="1260" w:type="dxa"/>
            <w:vAlign w:val="bottom"/>
            <w:gridSpan w:val="2"/>
            <w:vMerge w:val="restart"/>
          </w:tcPr>
          <w:p>
            <w:pPr>
              <w:jc w:val="right"/>
              <w:ind w:right="316"/>
              <w:spacing w:after="0"/>
              <w:rPr>
                <w:sz w:val="20"/>
                <w:szCs w:val="20"/>
                <w:color w:val="auto"/>
              </w:rPr>
            </w:pPr>
            <w:r>
              <w:rPr>
                <w:rFonts w:ascii="Arial" w:cs="Arial" w:eastAsia="Arial" w:hAnsi="Arial"/>
                <w:sz w:val="17"/>
                <w:szCs w:val="17"/>
                <w:b w:val="1"/>
                <w:bCs w:val="1"/>
                <w:color w:val="auto"/>
              </w:rPr>
              <w:t>41.0 %</w:t>
            </w:r>
          </w:p>
        </w:tc>
        <w:tc>
          <w:tcPr>
            <w:tcW w:w="940" w:type="dxa"/>
            <w:vAlign w:val="bottom"/>
            <w:gridSpan w:val="2"/>
            <w:vMerge w:val="restart"/>
          </w:tcPr>
          <w:p>
            <w:pPr>
              <w:jc w:val="right"/>
              <w:ind w:right="33"/>
              <w:spacing w:after="0"/>
              <w:rPr>
                <w:sz w:val="20"/>
                <w:szCs w:val="20"/>
                <w:color w:val="auto"/>
              </w:rPr>
            </w:pPr>
            <w:r>
              <w:rPr>
                <w:rFonts w:ascii="Arial" w:cs="Arial" w:eastAsia="Arial" w:hAnsi="Arial"/>
                <w:sz w:val="17"/>
                <w:szCs w:val="17"/>
                <w:b w:val="1"/>
                <w:bCs w:val="1"/>
                <w:color w:val="auto"/>
              </w:rPr>
              <w:t>39.3 %</w:t>
            </w:r>
          </w:p>
        </w:tc>
        <w:tc>
          <w:tcPr>
            <w:tcW w:w="90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170 bps</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170 bps</w:t>
            </w:r>
          </w:p>
        </w:tc>
        <w:tc>
          <w:tcPr>
            <w:tcW w:w="320" w:type="dxa"/>
            <w:vAlign w:val="bottom"/>
          </w:tcPr>
          <w:p>
            <w:pPr>
              <w:spacing w:after="0"/>
              <w:rPr>
                <w:sz w:val="14"/>
                <w:szCs w:val="14"/>
                <w:color w:val="auto"/>
              </w:rPr>
            </w:pPr>
          </w:p>
        </w:tc>
        <w:tc>
          <w:tcPr>
            <w:tcW w:w="1240" w:type="dxa"/>
            <w:vAlign w:val="bottom"/>
            <w:gridSpan w:val="2"/>
            <w:vMerge w:val="restart"/>
          </w:tcPr>
          <w:p>
            <w:pPr>
              <w:jc w:val="right"/>
              <w:ind w:right="316"/>
              <w:spacing w:after="0"/>
              <w:rPr>
                <w:sz w:val="20"/>
                <w:szCs w:val="20"/>
                <w:color w:val="auto"/>
              </w:rPr>
            </w:pPr>
            <w:r>
              <w:rPr>
                <w:rFonts w:ascii="Arial" w:cs="Arial" w:eastAsia="Arial" w:hAnsi="Arial"/>
                <w:sz w:val="17"/>
                <w:szCs w:val="17"/>
                <w:b w:val="1"/>
                <w:bCs w:val="1"/>
                <w:color w:val="auto"/>
              </w:rPr>
              <w:t>40.6 %</w:t>
            </w:r>
          </w:p>
        </w:tc>
        <w:tc>
          <w:tcPr>
            <w:tcW w:w="940" w:type="dxa"/>
            <w:vAlign w:val="bottom"/>
            <w:gridSpan w:val="2"/>
            <w:vMerge w:val="restart"/>
          </w:tcPr>
          <w:p>
            <w:pPr>
              <w:jc w:val="right"/>
              <w:ind w:right="33"/>
              <w:spacing w:after="0"/>
              <w:rPr>
                <w:sz w:val="20"/>
                <w:szCs w:val="20"/>
                <w:color w:val="auto"/>
              </w:rPr>
            </w:pPr>
            <w:r>
              <w:rPr>
                <w:rFonts w:ascii="Arial" w:cs="Arial" w:eastAsia="Arial" w:hAnsi="Arial"/>
                <w:sz w:val="17"/>
                <w:szCs w:val="17"/>
                <w:b w:val="1"/>
                <w:bCs w:val="1"/>
                <w:color w:val="auto"/>
              </w:rPr>
              <w:t>38.8 %</w:t>
            </w:r>
          </w:p>
        </w:tc>
        <w:tc>
          <w:tcPr>
            <w:tcW w:w="90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rPr>
              <w:t>180 bps</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170 bps</w:t>
            </w:r>
          </w:p>
        </w:tc>
        <w:tc>
          <w:tcPr>
            <w:tcW w:w="0" w:type="dxa"/>
            <w:vAlign w:val="bottom"/>
          </w:tcPr>
          <w:p>
            <w:pPr>
              <w:spacing w:after="0"/>
              <w:rPr>
                <w:sz w:val="1"/>
                <w:szCs w:val="1"/>
                <w:color w:val="auto"/>
              </w:rPr>
            </w:pPr>
          </w:p>
        </w:tc>
      </w:tr>
      <w:tr>
        <w:trPr>
          <w:trHeight w:val="231"/>
        </w:trPr>
        <w:tc>
          <w:tcPr>
            <w:tcW w:w="272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Adjusted EBITDA margin</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vMerge w:val="continue"/>
          </w:tcPr>
          <w:p>
            <w:pPr>
              <w:spacing w:after="0"/>
              <w:rPr>
                <w:sz w:val="20"/>
                <w:szCs w:val="20"/>
                <w:color w:val="auto"/>
              </w:rPr>
            </w:pPr>
          </w:p>
        </w:tc>
        <w:tc>
          <w:tcPr>
            <w:tcW w:w="94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94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40" w:hanging="235"/>
        <w:spacing w:after="0" w:line="259"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Adjusted EBITDA margin is Adjusted EBITDA as a percentage of revenue. We believe this metric is useful particularly as we continue to focus on growing our higher-margin businesses and improving overall operating cost management. Change in Adjusted EBITDA margin reflects the year-over-year basis point change.</w:t>
      </w:r>
    </w:p>
    <w:p>
      <w:pPr>
        <w:spacing w:after="0" w:line="18" w:lineRule="exact"/>
        <w:rPr>
          <w:rFonts w:ascii="Arial" w:cs="Arial" w:eastAsia="Arial" w:hAnsi="Arial"/>
          <w:sz w:val="14"/>
          <w:szCs w:val="14"/>
          <w:color w:val="auto"/>
        </w:rPr>
      </w:pPr>
    </w:p>
    <w:p>
      <w:pPr>
        <w:ind w:left="240" w:hanging="235"/>
        <w:spacing w:after="0" w:line="279" w:lineRule="auto"/>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27 for additional information, including our definition and our use of constant currency, and for a reconciliation of constant currency amounts.</w:t>
      </w:r>
    </w:p>
    <w:p>
      <w:pPr>
        <w:spacing w:after="0" w:line="1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continue to focus on growing our higher-margin connectivity businesses while managing overall operating costs. We also continue to invest in our network to support higher-speed broadband offerings and to expand the number of homes and businesses passed. Our customer relationships growth has slowed primarily reflecting continued low domestic household move levels and an increasingly competitive environment. We believe our residential connectivity revenue will increase as a result of growth in average domestic broadband revenue per customer, as well as increases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partially mitigate the impact of continued rate increases on programming expenses. We also expect continued declines in other revenue in wireline voice revenue. Global economic conditions and consumer sentiment have in the past, and may continue to, adversely impact demand for our products and services and our results of operations. In addition, currency exchange rate fluctuations between the U.S. dollar and the British pound and euro impacted our Residential Connectivity &amp; Platforms segment results during the six months ended June 30, 2023 as compared to the prior year period.</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believe our Business Services Connectivity segment will continue to grow by offering competitive services, including to medium-sized and enterprise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Connectivity &amp; Platforms Customer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40" w:type="dxa"/>
            <w:vAlign w:val="bottom"/>
            <w:gridSpan w:val="2"/>
          </w:tcPr>
          <w:p>
            <w:pPr>
              <w:jc w:val="right"/>
              <w:ind w:right="537"/>
              <w:spacing w:after="0"/>
              <w:rPr>
                <w:sz w:val="20"/>
                <w:szCs w:val="20"/>
                <w:color w:val="auto"/>
              </w:rPr>
            </w:pPr>
            <w:r>
              <w:rPr>
                <w:rFonts w:ascii="Arial" w:cs="Arial" w:eastAsia="Arial" w:hAnsi="Arial"/>
                <w:sz w:val="14"/>
                <w:szCs w:val="14"/>
                <w:color w:val="auto"/>
                <w:w w:val="94"/>
              </w:rPr>
              <w:t>Net Additions / (Losses)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02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Pr>
          <w:p>
            <w:pPr>
              <w:spacing w:after="0"/>
              <w:rPr>
                <w:sz w:val="10"/>
                <w:szCs w:val="10"/>
                <w:color w:val="auto"/>
              </w:rPr>
            </w:pPr>
          </w:p>
        </w:tc>
        <w:tc>
          <w:tcPr>
            <w:tcW w:w="2220" w:type="dxa"/>
            <w:vAlign w:val="bottom"/>
            <w:gridSpan w:val="2"/>
          </w:tcPr>
          <w:p>
            <w:pPr>
              <w:jc w:val="right"/>
              <w:ind w:right="516"/>
              <w:spacing w:after="0" w:line="124" w:lineRule="exact"/>
              <w:rPr>
                <w:sz w:val="20"/>
                <w:szCs w:val="20"/>
                <w:color w:val="auto"/>
              </w:rPr>
            </w:pPr>
            <w:r>
              <w:rPr>
                <w:rFonts w:ascii="Arial" w:cs="Arial" w:eastAsia="Arial" w:hAnsi="Arial"/>
                <w:sz w:val="14"/>
                <w:szCs w:val="14"/>
                <w:color w:val="auto"/>
              </w:rPr>
              <w:t>Three Months Ended</w:t>
            </w:r>
          </w:p>
        </w:tc>
        <w:tc>
          <w:tcPr>
            <w:tcW w:w="1880" w:type="dxa"/>
            <w:vAlign w:val="bottom"/>
            <w:gridSpan w:val="2"/>
          </w:tcPr>
          <w:p>
            <w:pPr>
              <w:jc w:val="right"/>
              <w:ind w:right="415"/>
              <w:spacing w:after="0" w:line="124"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auto"/>
            </w:tcBorders>
          </w:tcPr>
          <w:p>
            <w:pPr>
              <w:jc w:val="right"/>
              <w:ind w:right="235"/>
              <w:spacing w:after="0" w:line="196" w:lineRule="exact"/>
              <w:rPr>
                <w:sz w:val="20"/>
                <w:szCs w:val="20"/>
                <w:color w:val="auto"/>
              </w:rPr>
            </w:pPr>
            <w:r>
              <w:rPr>
                <w:rFonts w:ascii="Arial" w:cs="Arial" w:eastAsia="Arial" w:hAnsi="Arial"/>
                <w:sz w:val="14"/>
                <w:szCs w:val="14"/>
                <w:color w:val="auto"/>
                <w:w w:val="87"/>
              </w:rPr>
              <w:t>2022</w:t>
            </w:r>
            <w:r>
              <w:rPr>
                <w:rFonts w:ascii="Arial" w:cs="Arial" w:eastAsia="Arial" w:hAnsi="Arial"/>
                <w:sz w:val="18"/>
                <w:szCs w:val="18"/>
                <w:color w:val="auto"/>
                <w:w w:val="87"/>
                <w:vertAlign w:val="superscript"/>
              </w:rPr>
              <w:t>(d)</w:t>
            </w: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2022</w:t>
            </w:r>
          </w:p>
        </w:tc>
        <w:tc>
          <w:tcPr>
            <w:tcW w:w="11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auto"/>
            </w:tcBorders>
          </w:tcPr>
          <w:p>
            <w:pPr>
              <w:jc w:val="right"/>
              <w:ind w:right="235"/>
              <w:spacing w:after="0" w:line="196" w:lineRule="exact"/>
              <w:rPr>
                <w:sz w:val="20"/>
                <w:szCs w:val="20"/>
                <w:color w:val="auto"/>
              </w:rPr>
            </w:pPr>
            <w:r>
              <w:rPr>
                <w:rFonts w:ascii="Arial" w:cs="Arial" w:eastAsia="Arial" w:hAnsi="Arial"/>
                <w:sz w:val="14"/>
                <w:szCs w:val="14"/>
                <w:color w:val="auto"/>
                <w:w w:val="87"/>
              </w:rPr>
              <w:t>2022</w:t>
            </w:r>
            <w:r>
              <w:rPr>
                <w:rFonts w:ascii="Arial" w:cs="Arial" w:eastAsia="Arial" w:hAnsi="Arial"/>
                <w:sz w:val="18"/>
                <w:szCs w:val="18"/>
                <w:color w:val="auto"/>
                <w:w w:val="87"/>
                <w:vertAlign w:val="superscript"/>
              </w:rPr>
              <w:t>(d)</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Customer Relationships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180"/>
              <w:spacing w:after="0" w:line="171" w:lineRule="exact"/>
              <w:rPr>
                <w:sz w:val="20"/>
                <w:szCs w:val="20"/>
                <w:color w:val="auto"/>
              </w:rPr>
            </w:pPr>
            <w:r>
              <w:rPr>
                <w:rFonts w:ascii="Arial" w:cs="Arial" w:eastAsia="Arial" w:hAnsi="Arial"/>
                <w:sz w:val="17"/>
                <w:szCs w:val="17"/>
                <w:color w:val="auto"/>
              </w:rPr>
              <w:t>Domestic Residential Connectivity &amp; Platforms customer</w:t>
            </w:r>
          </w:p>
        </w:tc>
        <w:tc>
          <w:tcPr>
            <w:tcW w:w="1300" w:type="dxa"/>
            <w:vAlign w:val="bottom"/>
            <w:vMerge w:val="restart"/>
          </w:tcPr>
          <w:p>
            <w:pPr>
              <w:jc w:val="right"/>
              <w:ind w:right="276"/>
              <w:spacing w:after="0"/>
              <w:rPr>
                <w:sz w:val="20"/>
                <w:szCs w:val="20"/>
                <w:color w:val="auto"/>
              </w:rPr>
            </w:pPr>
            <w:r>
              <w:rPr>
                <w:rFonts w:ascii="Arial" w:cs="Arial" w:eastAsia="Arial" w:hAnsi="Arial"/>
                <w:sz w:val="17"/>
                <w:szCs w:val="17"/>
                <w:color w:val="auto"/>
              </w:rPr>
              <w:t>31,761</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31,955</w:t>
            </w:r>
          </w:p>
        </w:tc>
        <w:tc>
          <w:tcPr>
            <w:tcW w:w="1320" w:type="dxa"/>
            <w:vAlign w:val="bottom"/>
            <w:vMerge w:val="restart"/>
          </w:tcPr>
          <w:p>
            <w:pPr>
              <w:jc w:val="right"/>
              <w:ind w:right="237"/>
              <w:spacing w:after="0"/>
              <w:rPr>
                <w:sz w:val="20"/>
                <w:szCs w:val="20"/>
                <w:color w:val="auto"/>
              </w:rPr>
            </w:pPr>
            <w:r>
              <w:rPr>
                <w:rFonts w:ascii="Arial" w:cs="Arial" w:eastAsia="Arial" w:hAnsi="Arial"/>
                <w:sz w:val="17"/>
                <w:szCs w:val="17"/>
                <w:color w:val="auto"/>
              </w:rPr>
              <w:t>(65)</w:t>
            </w:r>
          </w:p>
        </w:tc>
        <w:tc>
          <w:tcPr>
            <w:tcW w:w="900" w:type="dxa"/>
            <w:vAlign w:val="bottom"/>
            <w:vMerge w:val="restart"/>
          </w:tcPr>
          <w:p>
            <w:pPr>
              <w:jc w:val="right"/>
              <w:ind w:right="116"/>
              <w:spacing w:after="0"/>
              <w:rPr>
                <w:sz w:val="20"/>
                <w:szCs w:val="20"/>
                <w:color w:val="auto"/>
              </w:rPr>
            </w:pPr>
            <w:r>
              <w:rPr>
                <w:rFonts w:ascii="Arial" w:cs="Arial" w:eastAsia="Arial" w:hAnsi="Arial"/>
                <w:sz w:val="17"/>
                <w:szCs w:val="17"/>
                <w:color w:val="auto"/>
              </w:rPr>
              <w:t>(38)</w:t>
            </w:r>
          </w:p>
        </w:tc>
        <w:tc>
          <w:tcPr>
            <w:tcW w:w="1140" w:type="dxa"/>
            <w:vAlign w:val="bottom"/>
            <w:vMerge w:val="restart"/>
          </w:tcPr>
          <w:p>
            <w:pPr>
              <w:jc w:val="right"/>
              <w:ind w:right="237"/>
              <w:spacing w:after="0"/>
              <w:rPr>
                <w:sz w:val="20"/>
                <w:szCs w:val="20"/>
                <w:color w:val="auto"/>
              </w:rPr>
            </w:pPr>
            <w:r>
              <w:rPr>
                <w:rFonts w:ascii="Arial" w:cs="Arial" w:eastAsia="Arial" w:hAnsi="Arial"/>
                <w:sz w:val="17"/>
                <w:szCs w:val="17"/>
                <w:color w:val="auto"/>
              </w:rPr>
              <w:t>(100)</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35"/>
        </w:trPr>
        <w:tc>
          <w:tcPr>
            <w:tcW w:w="5020" w:type="dxa"/>
            <w:vAlign w:val="bottom"/>
          </w:tcPr>
          <w:p>
            <w:pPr>
              <w:ind w:left="340"/>
              <w:spacing w:after="0" w:line="234" w:lineRule="exact"/>
              <w:rPr>
                <w:sz w:val="20"/>
                <w:szCs w:val="20"/>
                <w:color w:val="auto"/>
              </w:rPr>
            </w:pPr>
            <w:r>
              <w:rPr>
                <w:rFonts w:ascii="Arial" w:cs="Arial" w:eastAsia="Arial" w:hAnsi="Arial"/>
                <w:sz w:val="17"/>
                <w:szCs w:val="17"/>
                <w:color w:val="auto"/>
              </w:rPr>
              <w:t>relationships</w:t>
            </w:r>
            <w:r>
              <w:rPr>
                <w:rFonts w:ascii="Arial" w:cs="Arial" w:eastAsia="Arial" w:hAnsi="Arial"/>
                <w:sz w:val="22"/>
                <w:szCs w:val="22"/>
                <w:color w:val="auto"/>
                <w:vertAlign w:val="superscript"/>
              </w:rPr>
              <w:t>(a)</w:t>
            </w:r>
          </w:p>
        </w:tc>
        <w:tc>
          <w:tcPr>
            <w:tcW w:w="13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ind w:left="180"/>
              <w:spacing w:after="0" w:line="170" w:lineRule="exact"/>
              <w:rPr>
                <w:sz w:val="20"/>
                <w:szCs w:val="20"/>
                <w:color w:val="auto"/>
              </w:rPr>
            </w:pPr>
            <w:r>
              <w:rPr>
                <w:rFonts w:ascii="Arial" w:cs="Arial" w:eastAsia="Arial" w:hAnsi="Arial"/>
                <w:sz w:val="17"/>
                <w:szCs w:val="17"/>
                <w:color w:val="auto"/>
              </w:rPr>
              <w:t>International Residential Connectivity &amp; Platforms customer</w:t>
            </w:r>
          </w:p>
        </w:tc>
        <w:tc>
          <w:tcPr>
            <w:tcW w:w="1300" w:type="dxa"/>
            <w:vAlign w:val="bottom"/>
            <w:vMerge w:val="restart"/>
            <w:shd w:val="clear" w:color="auto" w:fill="CCEEFF"/>
          </w:tcPr>
          <w:p>
            <w:pPr>
              <w:jc w:val="right"/>
              <w:ind w:right="276"/>
              <w:spacing w:after="0"/>
              <w:rPr>
                <w:sz w:val="20"/>
                <w:szCs w:val="20"/>
                <w:color w:val="auto"/>
              </w:rPr>
            </w:pPr>
            <w:r>
              <w:rPr>
                <w:rFonts w:ascii="Arial" w:cs="Arial" w:eastAsia="Arial" w:hAnsi="Arial"/>
                <w:sz w:val="17"/>
                <w:szCs w:val="17"/>
                <w:color w:val="auto"/>
              </w:rPr>
              <w:t>17,884</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17,788</w:t>
            </w:r>
          </w:p>
        </w:tc>
        <w:tc>
          <w:tcPr>
            <w:tcW w:w="1320" w:type="dxa"/>
            <w:vAlign w:val="bottom"/>
            <w:vMerge w:val="restart"/>
            <w:shd w:val="clear" w:color="auto" w:fill="CCEEFF"/>
          </w:tcPr>
          <w:p>
            <w:pPr>
              <w:jc w:val="right"/>
              <w:ind w:right="237"/>
              <w:spacing w:after="0"/>
              <w:rPr>
                <w:sz w:val="20"/>
                <w:szCs w:val="20"/>
                <w:color w:val="auto"/>
              </w:rPr>
            </w:pPr>
            <w:r>
              <w:rPr>
                <w:rFonts w:ascii="Arial" w:cs="Arial" w:eastAsia="Arial" w:hAnsi="Arial"/>
                <w:sz w:val="17"/>
                <w:szCs w:val="17"/>
                <w:color w:val="auto"/>
              </w:rPr>
              <w:t>(167)</w:t>
            </w:r>
          </w:p>
        </w:tc>
        <w:tc>
          <w:tcPr>
            <w:tcW w:w="90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(120)</w:t>
            </w:r>
          </w:p>
        </w:tc>
        <w:tc>
          <w:tcPr>
            <w:tcW w:w="1140" w:type="dxa"/>
            <w:vAlign w:val="bottom"/>
            <w:vMerge w:val="restart"/>
            <w:shd w:val="clear" w:color="auto" w:fill="CCEEFF"/>
          </w:tcPr>
          <w:p>
            <w:pPr>
              <w:jc w:val="right"/>
              <w:ind w:right="237"/>
              <w:spacing w:after="0"/>
              <w:rPr>
                <w:sz w:val="20"/>
                <w:szCs w:val="20"/>
                <w:color w:val="auto"/>
              </w:rPr>
            </w:pPr>
            <w:r>
              <w:rPr>
                <w:rFonts w:ascii="Arial" w:cs="Arial" w:eastAsia="Arial" w:hAnsi="Arial"/>
                <w:sz w:val="17"/>
                <w:szCs w:val="17"/>
                <w:color w:val="auto"/>
              </w:rPr>
              <w:t>(55)</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22"/>
        </w:trPr>
        <w:tc>
          <w:tcPr>
            <w:tcW w:w="5020" w:type="dxa"/>
            <w:vAlign w:val="bottom"/>
            <w:shd w:val="clear" w:color="auto" w:fill="CCEEFF"/>
          </w:tcPr>
          <w:p>
            <w:pPr>
              <w:ind w:left="340"/>
              <w:spacing w:after="0" w:line="223" w:lineRule="exact"/>
              <w:rPr>
                <w:sz w:val="20"/>
                <w:szCs w:val="20"/>
                <w:color w:val="auto"/>
              </w:rPr>
            </w:pPr>
            <w:r>
              <w:rPr>
                <w:rFonts w:ascii="Arial" w:cs="Arial" w:eastAsia="Arial" w:hAnsi="Arial"/>
                <w:sz w:val="17"/>
                <w:szCs w:val="17"/>
                <w:color w:val="auto"/>
              </w:rPr>
              <w:t>relationships</w:t>
            </w:r>
            <w:r>
              <w:rPr>
                <w:rFonts w:ascii="Arial" w:cs="Arial" w:eastAsia="Arial" w:hAnsi="Arial"/>
                <w:sz w:val="22"/>
                <w:szCs w:val="22"/>
                <w:color w:val="auto"/>
                <w:vertAlign w:val="superscript"/>
              </w:rPr>
              <w:t>(a)</w:t>
            </w:r>
          </w:p>
        </w:tc>
        <w:tc>
          <w:tcPr>
            <w:tcW w:w="13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180"/>
              <w:spacing w:after="0" w:line="236" w:lineRule="exact"/>
              <w:rPr>
                <w:sz w:val="20"/>
                <w:szCs w:val="20"/>
                <w:color w:val="auto"/>
              </w:rPr>
            </w:pPr>
            <w:r>
              <w:rPr>
                <w:rFonts w:ascii="Arial" w:cs="Arial" w:eastAsia="Arial" w:hAnsi="Arial"/>
                <w:sz w:val="17"/>
                <w:szCs w:val="17"/>
                <w:color w:val="auto"/>
              </w:rPr>
              <w:t>Business Services Connectivity customer relationships</w:t>
            </w:r>
            <w:r>
              <w:rPr>
                <w:rFonts w:ascii="Arial" w:cs="Arial" w:eastAsia="Arial" w:hAnsi="Arial"/>
                <w:sz w:val="22"/>
                <w:szCs w:val="22"/>
                <w:color w:val="auto"/>
                <w:vertAlign w:val="superscript"/>
              </w:rPr>
              <w:t>(b)</w:t>
            </w:r>
          </w:p>
        </w:tc>
        <w:tc>
          <w:tcPr>
            <w:tcW w:w="1300" w:type="dxa"/>
            <w:vAlign w:val="bottom"/>
          </w:tcPr>
          <w:p>
            <w:pPr>
              <w:jc w:val="right"/>
              <w:ind w:right="276"/>
              <w:spacing w:after="0"/>
              <w:rPr>
                <w:sz w:val="20"/>
                <w:szCs w:val="20"/>
                <w:color w:val="auto"/>
              </w:rPr>
            </w:pPr>
            <w:r>
              <w:rPr>
                <w:rFonts w:ascii="Arial" w:cs="Arial" w:eastAsia="Arial" w:hAnsi="Arial"/>
                <w:sz w:val="17"/>
                <w:szCs w:val="17"/>
                <w:color w:val="auto"/>
              </w:rPr>
              <w:t>2,635</w:t>
            </w:r>
          </w:p>
        </w:tc>
        <w:tc>
          <w:tcPr>
            <w:tcW w:w="740" w:type="dxa"/>
            <w:vAlign w:val="bottom"/>
          </w:tcPr>
          <w:p>
            <w:pPr>
              <w:jc w:val="right"/>
              <w:spacing w:after="0"/>
              <w:rPr>
                <w:sz w:val="20"/>
                <w:szCs w:val="20"/>
                <w:color w:val="auto"/>
              </w:rPr>
            </w:pPr>
            <w:r>
              <w:rPr>
                <w:rFonts w:ascii="Arial" w:cs="Arial" w:eastAsia="Arial" w:hAnsi="Arial"/>
                <w:sz w:val="17"/>
                <w:szCs w:val="17"/>
                <w:color w:val="auto"/>
              </w:rPr>
              <w:t>2,608</w:t>
            </w:r>
          </w:p>
        </w:tc>
        <w:tc>
          <w:tcPr>
            <w:tcW w:w="1320" w:type="dxa"/>
            <w:vAlign w:val="bottom"/>
          </w:tcPr>
          <w:p>
            <w:pPr>
              <w:jc w:val="right"/>
              <w:ind w:right="277"/>
              <w:spacing w:after="0"/>
              <w:rPr>
                <w:sz w:val="20"/>
                <w:szCs w:val="20"/>
                <w:color w:val="auto"/>
              </w:rPr>
            </w:pPr>
            <w:r>
              <w:rPr>
                <w:rFonts w:ascii="Arial" w:cs="Arial" w:eastAsia="Arial" w:hAnsi="Arial"/>
                <w:sz w:val="17"/>
                <w:szCs w:val="17"/>
                <w:color w:val="auto"/>
              </w:rPr>
              <w:t>5</w:t>
            </w:r>
          </w:p>
        </w:tc>
        <w:tc>
          <w:tcPr>
            <w:tcW w:w="900" w:type="dxa"/>
            <w:vAlign w:val="bottom"/>
          </w:tcPr>
          <w:p>
            <w:pPr>
              <w:jc w:val="right"/>
              <w:ind w:right="156"/>
              <w:spacing w:after="0"/>
              <w:rPr>
                <w:sz w:val="20"/>
                <w:szCs w:val="20"/>
                <w:color w:val="auto"/>
              </w:rPr>
            </w:pPr>
            <w:r>
              <w:rPr>
                <w:rFonts w:ascii="Arial" w:cs="Arial" w:eastAsia="Arial" w:hAnsi="Arial"/>
                <w:sz w:val="17"/>
                <w:szCs w:val="17"/>
                <w:color w:val="auto"/>
              </w:rPr>
              <w:t>16</w:t>
            </w:r>
          </w:p>
        </w:tc>
        <w:tc>
          <w:tcPr>
            <w:tcW w:w="1140" w:type="dxa"/>
            <w:vAlign w:val="bottom"/>
          </w:tcPr>
          <w:p>
            <w:pPr>
              <w:jc w:val="right"/>
              <w:ind w:right="277"/>
              <w:spacing w:after="0"/>
              <w:rPr>
                <w:sz w:val="20"/>
                <w:szCs w:val="20"/>
                <w:color w:val="auto"/>
              </w:rPr>
            </w:pPr>
            <w:r>
              <w:rPr>
                <w:rFonts w:ascii="Arial" w:cs="Arial" w:eastAsia="Arial" w:hAnsi="Arial"/>
                <w:sz w:val="17"/>
                <w:szCs w:val="17"/>
                <w:color w:val="auto"/>
              </w:rPr>
              <w:t>10</w:t>
            </w:r>
          </w:p>
        </w:tc>
        <w:tc>
          <w:tcPr>
            <w:tcW w:w="74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2"/>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Connectivity &amp; Platforms customer relationships</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52,280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52,351</w:t>
            </w:r>
          </w:p>
        </w:tc>
        <w:tc>
          <w:tcPr>
            <w:tcW w:w="13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(228)</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(143)</w:t>
            </w:r>
          </w:p>
        </w:tc>
        <w:tc>
          <w:tcPr>
            <w:tcW w:w="11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(145)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Domestic Broadband</w:t>
            </w: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Residential customers</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29,796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29,826</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(20)</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22"/>
        </w:trPr>
        <w:tc>
          <w:tcPr>
            <w:tcW w:w="5020" w:type="dxa"/>
            <w:vAlign w:val="bottom"/>
          </w:tcPr>
          <w:p>
            <w:pPr>
              <w:ind w:left="180"/>
              <w:spacing w:after="0"/>
              <w:rPr>
                <w:sz w:val="20"/>
                <w:szCs w:val="20"/>
                <w:color w:val="auto"/>
              </w:rPr>
            </w:pPr>
            <w:r>
              <w:rPr>
                <w:rFonts w:ascii="Arial" w:cs="Arial" w:eastAsia="Arial" w:hAnsi="Arial"/>
                <w:sz w:val="17"/>
                <w:szCs w:val="17"/>
                <w:color w:val="auto"/>
              </w:rPr>
              <w:t>Business customers</w:t>
            </w:r>
          </w:p>
        </w:tc>
        <w:tc>
          <w:tcPr>
            <w:tcW w:w="1300" w:type="dxa"/>
            <w:vAlign w:val="bottom"/>
          </w:tcPr>
          <w:p>
            <w:pPr>
              <w:jc w:val="right"/>
              <w:ind w:right="276"/>
              <w:spacing w:after="0"/>
              <w:rPr>
                <w:sz w:val="20"/>
                <w:szCs w:val="20"/>
                <w:color w:val="auto"/>
              </w:rPr>
            </w:pPr>
            <w:r>
              <w:rPr>
                <w:rFonts w:ascii="Arial" w:cs="Arial" w:eastAsia="Arial" w:hAnsi="Arial"/>
                <w:sz w:val="17"/>
                <w:szCs w:val="17"/>
                <w:color w:val="auto"/>
              </w:rPr>
              <w:t>2,509</w:t>
            </w:r>
          </w:p>
        </w:tc>
        <w:tc>
          <w:tcPr>
            <w:tcW w:w="740" w:type="dxa"/>
            <w:vAlign w:val="bottom"/>
          </w:tcPr>
          <w:p>
            <w:pPr>
              <w:jc w:val="right"/>
              <w:spacing w:after="0"/>
              <w:rPr>
                <w:sz w:val="20"/>
                <w:szCs w:val="20"/>
                <w:color w:val="auto"/>
              </w:rPr>
            </w:pPr>
            <w:r>
              <w:rPr>
                <w:rFonts w:ascii="Arial" w:cs="Arial" w:eastAsia="Arial" w:hAnsi="Arial"/>
                <w:sz w:val="17"/>
                <w:szCs w:val="17"/>
                <w:color w:val="auto"/>
              </w:rPr>
              <w:t>2,497</w:t>
            </w:r>
          </w:p>
        </w:tc>
        <w:tc>
          <w:tcPr>
            <w:tcW w:w="1320" w:type="dxa"/>
            <w:vAlign w:val="bottom"/>
          </w:tcPr>
          <w:p>
            <w:pPr>
              <w:jc w:val="right"/>
              <w:ind w:right="277"/>
              <w:spacing w:after="0"/>
              <w:rPr>
                <w:sz w:val="20"/>
                <w:szCs w:val="20"/>
                <w:color w:val="auto"/>
              </w:rPr>
            </w:pPr>
            <w:r>
              <w:rPr>
                <w:rFonts w:ascii="Arial" w:cs="Arial" w:eastAsia="Arial" w:hAnsi="Arial"/>
                <w:sz w:val="17"/>
                <w:szCs w:val="17"/>
                <w:color w:val="auto"/>
              </w:rPr>
              <w:t>1</w:t>
            </w:r>
          </w:p>
        </w:tc>
        <w:tc>
          <w:tcPr>
            <w:tcW w:w="900" w:type="dxa"/>
            <w:vAlign w:val="bottom"/>
          </w:tcPr>
          <w:p>
            <w:pPr>
              <w:jc w:val="right"/>
              <w:ind w:right="156"/>
              <w:spacing w:after="0"/>
              <w:rPr>
                <w:sz w:val="20"/>
                <w:szCs w:val="20"/>
                <w:color w:val="auto"/>
              </w:rPr>
            </w:pPr>
            <w:r>
              <w:rPr>
                <w:rFonts w:ascii="Arial" w:cs="Arial" w:eastAsia="Arial" w:hAnsi="Arial"/>
                <w:sz w:val="17"/>
                <w:szCs w:val="17"/>
                <w:color w:val="auto"/>
              </w:rPr>
              <w:t>13</w:t>
            </w:r>
          </w:p>
        </w:tc>
        <w:tc>
          <w:tcPr>
            <w:tcW w:w="1140" w:type="dxa"/>
            <w:vAlign w:val="bottom"/>
          </w:tcPr>
          <w:p>
            <w:pPr>
              <w:jc w:val="right"/>
              <w:ind w:right="277"/>
              <w:spacing w:after="0"/>
              <w:rPr>
                <w:sz w:val="20"/>
                <w:szCs w:val="20"/>
                <w:color w:val="auto"/>
              </w:rPr>
            </w:pPr>
            <w:r>
              <w:rPr>
                <w:rFonts w:ascii="Arial" w:cs="Arial" w:eastAsia="Arial" w:hAnsi="Arial"/>
                <w:sz w:val="17"/>
                <w:szCs w:val="17"/>
                <w:color w:val="auto"/>
              </w:rPr>
              <w:t>3</w:t>
            </w: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2"/>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domestic broadband customers</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32,305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32,323</w:t>
            </w:r>
          </w:p>
        </w:tc>
        <w:tc>
          <w:tcPr>
            <w:tcW w:w="13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(19)</w:t>
            </w:r>
          </w:p>
        </w:tc>
        <w:tc>
          <w:tcPr>
            <w:tcW w:w="9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3</w:t>
            </w:r>
          </w:p>
        </w:tc>
        <w:tc>
          <w:tcPr>
            <w:tcW w:w="11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(14)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Domestic Wireless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tcBorders>
              <w:bottom w:val="single" w:sz="8" w:color="auto"/>
            </w:tcBorders>
            <w:shd w:val="clear" w:color="auto" w:fill="CCEEFF"/>
          </w:tcPr>
          <w:p>
            <w:pPr>
              <w:ind w:left="20"/>
              <w:spacing w:after="0" w:line="226" w:lineRule="exact"/>
              <w:rPr>
                <w:sz w:val="20"/>
                <w:szCs w:val="20"/>
                <w:color w:val="auto"/>
              </w:rPr>
            </w:pPr>
            <w:r>
              <w:rPr>
                <w:rFonts w:ascii="Arial" w:cs="Arial" w:eastAsia="Arial" w:hAnsi="Arial"/>
                <w:sz w:val="17"/>
                <w:szCs w:val="17"/>
                <w:color w:val="auto"/>
              </w:rPr>
              <w:t>Total domestic wireless lines</w:t>
            </w:r>
            <w:r>
              <w:rPr>
                <w:rFonts w:ascii="Arial" w:cs="Arial" w:eastAsia="Arial" w:hAnsi="Arial"/>
                <w:sz w:val="22"/>
                <w:szCs w:val="22"/>
                <w:color w:val="auto"/>
                <w:vertAlign w:val="superscript"/>
              </w:rPr>
              <w:t>(c)</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5,984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4,615</w:t>
            </w:r>
          </w:p>
        </w:tc>
        <w:tc>
          <w:tcPr>
            <w:tcW w:w="13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7"/>
                <w:szCs w:val="17"/>
                <w:color w:val="auto"/>
              </w:rPr>
              <w:t>316</w:t>
            </w:r>
          </w:p>
        </w:tc>
        <w:tc>
          <w:tcPr>
            <w:tcW w:w="9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317</w:t>
            </w:r>
          </w:p>
        </w:tc>
        <w:tc>
          <w:tcPr>
            <w:tcW w:w="11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7"/>
                <w:szCs w:val="17"/>
                <w:color w:val="auto"/>
              </w:rPr>
              <w:t>671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Domestic Video</w:t>
            </w: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domestic video customers</w:t>
            </w:r>
          </w:p>
        </w:tc>
        <w:tc>
          <w:tcPr>
            <w:tcW w:w="13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14,985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17,144</w:t>
            </w:r>
          </w:p>
        </w:tc>
        <w:tc>
          <w:tcPr>
            <w:tcW w:w="13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(543)</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(521)</w:t>
            </w:r>
          </w:p>
        </w:tc>
        <w:tc>
          <w:tcPr>
            <w:tcW w:w="11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rPr>
              <w:t>(1,157)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left="240" w:hanging="235"/>
        <w:spacing w:after="0" w:line="307" w:lineRule="auto"/>
        <w:tabs>
          <w:tab w:leader="none" w:pos="2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Connectivity &amp; Platforms markets. Previously reported total Sky customer relationships of approximately 23 million as of December 31, 2022 also included approximately 5 million customer relationships receiving Sky services outside of the Connectivity &amp; Platforms markets. Because each of our services includes a variety of product tiers, which may change from time to time, net additions or losses in any one period will reflect a mix of customers at various tiers.</w:t>
      </w:r>
    </w:p>
    <w:p>
      <w:pPr>
        <w:jc w:val="both"/>
        <w:ind w:left="240" w:hanging="235"/>
        <w:spacing w:after="0" w:line="256"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Business Services Connectivity customer metrics are generally counted based on the number of locations receiving services, including locations within our distribution system in the United States, as well as locations outside of our distribution system both in the United States and internationally. Certain arrangements whereby third parties provide connectivity services leveraging our distribution system are also generally counted based on the number of locations served.</w:t>
      </w:r>
    </w:p>
    <w:p>
      <w:pPr>
        <w:spacing w:after="0" w:line="21" w:lineRule="exact"/>
        <w:rPr>
          <w:rFonts w:ascii="Arial" w:cs="Arial" w:eastAsia="Arial" w:hAnsi="Arial"/>
          <w:sz w:val="14"/>
          <w:szCs w:val="14"/>
          <w:color w:val="auto"/>
        </w:rPr>
      </w:pPr>
    </w:p>
    <w:p>
      <w:pPr>
        <w:ind w:left="240" w:hanging="235"/>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Domestic wireless lines represent the number of residential and business customers’ wireless devices. An individual customer relationship may have multiple wireless lines.</w:t>
      </w:r>
    </w:p>
    <w:p>
      <w:pPr>
        <w:spacing w:after="0" w:line="35" w:lineRule="exact"/>
        <w:rPr>
          <w:rFonts w:ascii="Arial" w:cs="Arial" w:eastAsia="Arial" w:hAnsi="Arial"/>
          <w:sz w:val="14"/>
          <w:szCs w:val="14"/>
          <w:color w:val="auto"/>
        </w:rPr>
      </w:pPr>
    </w:p>
    <w:p>
      <w:pPr>
        <w:jc w:val="both"/>
        <w:ind w:left="240" w:hanging="235"/>
        <w:spacing w:after="0" w:line="266"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Customer metrics for 2022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were not material to any period presented.</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vMerge w:val="restart"/>
          </w:tcPr>
          <w:p>
            <w:pPr>
              <w:jc w:val="right"/>
              <w:ind w:right="259"/>
              <w:spacing w:after="0"/>
              <w:rPr>
                <w:sz w:val="20"/>
                <w:szCs w:val="20"/>
                <w:color w:val="auto"/>
              </w:rPr>
            </w:pPr>
            <w:r>
              <w:rPr>
                <w:rFonts w:ascii="Arial" w:cs="Arial" w:eastAsia="Arial" w:hAnsi="Arial"/>
                <w:sz w:val="14"/>
                <w:szCs w:val="14"/>
                <w:color w:val="auto"/>
                <w:w w:val="94"/>
              </w:rPr>
              <w:t>Three Months Ended</w:t>
            </w:r>
          </w:p>
        </w:tc>
        <w:tc>
          <w:tcPr>
            <w:tcW w:w="960" w:type="dxa"/>
            <w:vAlign w:val="bottom"/>
          </w:tcPr>
          <w:p>
            <w:pPr>
              <w:spacing w:after="0"/>
              <w:rPr>
                <w:sz w:val="14"/>
                <w:szCs w:val="14"/>
                <w:color w:val="auto"/>
              </w:rPr>
            </w:pPr>
          </w:p>
        </w:tc>
        <w:tc>
          <w:tcPr>
            <w:tcW w:w="900" w:type="dxa"/>
            <w:vAlign w:val="bottom"/>
          </w:tcPr>
          <w:p>
            <w:pPr>
              <w:jc w:val="center"/>
              <w:ind w:right="84"/>
              <w:spacing w:after="0"/>
              <w:rPr>
                <w:sz w:val="20"/>
                <w:szCs w:val="20"/>
                <w:color w:val="auto"/>
              </w:rPr>
            </w:pPr>
            <w:r>
              <w:rPr>
                <w:rFonts w:ascii="Arial" w:cs="Arial" w:eastAsia="Arial" w:hAnsi="Arial"/>
                <w:sz w:val="14"/>
                <w:szCs w:val="14"/>
                <w:color w:val="auto"/>
                <w:w w:val="89"/>
              </w:rPr>
              <w:t>Constant</w:t>
            </w:r>
          </w:p>
        </w:tc>
        <w:tc>
          <w:tcPr>
            <w:tcW w:w="240" w:type="dxa"/>
            <w:vAlign w:val="bottom"/>
          </w:tcPr>
          <w:p>
            <w:pPr>
              <w:spacing w:after="0"/>
              <w:rPr>
                <w:sz w:val="14"/>
                <w:szCs w:val="14"/>
                <w:color w:val="auto"/>
              </w:rPr>
            </w:pPr>
          </w:p>
        </w:tc>
        <w:tc>
          <w:tcPr>
            <w:tcW w:w="1580" w:type="dxa"/>
            <w:vAlign w:val="bottom"/>
            <w:gridSpan w:val="3"/>
            <w:vMerge w:val="restart"/>
          </w:tcPr>
          <w:p>
            <w:pPr>
              <w:jc w:val="right"/>
              <w:ind w:right="339"/>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color w:val="auto"/>
                <w:w w:val="85"/>
              </w:rPr>
              <w:t>Constant</w:t>
            </w: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jc w:val="center"/>
              <w:ind w:right="64"/>
              <w:spacing w:after="0" w:line="134" w:lineRule="exact"/>
              <w:rPr>
                <w:sz w:val="20"/>
                <w:szCs w:val="20"/>
                <w:color w:val="auto"/>
              </w:rPr>
            </w:pPr>
            <w:r>
              <w:rPr>
                <w:rFonts w:ascii="Arial" w:cs="Arial" w:eastAsia="Arial" w:hAnsi="Arial"/>
                <w:sz w:val="14"/>
                <w:szCs w:val="14"/>
                <w:color w:val="auto"/>
                <w:w w:val="91"/>
              </w:rPr>
              <w:t>Currency</w:t>
            </w:r>
          </w:p>
        </w:tc>
        <w:tc>
          <w:tcPr>
            <w:tcW w:w="2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jc w:val="center"/>
              <w:ind w:right="24"/>
              <w:spacing w:after="0" w:line="134" w:lineRule="exact"/>
              <w:rPr>
                <w:sz w:val="20"/>
                <w:szCs w:val="20"/>
                <w:color w:val="auto"/>
              </w:rPr>
            </w:pPr>
            <w:r>
              <w:rPr>
                <w:rFonts w:ascii="Arial" w:cs="Arial" w:eastAsia="Arial" w:hAnsi="Arial"/>
                <w:sz w:val="14"/>
                <w:szCs w:val="14"/>
                <w:color w:val="auto"/>
                <w:w w:val="91"/>
              </w:rPr>
              <w:t>Currency</w:t>
            </w:r>
          </w:p>
        </w:tc>
        <w:tc>
          <w:tcPr>
            <w:tcW w:w="0" w:type="dxa"/>
            <w:vAlign w:val="bottom"/>
          </w:tcPr>
          <w:p>
            <w:pPr>
              <w:spacing w:after="0"/>
              <w:rPr>
                <w:sz w:val="1"/>
                <w:szCs w:val="1"/>
                <w:color w:val="auto"/>
              </w:rPr>
            </w:pPr>
          </w:p>
        </w:tc>
      </w:tr>
      <w:tr>
        <w:trPr>
          <w:trHeight w:val="207"/>
        </w:trPr>
        <w:tc>
          <w:tcPr>
            <w:tcW w:w="3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Change</w:t>
            </w: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(a)</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Change</w:t>
            </w: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(a)</w:t>
            </w:r>
          </w:p>
        </w:tc>
        <w:tc>
          <w:tcPr>
            <w:tcW w:w="0" w:type="dxa"/>
            <w:vAlign w:val="bottom"/>
          </w:tcPr>
          <w:p>
            <w:pPr>
              <w:spacing w:after="0"/>
              <w:rPr>
                <w:sz w:val="1"/>
                <w:szCs w:val="1"/>
                <w:color w:val="auto"/>
              </w:rPr>
            </w:pPr>
          </w:p>
        </w:tc>
      </w:tr>
      <w:tr>
        <w:trPr>
          <w:trHeight w:val="174"/>
        </w:trPr>
        <w:tc>
          <w:tcPr>
            <w:tcW w:w="3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w w:val="96"/>
              </w:rPr>
              <w:t>2022</w:t>
            </w: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w w:val="96"/>
              </w:rPr>
              <w:t>2022</w:t>
            </w: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3900" w:type="dxa"/>
            <w:vAlign w:val="bottom"/>
            <w:shd w:val="clear" w:color="auto" w:fill="CCEEFF"/>
          </w:tcPr>
          <w:p>
            <w:pPr>
              <w:jc w:val="center"/>
              <w:ind w:right="413"/>
              <w:spacing w:after="0" w:line="180" w:lineRule="exact"/>
              <w:rPr>
                <w:sz w:val="20"/>
                <w:szCs w:val="20"/>
                <w:color w:val="auto"/>
              </w:rPr>
            </w:pPr>
            <w:r>
              <w:rPr>
                <w:rFonts w:ascii="Arial" w:cs="Arial" w:eastAsia="Arial" w:hAnsi="Arial"/>
                <w:sz w:val="17"/>
                <w:szCs w:val="17"/>
                <w:color w:val="auto"/>
                <w:w w:val="95"/>
              </w:rPr>
              <w:t>Average monthly total Connectivity &amp; Platforms</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 per customer relationship</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129.53</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96"/>
              </w:rPr>
              <w:t>129.30</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0.2 %</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128.97</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96"/>
              </w:rPr>
              <w:t>129.96</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(0.8)%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71"/>
        </w:trPr>
        <w:tc>
          <w:tcPr>
            <w:tcW w:w="3900" w:type="dxa"/>
            <w:vAlign w:val="bottom"/>
          </w:tcPr>
          <w:p>
            <w:pPr>
              <w:jc w:val="center"/>
              <w:ind w:right="413"/>
              <w:spacing w:after="0" w:line="171" w:lineRule="exact"/>
              <w:rPr>
                <w:sz w:val="20"/>
                <w:szCs w:val="20"/>
                <w:color w:val="auto"/>
              </w:rPr>
            </w:pPr>
            <w:r>
              <w:rPr>
                <w:rFonts w:ascii="Arial" w:cs="Arial" w:eastAsia="Arial" w:hAnsi="Arial"/>
                <w:sz w:val="17"/>
                <w:szCs w:val="17"/>
                <w:color w:val="auto"/>
                <w:w w:val="95"/>
              </w:rPr>
              <w:t>Average monthly total Connectivity &amp; Platforms</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53.10</w:t>
            </w:r>
          </w:p>
        </w:tc>
        <w:tc>
          <w:tcPr>
            <w:tcW w:w="280" w:type="dxa"/>
            <w:vAlign w:val="bottom"/>
            <w:vMerge w:val="restart"/>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ind w:right="79"/>
              <w:spacing w:after="0"/>
              <w:rPr>
                <w:sz w:val="20"/>
                <w:szCs w:val="20"/>
                <w:color w:val="auto"/>
              </w:rPr>
            </w:pPr>
            <w:r>
              <w:rPr>
                <w:rFonts w:ascii="Arial" w:cs="Arial" w:eastAsia="Arial" w:hAnsi="Arial"/>
                <w:sz w:val="17"/>
                <w:szCs w:val="17"/>
                <w:color w:val="auto"/>
              </w:rPr>
              <w:t>50.84</w:t>
            </w:r>
          </w:p>
        </w:tc>
        <w:tc>
          <w:tcPr>
            <w:tcW w:w="960" w:type="dxa"/>
            <w:vAlign w:val="bottom"/>
            <w:vMerge w:val="restart"/>
          </w:tcPr>
          <w:p>
            <w:pPr>
              <w:jc w:val="right"/>
              <w:ind w:right="42"/>
              <w:spacing w:after="0"/>
              <w:rPr>
                <w:sz w:val="20"/>
                <w:szCs w:val="20"/>
                <w:color w:val="auto"/>
              </w:rPr>
            </w:pPr>
            <w:r>
              <w:rPr>
                <w:rFonts w:ascii="Arial" w:cs="Arial" w:eastAsia="Arial" w:hAnsi="Arial"/>
                <w:sz w:val="17"/>
                <w:szCs w:val="17"/>
                <w:color w:val="auto"/>
              </w:rPr>
              <w:t>4.4 %</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4.4 %</w:t>
            </w:r>
          </w:p>
        </w:tc>
        <w:tc>
          <w:tcPr>
            <w:tcW w:w="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52.33</w:t>
            </w:r>
          </w:p>
        </w:tc>
        <w:tc>
          <w:tcPr>
            <w:tcW w:w="280" w:type="dxa"/>
            <w:vAlign w:val="bottom"/>
            <w:vMerge w:val="restart"/>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ind w:right="79"/>
              <w:spacing w:after="0"/>
              <w:rPr>
                <w:sz w:val="20"/>
                <w:szCs w:val="20"/>
                <w:color w:val="auto"/>
              </w:rPr>
            </w:pPr>
            <w:r>
              <w:rPr>
                <w:rFonts w:ascii="Arial" w:cs="Arial" w:eastAsia="Arial" w:hAnsi="Arial"/>
                <w:sz w:val="17"/>
                <w:szCs w:val="17"/>
                <w:color w:val="auto"/>
              </w:rPr>
              <w:t>50.40</w:t>
            </w:r>
          </w:p>
        </w:tc>
        <w:tc>
          <w:tcPr>
            <w:tcW w:w="960" w:type="dxa"/>
            <w:vAlign w:val="bottom"/>
            <w:vMerge w:val="restart"/>
          </w:tcPr>
          <w:p>
            <w:pPr>
              <w:jc w:val="right"/>
              <w:ind w:right="42"/>
              <w:spacing w:after="0"/>
              <w:rPr>
                <w:sz w:val="20"/>
                <w:szCs w:val="20"/>
                <w:color w:val="auto"/>
              </w:rPr>
            </w:pPr>
            <w:r>
              <w:rPr>
                <w:rFonts w:ascii="Arial" w:cs="Arial" w:eastAsia="Arial" w:hAnsi="Arial"/>
                <w:sz w:val="17"/>
                <w:szCs w:val="17"/>
                <w:color w:val="auto"/>
              </w:rPr>
              <w:t>3.8 %</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jc w:val="center"/>
              <w:ind w:right="373"/>
              <w:spacing w:after="0"/>
              <w:rPr>
                <w:sz w:val="20"/>
                <w:szCs w:val="20"/>
                <w:color w:val="auto"/>
              </w:rPr>
            </w:pPr>
            <w:r>
              <w:rPr>
                <w:rFonts w:ascii="Arial" w:cs="Arial" w:eastAsia="Arial" w:hAnsi="Arial"/>
                <w:sz w:val="17"/>
                <w:szCs w:val="17"/>
                <w:color w:val="auto"/>
                <w:w w:val="95"/>
              </w:rPr>
              <w:t>Adjusted EBITDA per customer relationship</w:t>
            </w:r>
          </w:p>
        </w:tc>
        <w:tc>
          <w:tcPr>
            <w:tcW w:w="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40" w:hanging="235"/>
        <w:spacing w:after="0" w:line="279" w:lineRule="auto"/>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27 for additional information, including our definition and our use of constant currency, and for a reconciliation of constant currency amounts.</w:t>
      </w:r>
    </w:p>
    <w:p>
      <w:pPr>
        <w:spacing w:after="0" w:line="27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Connectivity &amp; Platforms — Supplemental Costs and Expenses Information</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Connectivity &amp; Platforms supplemental costs and expenses information in the table below is presented on an aggregate basis across the Connectivity &amp; Platforms segments as the segments use certain shared infrastructure, including the cable distribution network in the United States. Costs and expenses information reported separately for the Residential Connectivity &amp; Platforms and Business Services Connectivity segments include each segment’s direct costs and an allocation of shared costs.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center"/>
              <w:ind w:right="79"/>
              <w:spacing w:after="0"/>
              <w:rPr>
                <w:sz w:val="20"/>
                <w:szCs w:val="20"/>
                <w:color w:val="auto"/>
              </w:rPr>
            </w:pPr>
            <w:r>
              <w:rPr>
                <w:rFonts w:ascii="Arial" w:cs="Arial" w:eastAsia="Arial" w:hAnsi="Arial"/>
                <w:sz w:val="14"/>
                <w:szCs w:val="14"/>
                <w:color w:val="auto"/>
                <w:w w:val="89"/>
              </w:rPr>
              <w:t>Constant</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color w:val="auto"/>
                <w:w w:val="85"/>
              </w:rPr>
              <w:t>Constant</w:t>
            </w:r>
          </w:p>
        </w:tc>
      </w:tr>
      <w:tr>
        <w:trPr>
          <w:trHeight w:val="139"/>
        </w:trPr>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3"/>
          </w:tcPr>
          <w:p>
            <w:pPr>
              <w:jc w:val="right"/>
              <w:ind w:right="435"/>
              <w:spacing w:after="0" w:line="139" w:lineRule="exact"/>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2"/>
                <w:szCs w:val="12"/>
                <w:color w:val="auto"/>
              </w:rPr>
            </w:pPr>
          </w:p>
        </w:tc>
        <w:tc>
          <w:tcPr>
            <w:tcW w:w="940" w:type="dxa"/>
            <w:vAlign w:val="bottom"/>
          </w:tcPr>
          <w:p>
            <w:pPr>
              <w:jc w:val="center"/>
              <w:ind w:right="99"/>
              <w:spacing w:after="0" w:line="139" w:lineRule="exact"/>
              <w:rPr>
                <w:sz w:val="20"/>
                <w:szCs w:val="20"/>
                <w:color w:val="auto"/>
              </w:rPr>
            </w:pPr>
            <w:r>
              <w:rPr>
                <w:rFonts w:ascii="Arial" w:cs="Arial" w:eastAsia="Arial" w:hAnsi="Arial"/>
                <w:sz w:val="14"/>
                <w:szCs w:val="14"/>
                <w:color w:val="auto"/>
                <w:w w:val="91"/>
              </w:rPr>
              <w:t>Currency</w:t>
            </w:r>
          </w:p>
        </w:tc>
        <w:tc>
          <w:tcPr>
            <w:tcW w:w="280" w:type="dxa"/>
            <w:vAlign w:val="bottom"/>
          </w:tcPr>
          <w:p>
            <w:pPr>
              <w:spacing w:after="0"/>
              <w:rPr>
                <w:sz w:val="12"/>
                <w:szCs w:val="12"/>
                <w:color w:val="auto"/>
              </w:rPr>
            </w:pPr>
          </w:p>
        </w:tc>
        <w:tc>
          <w:tcPr>
            <w:tcW w:w="1880" w:type="dxa"/>
            <w:vAlign w:val="bottom"/>
            <w:gridSpan w:val="3"/>
          </w:tcPr>
          <w:p>
            <w:pPr>
              <w:jc w:val="right"/>
              <w:ind w:right="495"/>
              <w:spacing w:after="0" w:line="139" w:lineRule="exact"/>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12"/>
                <w:szCs w:val="12"/>
                <w:color w:val="auto"/>
              </w:rPr>
            </w:pPr>
          </w:p>
        </w:tc>
        <w:tc>
          <w:tcPr>
            <w:tcW w:w="900" w:type="dxa"/>
            <w:vAlign w:val="bottom"/>
          </w:tcPr>
          <w:p>
            <w:pPr>
              <w:jc w:val="center"/>
              <w:ind w:right="19"/>
              <w:spacing w:after="0" w:line="139" w:lineRule="exact"/>
              <w:rPr>
                <w:sz w:val="20"/>
                <w:szCs w:val="20"/>
                <w:color w:val="auto"/>
              </w:rPr>
            </w:pPr>
            <w:r>
              <w:rPr>
                <w:rFonts w:ascii="Arial" w:cs="Arial" w:eastAsia="Arial" w:hAnsi="Arial"/>
                <w:sz w:val="14"/>
                <w:szCs w:val="14"/>
                <w:color w:val="auto"/>
                <w:w w:val="91"/>
              </w:rPr>
              <w:t>Currency</w:t>
            </w:r>
          </w:p>
        </w:tc>
      </w:tr>
      <w:tr>
        <w:trPr>
          <w:trHeight w:val="193"/>
        </w:trPr>
        <w:tc>
          <w:tcPr>
            <w:tcW w:w="3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Change</w:t>
            </w:r>
          </w:p>
        </w:tc>
        <w:tc>
          <w:tcPr>
            <w:tcW w:w="940" w:type="dxa"/>
            <w:vAlign w:val="bottom"/>
            <w:tcBorders>
              <w:bottom w:val="single" w:sz="8" w:color="auto"/>
            </w:tcBorders>
          </w:tcPr>
          <w:p>
            <w:pPr>
              <w:jc w:val="center"/>
              <w:ind w:right="79"/>
              <w:spacing w:after="0" w:line="194" w:lineRule="exact"/>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Change</w:t>
            </w:r>
          </w:p>
        </w:tc>
        <w:tc>
          <w:tcPr>
            <w:tcW w:w="900" w:type="dxa"/>
            <w:vAlign w:val="bottom"/>
            <w:tcBorders>
              <w:bottom w:val="single" w:sz="8" w:color="auto"/>
            </w:tcBorders>
          </w:tcPr>
          <w:p>
            <w:pPr>
              <w:jc w:val="center"/>
              <w:ind w:right="19"/>
              <w:spacing w:after="0" w:line="194" w:lineRule="exact"/>
              <w:rPr>
                <w:sz w:val="20"/>
                <w:szCs w:val="20"/>
                <w:color w:val="auto"/>
              </w:rPr>
            </w:pPr>
            <w:r>
              <w:rPr>
                <w:rFonts w:ascii="Arial" w:cs="Arial" w:eastAsia="Arial" w:hAnsi="Arial"/>
                <w:sz w:val="14"/>
                <w:szCs w:val="14"/>
                <w:color w:val="auto"/>
                <w:w w:val="81"/>
              </w:rPr>
              <w:t>Change</w:t>
            </w:r>
            <w:r>
              <w:rPr>
                <w:rFonts w:ascii="Arial" w:cs="Arial" w:eastAsia="Arial" w:hAnsi="Arial"/>
                <w:sz w:val="18"/>
                <w:szCs w:val="18"/>
                <w:color w:val="auto"/>
                <w:w w:val="81"/>
                <w:vertAlign w:val="superscript"/>
              </w:rPr>
              <w:t>(g)</w:t>
            </w:r>
          </w:p>
        </w:tc>
      </w:tr>
      <w:tr>
        <w:trPr>
          <w:trHeight w:val="182"/>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96"/>
              </w:rPr>
              <w:t>%</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6"/>
              </w:rPr>
              <w:t>%</w:t>
            </w:r>
          </w:p>
        </w:tc>
      </w:tr>
      <w:tr>
        <w:trPr>
          <w:trHeight w:val="222"/>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6"/>
        </w:trPr>
        <w:tc>
          <w:tcPr>
            <w:tcW w:w="3120" w:type="dxa"/>
            <w:vAlign w:val="bottom"/>
          </w:tcPr>
          <w:p>
            <w:pPr>
              <w:ind w:left="180"/>
              <w:spacing w:after="0" w:line="236" w:lineRule="exact"/>
              <w:rPr>
                <w:sz w:val="20"/>
                <w:szCs w:val="20"/>
                <w:color w:val="auto"/>
              </w:rPr>
            </w:pPr>
            <w:r>
              <w:rPr>
                <w:rFonts w:ascii="Arial" w:cs="Arial" w:eastAsia="Arial" w:hAnsi="Arial"/>
                <w:sz w:val="17"/>
                <w:szCs w:val="17"/>
                <w:color w:val="auto"/>
              </w:rPr>
              <w:t>Programming</w:t>
            </w:r>
            <w:r>
              <w:rPr>
                <w:rFonts w:ascii="Arial" w:cs="Arial" w:eastAsia="Arial" w:hAnsi="Arial"/>
                <w:sz w:val="22"/>
                <w:szCs w:val="22"/>
                <w:color w:val="auto"/>
                <w:vertAlign w:val="superscript"/>
              </w:rPr>
              <w:t>(a)</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4,579</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4,679</w:t>
            </w:r>
          </w:p>
        </w:tc>
        <w:tc>
          <w:tcPr>
            <w:tcW w:w="1000" w:type="dxa"/>
            <w:vAlign w:val="bottom"/>
          </w:tcPr>
          <w:p>
            <w:pPr>
              <w:ind w:left="360"/>
              <w:spacing w:after="0"/>
              <w:rPr>
                <w:sz w:val="20"/>
                <w:szCs w:val="20"/>
                <w:color w:val="auto"/>
              </w:rPr>
            </w:pPr>
            <w:r>
              <w:rPr>
                <w:rFonts w:ascii="Arial" w:cs="Arial" w:eastAsia="Arial" w:hAnsi="Arial"/>
                <w:sz w:val="17"/>
                <w:szCs w:val="17"/>
                <w:color w:val="auto"/>
              </w:rPr>
              <w:t>(2.1) %</w:t>
            </w:r>
          </w:p>
        </w:tc>
        <w:tc>
          <w:tcPr>
            <w:tcW w:w="940" w:type="dxa"/>
            <w:vAlign w:val="bottom"/>
          </w:tcPr>
          <w:p>
            <w:pPr>
              <w:ind w:left="360"/>
              <w:spacing w:after="0"/>
              <w:rPr>
                <w:sz w:val="20"/>
                <w:szCs w:val="20"/>
                <w:color w:val="auto"/>
              </w:rPr>
            </w:pPr>
            <w:r>
              <w:rPr>
                <w:rFonts w:ascii="Arial" w:cs="Arial" w:eastAsia="Arial" w:hAnsi="Arial"/>
                <w:sz w:val="17"/>
                <w:szCs w:val="17"/>
                <w:color w:val="auto"/>
              </w:rPr>
              <w:t>(2.4) %</w:t>
            </w:r>
          </w:p>
        </w:tc>
        <w:tc>
          <w:tcPr>
            <w:tcW w:w="2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9,178</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9,563</w:t>
            </w:r>
          </w:p>
        </w:tc>
        <w:tc>
          <w:tcPr>
            <w:tcW w:w="1000" w:type="dxa"/>
            <w:vAlign w:val="bottom"/>
          </w:tcPr>
          <w:p>
            <w:pPr>
              <w:ind w:left="380"/>
              <w:spacing w:after="0"/>
              <w:rPr>
                <w:sz w:val="20"/>
                <w:szCs w:val="20"/>
                <w:color w:val="auto"/>
              </w:rPr>
            </w:pPr>
            <w:r>
              <w:rPr>
                <w:rFonts w:ascii="Arial" w:cs="Arial" w:eastAsia="Arial" w:hAnsi="Arial"/>
                <w:sz w:val="17"/>
                <w:szCs w:val="17"/>
                <w:color w:val="auto"/>
              </w:rPr>
              <w:t>(4.0) %</w:t>
            </w:r>
          </w:p>
        </w:tc>
        <w:tc>
          <w:tcPr>
            <w:tcW w:w="900" w:type="dxa"/>
            <w:vAlign w:val="bottom"/>
          </w:tcPr>
          <w:p>
            <w:pPr>
              <w:ind w:left="380"/>
              <w:spacing w:after="0"/>
              <w:rPr>
                <w:sz w:val="20"/>
                <w:szCs w:val="20"/>
                <w:color w:val="auto"/>
              </w:rPr>
            </w:pPr>
            <w:r>
              <w:rPr>
                <w:rFonts w:ascii="Arial" w:cs="Arial" w:eastAsia="Arial" w:hAnsi="Arial"/>
                <w:sz w:val="17"/>
                <w:szCs w:val="17"/>
                <w:color w:val="auto"/>
                <w:w w:val="91"/>
              </w:rPr>
              <w:t>(3.1) %</w:t>
            </w:r>
          </w:p>
        </w:tc>
      </w:tr>
      <w:tr>
        <w:trPr>
          <w:trHeight w:val="222"/>
        </w:trPr>
        <w:tc>
          <w:tcPr>
            <w:tcW w:w="3120" w:type="dxa"/>
            <w:vAlign w:val="bottom"/>
            <w:shd w:val="clear" w:color="auto" w:fill="CCEEFF"/>
          </w:tcPr>
          <w:p>
            <w:pPr>
              <w:ind w:left="180"/>
              <w:spacing w:after="0" w:line="223" w:lineRule="exact"/>
              <w:rPr>
                <w:sz w:val="20"/>
                <w:szCs w:val="20"/>
                <w:color w:val="auto"/>
              </w:rPr>
            </w:pPr>
            <w:r>
              <w:rPr>
                <w:rFonts w:ascii="Arial" w:cs="Arial" w:eastAsia="Arial" w:hAnsi="Arial"/>
                <w:sz w:val="17"/>
                <w:szCs w:val="17"/>
                <w:color w:val="auto"/>
              </w:rPr>
              <w:t>Technical and support</w:t>
            </w:r>
            <w:r>
              <w:rPr>
                <w:rFonts w:ascii="Arial" w:cs="Arial" w:eastAsia="Arial" w:hAnsi="Arial"/>
                <w:sz w:val="22"/>
                <w:szCs w:val="22"/>
                <w:color w:val="auto"/>
                <w:vertAlign w:val="superscript"/>
              </w:rPr>
              <w:t>(b)</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1,828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1,916</w:t>
            </w:r>
          </w:p>
        </w:tc>
        <w:tc>
          <w:tcPr>
            <w:tcW w:w="1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(4.6)</w:t>
            </w:r>
          </w:p>
        </w:tc>
        <w:tc>
          <w:tcPr>
            <w:tcW w:w="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(4.7)</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3,865</w:t>
            </w:r>
          </w:p>
        </w:tc>
        <w:tc>
          <w:tcPr>
            <w:tcW w:w="10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(5.3)</w:t>
            </w:r>
          </w:p>
        </w:tc>
        <w:tc>
          <w:tcPr>
            <w:tcW w:w="9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(4.7)</w:t>
            </w:r>
          </w:p>
        </w:tc>
      </w:tr>
      <w:tr>
        <w:trPr>
          <w:trHeight w:val="222"/>
        </w:trPr>
        <w:tc>
          <w:tcPr>
            <w:tcW w:w="3120" w:type="dxa"/>
            <w:vAlign w:val="bottom"/>
          </w:tcPr>
          <w:p>
            <w:pPr>
              <w:ind w:left="180"/>
              <w:spacing w:after="0" w:line="223" w:lineRule="exact"/>
              <w:rPr>
                <w:sz w:val="20"/>
                <w:szCs w:val="20"/>
                <w:color w:val="auto"/>
              </w:rPr>
            </w:pPr>
            <w:r>
              <w:rPr>
                <w:rFonts w:ascii="Arial" w:cs="Arial" w:eastAsia="Arial" w:hAnsi="Arial"/>
                <w:sz w:val="17"/>
                <w:szCs w:val="17"/>
                <w:color w:val="auto"/>
              </w:rPr>
              <w:t>Direct product costs</w:t>
            </w:r>
            <w:r>
              <w:rPr>
                <w:rFonts w:ascii="Arial" w:cs="Arial" w:eastAsia="Arial" w:hAnsi="Arial"/>
                <w:sz w:val="22"/>
                <w:szCs w:val="22"/>
                <w:color w:val="auto"/>
                <w:vertAlign w:val="superscript"/>
              </w:rPr>
              <w:t>(c)</w:t>
            </w:r>
          </w:p>
        </w:tc>
        <w:tc>
          <w:tcPr>
            <w:tcW w:w="22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1,408</w:t>
            </w:r>
          </w:p>
        </w:tc>
        <w:tc>
          <w:tcPr>
            <w:tcW w:w="340" w:type="dxa"/>
            <w:vAlign w:val="bottom"/>
          </w:tcPr>
          <w:p>
            <w:pPr>
              <w:spacing w:after="0"/>
              <w:rPr>
                <w:sz w:val="19"/>
                <w:szCs w:val="19"/>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1,329</w:t>
            </w:r>
          </w:p>
        </w:tc>
        <w:tc>
          <w:tcPr>
            <w:tcW w:w="1000" w:type="dxa"/>
            <w:vAlign w:val="bottom"/>
          </w:tcPr>
          <w:p>
            <w:pPr>
              <w:ind w:left="440"/>
              <w:spacing w:after="0"/>
              <w:rPr>
                <w:sz w:val="20"/>
                <w:szCs w:val="20"/>
                <w:color w:val="auto"/>
              </w:rPr>
            </w:pPr>
            <w:r>
              <w:rPr>
                <w:rFonts w:ascii="Arial" w:cs="Arial" w:eastAsia="Arial" w:hAnsi="Arial"/>
                <w:sz w:val="17"/>
                <w:szCs w:val="17"/>
                <w:color w:val="auto"/>
              </w:rPr>
              <w:t>6.0</w:t>
            </w:r>
          </w:p>
        </w:tc>
        <w:tc>
          <w:tcPr>
            <w:tcW w:w="940" w:type="dxa"/>
            <w:vAlign w:val="bottom"/>
          </w:tcPr>
          <w:p>
            <w:pPr>
              <w:ind w:left="440"/>
              <w:spacing w:after="0"/>
              <w:rPr>
                <w:sz w:val="20"/>
                <w:szCs w:val="20"/>
                <w:color w:val="auto"/>
              </w:rPr>
            </w:pPr>
            <w:r>
              <w:rPr>
                <w:rFonts w:ascii="Arial" w:cs="Arial" w:eastAsia="Arial" w:hAnsi="Arial"/>
                <w:sz w:val="17"/>
                <w:szCs w:val="17"/>
                <w:color w:val="auto"/>
              </w:rPr>
              <w:t>5.5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2,809</w:t>
            </w:r>
          </w:p>
        </w:tc>
        <w:tc>
          <w:tcPr>
            <w:tcW w:w="340" w:type="dxa"/>
            <w:vAlign w:val="bottom"/>
          </w:tcPr>
          <w:p>
            <w:pPr>
              <w:spacing w:after="0"/>
              <w:rPr>
                <w:sz w:val="19"/>
                <w:szCs w:val="19"/>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2,667</w:t>
            </w:r>
          </w:p>
        </w:tc>
        <w:tc>
          <w:tcPr>
            <w:tcW w:w="1000" w:type="dxa"/>
            <w:vAlign w:val="bottom"/>
          </w:tcPr>
          <w:p>
            <w:pPr>
              <w:ind w:left="440"/>
              <w:spacing w:after="0"/>
              <w:rPr>
                <w:sz w:val="20"/>
                <w:szCs w:val="20"/>
                <w:color w:val="auto"/>
              </w:rPr>
            </w:pPr>
            <w:r>
              <w:rPr>
                <w:rFonts w:ascii="Arial" w:cs="Arial" w:eastAsia="Arial" w:hAnsi="Arial"/>
                <w:sz w:val="17"/>
                <w:szCs w:val="17"/>
                <w:color w:val="auto"/>
              </w:rPr>
              <w:t>5.3</w:t>
            </w:r>
          </w:p>
        </w:tc>
        <w:tc>
          <w:tcPr>
            <w:tcW w:w="900" w:type="dxa"/>
            <w:vAlign w:val="bottom"/>
          </w:tcPr>
          <w:p>
            <w:pPr>
              <w:ind w:left="440"/>
              <w:spacing w:after="0"/>
              <w:rPr>
                <w:sz w:val="20"/>
                <w:szCs w:val="20"/>
                <w:color w:val="auto"/>
              </w:rPr>
            </w:pPr>
            <w:r>
              <w:rPr>
                <w:rFonts w:ascii="Arial" w:cs="Arial" w:eastAsia="Arial" w:hAnsi="Arial"/>
                <w:sz w:val="17"/>
                <w:szCs w:val="17"/>
                <w:color w:val="auto"/>
              </w:rPr>
              <w:t>7.8</w:t>
            </w:r>
          </w:p>
        </w:tc>
      </w:tr>
      <w:tr>
        <w:trPr>
          <w:trHeight w:val="236"/>
        </w:trPr>
        <w:tc>
          <w:tcPr>
            <w:tcW w:w="312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Marketing and promotion</w:t>
            </w:r>
            <w:r>
              <w:rPr>
                <w:rFonts w:ascii="Arial" w:cs="Arial" w:eastAsia="Arial" w:hAnsi="Arial"/>
                <w:sz w:val="22"/>
                <w:szCs w:val="22"/>
                <w:color w:val="auto"/>
                <w:vertAlign w:val="superscript"/>
              </w:rPr>
              <w:t>(d)</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1,213</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1,296</w:t>
            </w:r>
          </w:p>
        </w:tc>
        <w:tc>
          <w:tcPr>
            <w:tcW w:w="1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(6.4)</w:t>
            </w:r>
          </w:p>
        </w:tc>
        <w:tc>
          <w:tcPr>
            <w:tcW w:w="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(6.6)</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2,415</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2,628</w:t>
            </w:r>
          </w:p>
        </w:tc>
        <w:tc>
          <w:tcPr>
            <w:tcW w:w="10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(8.1)</w:t>
            </w:r>
          </w:p>
        </w:tc>
        <w:tc>
          <w:tcPr>
            <w:tcW w:w="9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(7.3)</w:t>
            </w:r>
          </w:p>
        </w:tc>
      </w:tr>
      <w:tr>
        <w:trPr>
          <w:trHeight w:val="222"/>
        </w:trPr>
        <w:tc>
          <w:tcPr>
            <w:tcW w:w="3120" w:type="dxa"/>
            <w:vAlign w:val="bottom"/>
          </w:tcPr>
          <w:p>
            <w:pPr>
              <w:ind w:left="180"/>
              <w:spacing w:after="0" w:line="223" w:lineRule="exact"/>
              <w:rPr>
                <w:sz w:val="20"/>
                <w:szCs w:val="20"/>
                <w:color w:val="auto"/>
              </w:rPr>
            </w:pPr>
            <w:r>
              <w:rPr>
                <w:rFonts w:ascii="Arial" w:cs="Arial" w:eastAsia="Arial" w:hAnsi="Arial"/>
                <w:sz w:val="17"/>
                <w:szCs w:val="17"/>
                <w:color w:val="auto"/>
              </w:rPr>
              <w:t>Customer service</w:t>
            </w:r>
            <w:r>
              <w:rPr>
                <w:rFonts w:ascii="Arial" w:cs="Arial" w:eastAsia="Arial" w:hAnsi="Arial"/>
                <w:sz w:val="22"/>
                <w:szCs w:val="22"/>
                <w:color w:val="auto"/>
                <w:vertAlign w:val="superscript"/>
              </w:rPr>
              <w:t>(e)</w:t>
            </w:r>
          </w:p>
        </w:tc>
        <w:tc>
          <w:tcPr>
            <w:tcW w:w="22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696</w:t>
            </w:r>
          </w:p>
        </w:tc>
        <w:tc>
          <w:tcPr>
            <w:tcW w:w="340" w:type="dxa"/>
            <w:vAlign w:val="bottom"/>
          </w:tcPr>
          <w:p>
            <w:pPr>
              <w:spacing w:after="0"/>
              <w:rPr>
                <w:sz w:val="19"/>
                <w:szCs w:val="19"/>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720</w:t>
            </w:r>
          </w:p>
        </w:tc>
        <w:tc>
          <w:tcPr>
            <w:tcW w:w="1000" w:type="dxa"/>
            <w:vAlign w:val="bottom"/>
          </w:tcPr>
          <w:p>
            <w:pPr>
              <w:ind w:left="360"/>
              <w:spacing w:after="0"/>
              <w:rPr>
                <w:sz w:val="20"/>
                <w:szCs w:val="20"/>
                <w:color w:val="auto"/>
              </w:rPr>
            </w:pPr>
            <w:r>
              <w:rPr>
                <w:rFonts w:ascii="Arial" w:cs="Arial" w:eastAsia="Arial" w:hAnsi="Arial"/>
                <w:sz w:val="17"/>
                <w:szCs w:val="17"/>
                <w:color w:val="auto"/>
              </w:rPr>
              <w:t>(3.4)</w:t>
            </w:r>
          </w:p>
        </w:tc>
        <w:tc>
          <w:tcPr>
            <w:tcW w:w="940" w:type="dxa"/>
            <w:vAlign w:val="bottom"/>
          </w:tcPr>
          <w:p>
            <w:pPr>
              <w:ind w:left="360"/>
              <w:spacing w:after="0"/>
              <w:rPr>
                <w:sz w:val="20"/>
                <w:szCs w:val="20"/>
                <w:color w:val="auto"/>
              </w:rPr>
            </w:pPr>
            <w:r>
              <w:rPr>
                <w:rFonts w:ascii="Arial" w:cs="Arial" w:eastAsia="Arial" w:hAnsi="Arial"/>
                <w:sz w:val="17"/>
                <w:szCs w:val="17"/>
                <w:color w:val="auto"/>
              </w:rPr>
              <w:t>(3.5)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1,405</w:t>
            </w:r>
          </w:p>
        </w:tc>
        <w:tc>
          <w:tcPr>
            <w:tcW w:w="340" w:type="dxa"/>
            <w:vAlign w:val="bottom"/>
          </w:tcPr>
          <w:p>
            <w:pPr>
              <w:spacing w:after="0"/>
              <w:rPr>
                <w:sz w:val="19"/>
                <w:szCs w:val="19"/>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color w:val="auto"/>
              </w:rPr>
              <w:t>1,455</w:t>
            </w:r>
          </w:p>
        </w:tc>
        <w:tc>
          <w:tcPr>
            <w:tcW w:w="1000" w:type="dxa"/>
            <w:vAlign w:val="bottom"/>
          </w:tcPr>
          <w:p>
            <w:pPr>
              <w:ind w:left="380"/>
              <w:spacing w:after="0"/>
              <w:rPr>
                <w:sz w:val="20"/>
                <w:szCs w:val="20"/>
                <w:color w:val="auto"/>
              </w:rPr>
            </w:pPr>
            <w:r>
              <w:rPr>
                <w:rFonts w:ascii="Arial" w:cs="Arial" w:eastAsia="Arial" w:hAnsi="Arial"/>
                <w:sz w:val="17"/>
                <w:szCs w:val="17"/>
                <w:color w:val="auto"/>
              </w:rPr>
              <w:t>(3.5)</w:t>
            </w:r>
          </w:p>
        </w:tc>
        <w:tc>
          <w:tcPr>
            <w:tcW w:w="900" w:type="dxa"/>
            <w:vAlign w:val="bottom"/>
          </w:tcPr>
          <w:p>
            <w:pPr>
              <w:ind w:left="380"/>
              <w:spacing w:after="0"/>
              <w:rPr>
                <w:sz w:val="20"/>
                <w:szCs w:val="20"/>
                <w:color w:val="auto"/>
              </w:rPr>
            </w:pPr>
            <w:r>
              <w:rPr>
                <w:rFonts w:ascii="Arial" w:cs="Arial" w:eastAsia="Arial" w:hAnsi="Arial"/>
                <w:sz w:val="17"/>
                <w:szCs w:val="17"/>
                <w:color w:val="auto"/>
              </w:rPr>
              <w:t>(2.7)</w:t>
            </w:r>
          </w:p>
        </w:tc>
      </w:tr>
      <w:tr>
        <w:trPr>
          <w:trHeight w:val="222"/>
        </w:trPr>
        <w:tc>
          <w:tcPr>
            <w:tcW w:w="3120" w:type="dxa"/>
            <w:vAlign w:val="bottom"/>
            <w:tcBorders>
              <w:bottom w:val="single" w:sz="8" w:color="auto"/>
            </w:tcBorders>
            <w:shd w:val="clear" w:color="auto" w:fill="CCEEFF"/>
          </w:tcPr>
          <w:p>
            <w:pPr>
              <w:ind w:left="18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(f)</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2,290</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2,399</w:t>
            </w: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(4.5)</w:t>
            </w:r>
          </w:p>
        </w:tc>
        <w:tc>
          <w:tcPr>
            <w:tcW w:w="9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(4.7)</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4,608</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4,829</w:t>
            </w:r>
          </w:p>
        </w:tc>
        <w:tc>
          <w:tcPr>
            <w:tcW w:w="10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(4.6)</w:t>
            </w:r>
          </w:p>
        </w:tc>
        <w:tc>
          <w:tcPr>
            <w:tcW w:w="9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(3.6)</w:t>
            </w:r>
          </w:p>
        </w:tc>
      </w:tr>
      <w:tr>
        <w:trPr>
          <w:trHeight w:val="171"/>
        </w:trPr>
        <w:tc>
          <w:tcPr>
            <w:tcW w:w="3120" w:type="dxa"/>
            <w:vAlign w:val="bottom"/>
          </w:tcPr>
          <w:p>
            <w:pPr>
              <w:ind w:left="20"/>
              <w:spacing w:after="0" w:line="171" w:lineRule="exact"/>
              <w:rPr>
                <w:sz w:val="20"/>
                <w:szCs w:val="20"/>
                <w:color w:val="auto"/>
              </w:rPr>
            </w:pPr>
            <w:r>
              <w:rPr>
                <w:rFonts w:ascii="Arial" w:cs="Arial" w:eastAsia="Arial" w:hAnsi="Arial"/>
                <w:sz w:val="17"/>
                <w:szCs w:val="17"/>
                <w:b w:val="1"/>
                <w:bCs w:val="1"/>
                <w:color w:val="auto"/>
                <w:w w:val="92"/>
              </w:rPr>
              <w:t>Total Connectivity &amp; Platforms costs and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4"/>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expenses</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12,014</w:t>
            </w:r>
          </w:p>
        </w:tc>
        <w:tc>
          <w:tcPr>
            <w:tcW w:w="3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12,339</w:t>
            </w: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(2.6)%</w:t>
            </w: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(2.9)%</w:t>
            </w: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24,073</w:t>
            </w: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25,007</w:t>
            </w: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(3.7)%</w:t>
            </w: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w w:val="99"/>
              </w:rPr>
              <w:t>(2.7)%</w:t>
            </w:r>
          </w:p>
        </w:tc>
      </w:tr>
    </w:tbl>
    <w:p>
      <w:pPr>
        <w:spacing w:after="0" w:line="178" w:lineRule="exact"/>
        <w:rPr>
          <w:sz w:val="20"/>
          <w:szCs w:val="20"/>
          <w:color w:val="auto"/>
        </w:rPr>
      </w:pPr>
    </w:p>
    <w:p>
      <w:pPr>
        <w:jc w:val="both"/>
        <w:ind w:left="240" w:hanging="235"/>
        <w:spacing w:after="0" w:line="256"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channels, including amortization of licensed content.</w:t>
      </w:r>
    </w:p>
    <w:p>
      <w:pPr>
        <w:spacing w:after="0" w:line="21" w:lineRule="exact"/>
        <w:rPr>
          <w:rFonts w:ascii="Arial" w:cs="Arial" w:eastAsia="Arial" w:hAnsi="Arial"/>
          <w:sz w:val="14"/>
          <w:szCs w:val="14"/>
          <w:color w:val="auto"/>
        </w:rPr>
      </w:pPr>
    </w:p>
    <w:p>
      <w:pPr>
        <w:ind w:left="240" w:hanging="235"/>
        <w:spacing w:after="0" w:line="259"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Technical and support expenses primarily include costs for labor to complete service call and installation activities; and costs for network operations and satellite transmission, product development, fulfillment and provisioning.</w:t>
      </w:r>
    </w:p>
    <w:p>
      <w:pPr>
        <w:spacing w:after="0" w:line="18" w:lineRule="exact"/>
        <w:rPr>
          <w:rFonts w:ascii="Arial" w:cs="Arial" w:eastAsia="Arial" w:hAnsi="Arial"/>
          <w:sz w:val="14"/>
          <w:szCs w:val="14"/>
          <w:color w:val="auto"/>
        </w:rPr>
      </w:pPr>
    </w:p>
    <w:p>
      <w:pPr>
        <w:ind w:left="240" w:hanging="235"/>
        <w:spacing w:after="0" w:line="273"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Direct product costs primarily include access fees related to using wireless and broadband networks owned by third parties to deliver our services and costs of products sold, including wireless devices and Sky Glass smart televisions.</w:t>
      </w:r>
    </w:p>
    <w:p>
      <w:pPr>
        <w:ind w:left="240" w:hanging="235"/>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Marketing and promotion expenses include the costs associated with attracting new customers and promoting our service offerings.</w:t>
      </w:r>
    </w:p>
    <w:p>
      <w:pPr>
        <w:spacing w:after="0" w:line="48" w:lineRule="exact"/>
        <w:rPr>
          <w:rFonts w:ascii="Arial" w:cs="Arial" w:eastAsia="Arial" w:hAnsi="Arial"/>
          <w:sz w:val="14"/>
          <w:szCs w:val="14"/>
          <w:color w:val="auto"/>
        </w:rPr>
      </w:pPr>
    </w:p>
    <w:p>
      <w:pPr>
        <w:ind w:left="240" w:hanging="235"/>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Customer service expenses include the personnel and other costs associated with customer service and certain selling activities.</w:t>
      </w:r>
    </w:p>
    <w:p>
      <w:pPr>
        <w:spacing w:after="0" w:line="35" w:lineRule="exact"/>
        <w:rPr>
          <w:rFonts w:ascii="Arial" w:cs="Arial" w:eastAsia="Arial" w:hAnsi="Arial"/>
          <w:sz w:val="14"/>
          <w:szCs w:val="14"/>
          <w:color w:val="auto"/>
        </w:rPr>
      </w:pPr>
    </w:p>
    <w:p>
      <w:pPr>
        <w:ind w:left="240" w:hanging="235"/>
        <w:spacing w:after="0" w:line="273"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expenses primarily include administrative personnel costs; franchise and other regulatory fees; fees paid to third parties where we represent the advertising sales efforts; other business support costs, including building and office expenses, taxes and billing costs; and bad debt.</w:t>
      </w:r>
    </w:p>
    <w:p>
      <w:pPr>
        <w:ind w:left="240" w:hanging="235"/>
        <w:spacing w:after="0" w:line="279" w:lineRule="auto"/>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27 for additional information, including our definition and our use of constant currency, and for a reconciliation of constant currency amounts.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Residential Connectivity &amp; Platforms Segment Results of Operations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color w:val="auto"/>
                <w:w w:val="89"/>
              </w:rPr>
              <w:t>Constant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36"/>
        </w:trPr>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3"/>
          </w:tcPr>
          <w:p>
            <w:pPr>
              <w:jc w:val="right"/>
              <w:ind w:right="434"/>
              <w:spacing w:after="0" w:line="137" w:lineRule="exact"/>
              <w:rPr>
                <w:sz w:val="20"/>
                <w:szCs w:val="20"/>
                <w:color w:val="auto"/>
              </w:rPr>
            </w:pPr>
            <w:r>
              <w:rPr>
                <w:rFonts w:ascii="Arial" w:cs="Arial" w:eastAsia="Arial" w:hAnsi="Arial"/>
                <w:sz w:val="14"/>
                <w:szCs w:val="14"/>
                <w:color w:val="auto"/>
              </w:rPr>
              <w:t>Three Months Ended</w:t>
            </w:r>
          </w:p>
        </w:tc>
        <w:tc>
          <w:tcPr>
            <w:tcW w:w="980" w:type="dxa"/>
            <w:vAlign w:val="bottom"/>
            <w:vMerge w:val="restart"/>
          </w:tcPr>
          <w:p>
            <w:pPr>
              <w:jc w:val="right"/>
              <w:ind w:right="295"/>
              <w:spacing w:after="0"/>
              <w:rPr>
                <w:sz w:val="20"/>
                <w:szCs w:val="20"/>
                <w:color w:val="auto"/>
              </w:rPr>
            </w:pPr>
            <w:r>
              <w:rPr>
                <w:rFonts w:ascii="Arial" w:cs="Arial" w:eastAsia="Arial" w:hAnsi="Arial"/>
                <w:sz w:val="14"/>
                <w:szCs w:val="14"/>
                <w:color w:val="auto"/>
              </w:rPr>
              <w:t>Change</w:t>
            </w:r>
          </w:p>
        </w:tc>
        <w:tc>
          <w:tcPr>
            <w:tcW w:w="940" w:type="dxa"/>
            <w:vAlign w:val="bottom"/>
          </w:tcPr>
          <w:p>
            <w:pPr>
              <w:jc w:val="center"/>
              <w:ind w:right="97"/>
              <w:spacing w:after="0" w:line="137" w:lineRule="exact"/>
              <w:rPr>
                <w:sz w:val="20"/>
                <w:szCs w:val="20"/>
                <w:color w:val="auto"/>
              </w:rPr>
            </w:pPr>
            <w:r>
              <w:rPr>
                <w:rFonts w:ascii="Arial" w:cs="Arial" w:eastAsia="Arial" w:hAnsi="Arial"/>
                <w:sz w:val="14"/>
                <w:szCs w:val="14"/>
                <w:color w:val="auto"/>
                <w:w w:val="91"/>
              </w:rPr>
              <w:t>Currency</w:t>
            </w:r>
          </w:p>
        </w:tc>
        <w:tc>
          <w:tcPr>
            <w:tcW w:w="260" w:type="dxa"/>
            <w:vAlign w:val="bottom"/>
          </w:tcPr>
          <w:p>
            <w:pPr>
              <w:spacing w:after="0"/>
              <w:rPr>
                <w:sz w:val="11"/>
                <w:szCs w:val="11"/>
                <w:color w:val="auto"/>
              </w:rPr>
            </w:pPr>
          </w:p>
        </w:tc>
        <w:tc>
          <w:tcPr>
            <w:tcW w:w="1900" w:type="dxa"/>
            <w:vAlign w:val="bottom"/>
            <w:gridSpan w:val="3"/>
          </w:tcPr>
          <w:p>
            <w:pPr>
              <w:jc w:val="right"/>
              <w:ind w:right="514"/>
              <w:spacing w:after="0" w:line="137" w:lineRule="exact"/>
              <w:rPr>
                <w:sz w:val="20"/>
                <w:szCs w:val="20"/>
                <w:color w:val="auto"/>
              </w:rPr>
            </w:pPr>
            <w:r>
              <w:rPr>
                <w:rFonts w:ascii="Arial" w:cs="Arial" w:eastAsia="Arial" w:hAnsi="Arial"/>
                <w:sz w:val="14"/>
                <w:szCs w:val="14"/>
                <w:color w:val="auto"/>
              </w:rPr>
              <w:t>Six Months Ended</w:t>
            </w:r>
          </w:p>
        </w:tc>
        <w:tc>
          <w:tcPr>
            <w:tcW w:w="980" w:type="dxa"/>
            <w:vAlign w:val="bottom"/>
            <w:vMerge w:val="restart"/>
          </w:tcPr>
          <w:p>
            <w:pPr>
              <w:jc w:val="right"/>
              <w:ind w:right="295"/>
              <w:spacing w:after="0"/>
              <w:rPr>
                <w:sz w:val="20"/>
                <w:szCs w:val="20"/>
                <w:color w:val="auto"/>
              </w:rPr>
            </w:pPr>
            <w:r>
              <w:rPr>
                <w:rFonts w:ascii="Arial" w:cs="Arial" w:eastAsia="Arial" w:hAnsi="Arial"/>
                <w:sz w:val="14"/>
                <w:szCs w:val="14"/>
                <w:color w:val="auto"/>
              </w:rPr>
              <w:t>Change</w:t>
            </w:r>
          </w:p>
        </w:tc>
        <w:tc>
          <w:tcPr>
            <w:tcW w:w="880" w:type="dxa"/>
            <w:vAlign w:val="bottom"/>
          </w:tcPr>
          <w:p>
            <w:pPr>
              <w:jc w:val="center"/>
              <w:ind w:right="17"/>
              <w:spacing w:after="0" w:line="137" w:lineRule="exact"/>
              <w:rPr>
                <w:sz w:val="20"/>
                <w:szCs w:val="20"/>
                <w:color w:val="auto"/>
              </w:rPr>
            </w:pPr>
            <w:r>
              <w:rPr>
                <w:rFonts w:ascii="Arial" w:cs="Arial" w:eastAsia="Arial" w:hAnsi="Arial"/>
                <w:sz w:val="14"/>
                <w:szCs w:val="14"/>
                <w:color w:val="auto"/>
                <w:w w:val="87"/>
              </w:rPr>
              <w:t>Currency</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89"/>
              </w:rPr>
              <w:t>Change</w:t>
            </w:r>
            <w:r>
              <w:rPr>
                <w:rFonts w:ascii="Arial" w:cs="Arial" w:eastAsia="Arial" w:hAnsi="Arial"/>
                <w:sz w:val="9"/>
                <w:szCs w:val="9"/>
                <w:color w:val="auto"/>
                <w:w w:val="89"/>
              </w:rPr>
              <w:t>(a)</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9"/>
              </w:rPr>
              <w:t>Change</w:t>
            </w:r>
            <w:r>
              <w:rPr>
                <w:rFonts w:ascii="Arial" w:cs="Arial" w:eastAsia="Arial" w:hAnsi="Arial"/>
                <w:sz w:val="9"/>
                <w:szCs w:val="9"/>
                <w:color w:val="auto"/>
                <w:w w:val="89"/>
              </w:rPr>
              <w:t>(a)</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6"/>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20" w:type="dxa"/>
            <w:vAlign w:val="bottom"/>
          </w:tcPr>
          <w:p>
            <w:pPr>
              <w:ind w:left="240"/>
              <w:spacing w:after="0"/>
              <w:rPr>
                <w:sz w:val="20"/>
                <w:szCs w:val="20"/>
                <w:color w:val="auto"/>
              </w:rPr>
            </w:pPr>
            <w:r>
              <w:rPr>
                <w:rFonts w:ascii="Arial" w:cs="Arial" w:eastAsia="Arial" w:hAnsi="Arial"/>
                <w:sz w:val="17"/>
                <w:szCs w:val="17"/>
                <w:color w:val="auto"/>
              </w:rPr>
              <w:t>Domestic broadband</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6,377</w:t>
            </w:r>
          </w:p>
        </w:tc>
        <w:tc>
          <w:tcPr>
            <w:tcW w:w="3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94"/>
              <w:spacing w:after="0"/>
              <w:rPr>
                <w:sz w:val="20"/>
                <w:szCs w:val="20"/>
                <w:color w:val="auto"/>
              </w:rPr>
            </w:pPr>
            <w:r>
              <w:rPr>
                <w:rFonts w:ascii="Arial" w:cs="Arial" w:eastAsia="Arial" w:hAnsi="Arial"/>
                <w:sz w:val="17"/>
                <w:szCs w:val="17"/>
                <w:color w:val="auto"/>
              </w:rPr>
              <w:t>6,107</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4.4 %</w:t>
            </w:r>
          </w:p>
        </w:tc>
        <w:tc>
          <w:tcPr>
            <w:tcW w:w="940" w:type="dxa"/>
            <w:vAlign w:val="bottom"/>
          </w:tcPr>
          <w:p>
            <w:pPr>
              <w:jc w:val="right"/>
              <w:spacing w:after="0"/>
              <w:rPr>
                <w:sz w:val="20"/>
                <w:szCs w:val="20"/>
                <w:color w:val="auto"/>
              </w:rPr>
            </w:pPr>
            <w:r>
              <w:rPr>
                <w:rFonts w:ascii="Arial" w:cs="Arial" w:eastAsia="Arial" w:hAnsi="Arial"/>
                <w:sz w:val="17"/>
                <w:szCs w:val="17"/>
                <w:color w:val="auto"/>
              </w:rPr>
              <w:t>4.4 %</w:t>
            </w:r>
          </w:p>
        </w:tc>
        <w:tc>
          <w:tcPr>
            <w:tcW w:w="2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12,720</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94"/>
              <w:spacing w:after="0"/>
              <w:rPr>
                <w:sz w:val="20"/>
                <w:szCs w:val="20"/>
                <w:color w:val="auto"/>
              </w:rPr>
            </w:pPr>
            <w:r>
              <w:rPr>
                <w:rFonts w:ascii="Arial" w:cs="Arial" w:eastAsia="Arial" w:hAnsi="Arial"/>
                <w:sz w:val="17"/>
                <w:szCs w:val="17"/>
                <w:color w:val="auto"/>
              </w:rPr>
              <w:t>12,158</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4.6 %</w:t>
            </w:r>
          </w:p>
        </w:tc>
        <w:tc>
          <w:tcPr>
            <w:tcW w:w="880" w:type="dxa"/>
            <w:vAlign w:val="bottom"/>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Domestic wireless</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869</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722</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20.4</w:t>
            </w: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20.4</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1,727</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1,399</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23.5</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International connectivity</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1,002</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791</w:t>
            </w: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26.7</w:t>
            </w: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25.9</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1,900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1,631</w:t>
            </w: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16.5</w:t>
            </w: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residential connectivity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8,248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7,620</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8.2</w:t>
            </w: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8.2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16,346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15,187</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7.6</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9"/>
        </w:trPr>
        <w:tc>
          <w:tcPr>
            <w:tcW w:w="3220" w:type="dxa"/>
            <w:vAlign w:val="bottom"/>
          </w:tcPr>
          <w:p>
            <w:pPr>
              <w:ind w:left="120"/>
              <w:spacing w:after="0"/>
              <w:rPr>
                <w:sz w:val="20"/>
                <w:szCs w:val="20"/>
                <w:color w:val="auto"/>
              </w:rPr>
            </w:pPr>
            <w:r>
              <w:rPr>
                <w:rFonts w:ascii="Arial" w:cs="Arial" w:eastAsia="Arial" w:hAnsi="Arial"/>
                <w:sz w:val="17"/>
                <w:szCs w:val="17"/>
                <w:color w:val="auto"/>
              </w:rPr>
              <w:t>Video</w:t>
            </w:r>
          </w:p>
        </w:tc>
        <w:tc>
          <w:tcPr>
            <w:tcW w:w="20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7,358</w:t>
            </w:r>
          </w:p>
        </w:tc>
        <w:tc>
          <w:tcPr>
            <w:tcW w:w="320" w:type="dxa"/>
            <w:vAlign w:val="bottom"/>
          </w:tcPr>
          <w:p>
            <w:pPr>
              <w:spacing w:after="0"/>
              <w:rPr>
                <w:sz w:val="19"/>
                <w:szCs w:val="19"/>
                <w:color w:val="auto"/>
              </w:rPr>
            </w:pPr>
          </w:p>
        </w:tc>
        <w:tc>
          <w:tcPr>
            <w:tcW w:w="800" w:type="dxa"/>
            <w:vAlign w:val="bottom"/>
          </w:tcPr>
          <w:p>
            <w:pPr>
              <w:jc w:val="right"/>
              <w:ind w:right="94"/>
              <w:spacing w:after="0"/>
              <w:rPr>
                <w:sz w:val="20"/>
                <w:szCs w:val="20"/>
                <w:color w:val="auto"/>
              </w:rPr>
            </w:pPr>
            <w:r>
              <w:rPr>
                <w:rFonts w:ascii="Arial" w:cs="Arial" w:eastAsia="Arial" w:hAnsi="Arial"/>
                <w:sz w:val="17"/>
                <w:szCs w:val="17"/>
                <w:color w:val="auto"/>
              </w:rPr>
              <w:t>7,793</w:t>
            </w:r>
          </w:p>
        </w:tc>
        <w:tc>
          <w:tcPr>
            <w:tcW w:w="980" w:type="dxa"/>
            <w:vAlign w:val="bottom"/>
          </w:tcPr>
          <w:p>
            <w:pPr>
              <w:jc w:val="right"/>
              <w:ind w:right="215"/>
              <w:spacing w:after="0"/>
              <w:rPr>
                <w:sz w:val="20"/>
                <w:szCs w:val="20"/>
                <w:color w:val="auto"/>
              </w:rPr>
            </w:pPr>
            <w:r>
              <w:rPr>
                <w:rFonts w:ascii="Arial" w:cs="Arial" w:eastAsia="Arial" w:hAnsi="Arial"/>
                <w:sz w:val="17"/>
                <w:szCs w:val="17"/>
                <w:color w:val="auto"/>
              </w:rPr>
              <w:t>(5.6)</w:t>
            </w:r>
          </w:p>
        </w:tc>
        <w:tc>
          <w:tcPr>
            <w:tcW w:w="940" w:type="dxa"/>
            <w:vAlign w:val="bottom"/>
          </w:tcPr>
          <w:p>
            <w:pPr>
              <w:jc w:val="right"/>
              <w:ind w:right="177"/>
              <w:spacing w:after="0"/>
              <w:rPr>
                <w:sz w:val="20"/>
                <w:szCs w:val="20"/>
                <w:color w:val="auto"/>
              </w:rPr>
            </w:pPr>
            <w:r>
              <w:rPr>
                <w:rFonts w:ascii="Arial" w:cs="Arial" w:eastAsia="Arial" w:hAnsi="Arial"/>
                <w:sz w:val="17"/>
                <w:szCs w:val="17"/>
                <w:color w:val="auto"/>
              </w:rPr>
              <w:t>(5.8)</w:t>
            </w:r>
          </w:p>
        </w:tc>
        <w:tc>
          <w:tcPr>
            <w:tcW w:w="26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14,741</w:t>
            </w:r>
          </w:p>
        </w:tc>
        <w:tc>
          <w:tcPr>
            <w:tcW w:w="340" w:type="dxa"/>
            <w:vAlign w:val="bottom"/>
          </w:tcPr>
          <w:p>
            <w:pPr>
              <w:spacing w:after="0"/>
              <w:rPr>
                <w:sz w:val="19"/>
                <w:szCs w:val="19"/>
                <w:color w:val="auto"/>
              </w:rPr>
            </w:pPr>
          </w:p>
        </w:tc>
        <w:tc>
          <w:tcPr>
            <w:tcW w:w="800" w:type="dxa"/>
            <w:vAlign w:val="bottom"/>
          </w:tcPr>
          <w:p>
            <w:pPr>
              <w:jc w:val="right"/>
              <w:ind w:right="94"/>
              <w:spacing w:after="0"/>
              <w:rPr>
                <w:sz w:val="20"/>
                <w:szCs w:val="20"/>
                <w:color w:val="auto"/>
              </w:rPr>
            </w:pPr>
            <w:r>
              <w:rPr>
                <w:rFonts w:ascii="Arial" w:cs="Arial" w:eastAsia="Arial" w:hAnsi="Arial"/>
                <w:sz w:val="17"/>
                <w:szCs w:val="17"/>
                <w:color w:val="auto"/>
              </w:rPr>
              <w:t>15,795</w:t>
            </w:r>
          </w:p>
        </w:tc>
        <w:tc>
          <w:tcPr>
            <w:tcW w:w="980" w:type="dxa"/>
            <w:vAlign w:val="bottom"/>
          </w:tcPr>
          <w:p>
            <w:pPr>
              <w:jc w:val="right"/>
              <w:ind w:right="215"/>
              <w:spacing w:after="0"/>
              <w:rPr>
                <w:sz w:val="20"/>
                <w:szCs w:val="20"/>
                <w:color w:val="auto"/>
              </w:rPr>
            </w:pPr>
            <w:r>
              <w:rPr>
                <w:rFonts w:ascii="Arial" w:cs="Arial" w:eastAsia="Arial" w:hAnsi="Arial"/>
                <w:sz w:val="17"/>
                <w:szCs w:val="17"/>
                <w:color w:val="auto"/>
              </w:rPr>
              <w:t>(6.7)</w:t>
            </w: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Advertising</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993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1,112</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(10.7)</w:t>
            </w: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1,900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2,185</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(13.0)</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1,469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1,607</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(8.6)</w:t>
            </w: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(8.8)</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2,950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3,305</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(10.7)</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18,068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18,131</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(0.4)</w:t>
            </w: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(0.5)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35,937</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36,472</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(1.5)</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(0.6)</w:t>
            </w:r>
          </w:p>
        </w:tc>
        <w:tc>
          <w:tcPr>
            <w:tcW w:w="0" w:type="dxa"/>
            <w:vAlign w:val="bottom"/>
          </w:tcPr>
          <w:p>
            <w:pPr>
              <w:spacing w:after="0"/>
              <w:rPr>
                <w:sz w:val="1"/>
                <w:szCs w:val="1"/>
                <w:color w:val="auto"/>
              </w:rPr>
            </w:pPr>
          </w:p>
        </w:tc>
      </w:tr>
      <w:tr>
        <w:trPr>
          <w:trHeight w:val="222"/>
        </w:trPr>
        <w:tc>
          <w:tcPr>
            <w:tcW w:w="322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Programming</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4,579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4,679</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(2.1)</w:t>
            </w: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9,178</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9,563</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(4.0)</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6,465</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6,720</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(3.8)</w:t>
            </w: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(4.0)</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12,973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13,565</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(4.4)</w:t>
            </w: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11,044</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11,399</w:t>
            </w:r>
          </w:p>
        </w:tc>
        <w:tc>
          <w:tcPr>
            <w:tcW w:w="9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(3.1)</w:t>
            </w:r>
          </w:p>
        </w:tc>
        <w:tc>
          <w:tcPr>
            <w:tcW w:w="9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(3.3)</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22,152</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23,128</w:t>
            </w:r>
          </w:p>
        </w:tc>
        <w:tc>
          <w:tcPr>
            <w:tcW w:w="9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(4.2)</w:t>
            </w: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7,024</w:t>
            </w:r>
          </w:p>
        </w:tc>
        <w:tc>
          <w:tcPr>
            <w:tcW w:w="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6,733</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4.3 %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4.3 %</w:t>
            </w:r>
          </w:p>
        </w:tc>
        <w:tc>
          <w:tcPr>
            <w:tcW w:w="2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13,785</w:t>
            </w:r>
          </w:p>
        </w:tc>
        <w:tc>
          <w:tcPr>
            <w:tcW w:w="3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13,344</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3.3 %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3.7 %</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40" w:hanging="235"/>
        <w:spacing w:after="0" w:line="279" w:lineRule="auto"/>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27 for additional information, including our definition and our use of constant currency, and for a reconciliation of constant currency amounts.</w:t>
      </w: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144145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Connectivity &amp; Platforms Segment – Revenue</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Domestic broadband revenue </w:t>
      </w:r>
      <w:r>
        <w:rPr>
          <w:rFonts w:ascii="Arial" w:cs="Arial" w:eastAsia="Arial" w:hAnsi="Arial"/>
          <w:sz w:val="17"/>
          <w:szCs w:val="17"/>
          <w:color w:val="auto"/>
        </w:rPr>
        <w:t>consists of revenue from sales of broadband services to residential customers in the United States, including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installation services. Domestic broadband revenue also includes revenue related to our customers’ use of Flex streaming devices and commission revenue related to sales of third-party direct-to-consumer (“DTC”) streaming services.</w:t>
      </w:r>
    </w:p>
    <w:p>
      <w:pPr>
        <w:spacing w:after="0" w:line="1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Domestic broadband revenue increased for the three and six months ended June 30, 2023 compared to the same periods in 2022 primarily due to increases in average rates.</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Domestic wireless revenue </w:t>
      </w:r>
      <w:r>
        <w:rPr>
          <w:rFonts w:ascii="Arial" w:cs="Arial" w:eastAsia="Arial" w:hAnsi="Arial"/>
          <w:sz w:val="17"/>
          <w:szCs w:val="17"/>
          <w:color w:val="auto"/>
        </w:rPr>
        <w:t>consists of revenue from sales of wireless services and devices, including handsets, tablets and smart watches, to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in the United States.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Domestic wireless revenue increased for the three and six months ended June 30, 2023 compared to the same periods in 2022 primarily due to increases in the number of customer lines.</w:t>
      </w:r>
    </w:p>
    <w:p>
      <w:pPr>
        <w:spacing w:after="0" w:line="4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International connectivity revenue </w:t>
      </w:r>
      <w:r>
        <w:rPr>
          <w:rFonts w:ascii="Arial" w:cs="Arial" w:eastAsia="Arial" w:hAnsi="Arial"/>
          <w:sz w:val="17"/>
          <w:szCs w:val="17"/>
          <w:color w:val="auto"/>
        </w:rPr>
        <w:t>consists of revenue from sales of broadband services, including equipment and installation services, wireless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wireless devices to residential customers in the Connectivity &amp; Platforms markets in Europe, as well as commission revenue related to sales of third-party DTC streaming services.</w:t>
      </w:r>
    </w:p>
    <w:p>
      <w:pPr>
        <w:spacing w:after="0" w:line="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International connectivity revenue increased for the three and six months ended June 30, 2023 compared to the same periods in 2022 due to increases in wireless revenue, resulting from increases in sales of wireless devices and wireless services, and in broadband revenue. Wireless and broadband revenues were negatively impacted by foreign currency in the six months ended June 30, 2023.</w:t>
      </w:r>
    </w:p>
    <w:p>
      <w:pPr>
        <w:spacing w:after="0" w:line="6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Video revenue </w:t>
      </w:r>
      <w:r>
        <w:rPr>
          <w:rFonts w:ascii="Arial" w:cs="Arial" w:eastAsia="Arial" w:hAnsi="Arial"/>
          <w:sz w:val="17"/>
          <w:szCs w:val="17"/>
          <w:color w:val="auto"/>
        </w:rPr>
        <w:t>consists of revenue from sales of video services to residential and business customers across the Connectivity &amp; Platforms markets,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and installation services. Video revenue includes pay-per-view and other transactional revenue and franchise fees, as well as revenue from sales of certain hardware, including Sky Glass smart televisions.</w:t>
      </w:r>
    </w:p>
    <w:p>
      <w:pPr>
        <w:spacing w:after="0" w:line="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Video revenue decreased for the three and six months ended June 30, 2023 compared to the same periods in 2022 due to declines in the number of video customers, partially offset by increases in average rates. The decrease for the six months ended June 30, 2023 also includes the negative impact of foreign currency.</w:t>
      </w:r>
    </w:p>
    <w:p>
      <w:pPr>
        <w:spacing w:after="0" w:line="6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 xml:space="preserve">Advertising revenue </w:t>
      </w:r>
      <w:r>
        <w:rPr>
          <w:rFonts w:ascii="Arial" w:cs="Arial" w:eastAsia="Arial" w:hAnsi="Arial"/>
          <w:sz w:val="16"/>
          <w:szCs w:val="16"/>
          <w:color w:val="auto"/>
        </w:rPr>
        <w:t>includes revenue from the sale of advertising across our platforms in the Connectivity &amp; Platforms markets, including advertising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our distribution agreements with linear television networks in the United States, and advertising on Sky-branded entertainment television channels and digital properties. Advertising also includes revenue where we represent the sales efforts of third parties and from our advanced advertising businesses.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Advertising revenue decreased for the three and six months ended June 30, 2023 compared to the same periods in 2022 primarily due to declines in domestic political advertising and overall market weakness in the current year periods.</w:t>
      </w:r>
    </w:p>
    <w:p>
      <w:pPr>
        <w:spacing w:after="0" w:line="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 xml:space="preserve">Other revenue </w:t>
      </w:r>
      <w:r>
        <w:rPr>
          <w:rFonts w:ascii="Arial" w:cs="Arial" w:eastAsia="Arial" w:hAnsi="Arial"/>
          <w:sz w:val="16"/>
          <w:szCs w:val="16"/>
          <w:color w:val="auto"/>
        </w:rPr>
        <w:t>includes revenue in the Connectivity &amp; Platforms markets from sales of wireline voice services to residential customers; our residential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and automation services businesses; the licensing of our technology platforms to other multichannel video providers; the distribution of our Sky-branded entertainment television channels on third-party platforms; commissions from electronic retailing networks; and certain billing and collection fees.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Other revenue decreased for the three and six months ended June 30, 2023 compared to the same periods in 2022 primarily due to decreases in voice revenue driven by declines in the number of residential wireline voice customers.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Connectivity &amp; Platforms Segment – Costs and Expenses</w:t>
      </w:r>
    </w:p>
    <w:p>
      <w:pPr>
        <w:spacing w:after="0" w:line="1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Programming expenses </w:t>
      </w:r>
      <w:r>
        <w:rPr>
          <w:rFonts w:ascii="Arial" w:cs="Arial" w:eastAsia="Arial" w:hAnsi="Arial"/>
          <w:sz w:val="17"/>
          <w:szCs w:val="17"/>
          <w:color w:val="auto"/>
        </w:rPr>
        <w:t>decreased for the three and six months ended June 30, 2023 compared to the same periods in 2022 primarily due to declines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domestic video subscribers, partially offset by domestic contractual rate increases and increases in programming expenses for international sports channels. The decrease for the six months ended June 30, 2023 also includes the impact of foreign currency.</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Other expenses </w:t>
      </w:r>
      <w:r>
        <w:rPr>
          <w:rFonts w:ascii="Arial" w:cs="Arial" w:eastAsia="Arial" w:hAnsi="Arial"/>
          <w:sz w:val="17"/>
          <w:szCs w:val="17"/>
          <w:color w:val="auto"/>
        </w:rPr>
        <w:t>decreased for the three and six months ended June 30, 2023 compared to the same periods in 2022 primarily due to decreased spending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and promotion, lower technical and support costs, a decrease in fees paid to third-party channels relating to advertising sales, and lower customer service expenses. These decreases were partially offset by increased direct product costs associated with our wireless service resulting from increases in device sales and the number of customers receiving our wireless service. The decrease for the six months ended June 30, 2023 also includes the impact of foreign currency.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Services Connectivity Segment Results of Operations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3"/>
          </w:tcPr>
          <w:p>
            <w:pPr>
              <w:jc w:val="right"/>
              <w:ind w:right="737"/>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3"/>
          </w:tcPr>
          <w:p>
            <w:pPr>
              <w:ind w:left="400"/>
              <w:spacing w:after="0"/>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53"/>
              <w:spacing w:after="0"/>
              <w:rPr>
                <w:sz w:val="20"/>
                <w:szCs w:val="20"/>
                <w:color w:val="auto"/>
              </w:rPr>
            </w:pPr>
            <w:r>
              <w:rPr>
                <w:rFonts w:ascii="Arial" w:cs="Arial" w:eastAsia="Arial" w:hAnsi="Arial"/>
                <w:sz w:val="14"/>
                <w:szCs w:val="14"/>
                <w:color w:val="auto"/>
              </w:rPr>
              <w:t>June 30,</w:t>
            </w:r>
          </w:p>
        </w:tc>
        <w:tc>
          <w:tcPr>
            <w:tcW w:w="10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ind w:left="700"/>
              <w:spacing w:after="0"/>
              <w:rPr>
                <w:sz w:val="20"/>
                <w:szCs w:val="20"/>
                <w:color w:val="auto"/>
              </w:rPr>
            </w:pPr>
            <w:r>
              <w:rPr>
                <w:rFonts w:ascii="Arial" w:cs="Arial" w:eastAsia="Arial" w:hAnsi="Arial"/>
                <w:sz w:val="14"/>
                <w:szCs w:val="14"/>
                <w:color w:val="auto"/>
              </w:rPr>
              <w:t>June 30,</w:t>
            </w:r>
          </w:p>
        </w:tc>
        <w:tc>
          <w:tcPr>
            <w:tcW w:w="10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5"/>
              </w:rPr>
              <w:t>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7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2,292</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2,203</w:t>
            </w:r>
          </w:p>
        </w:tc>
        <w:tc>
          <w:tcPr>
            <w:tcW w:w="9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4,575</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4,375</w:t>
            </w:r>
          </w:p>
        </w:tc>
        <w:tc>
          <w:tcPr>
            <w:tcW w:w="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970</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941</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3.1</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1,921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1,879</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2.3</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b w:val="1"/>
                <w:bCs w:val="1"/>
                <w:color w:val="auto"/>
              </w:rPr>
              <w:t>1,322</w:t>
            </w:r>
          </w:p>
        </w:tc>
        <w:tc>
          <w:tcPr>
            <w:tcW w:w="4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1,263</w:t>
            </w:r>
          </w:p>
        </w:tc>
        <w:tc>
          <w:tcPr>
            <w:tcW w:w="116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7"/>
                <w:szCs w:val="17"/>
                <w:b w:val="1"/>
                <w:bCs w:val="1"/>
                <w:color w:val="auto"/>
              </w:rPr>
              <w:t>4.7 %</w:t>
            </w:r>
          </w:p>
        </w:tc>
        <w:tc>
          <w:tcPr>
            <w:tcW w:w="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b w:val="1"/>
                <w:bCs w:val="1"/>
                <w:color w:val="auto"/>
              </w:rPr>
              <w:t>2,654</w:t>
            </w:r>
          </w:p>
        </w:tc>
        <w:tc>
          <w:tcPr>
            <w:tcW w:w="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b w:val="1"/>
                <w:bCs w:val="1"/>
                <w:color w:val="auto"/>
              </w:rPr>
              <w:t>2,496</w:t>
            </w:r>
          </w:p>
        </w:tc>
        <w:tc>
          <w:tcPr>
            <w:tcW w:w="110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rPr>
              <w:t>6.3 %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Business services connectivity revenue </w:t>
      </w:r>
      <w:r>
        <w:rPr>
          <w:rFonts w:ascii="Arial" w:cs="Arial" w:eastAsia="Arial" w:hAnsi="Arial"/>
          <w:sz w:val="17"/>
          <w:szCs w:val="17"/>
          <w:color w:val="auto"/>
        </w:rPr>
        <w:t>primarily consists of revenue from our connectivity service offerings for small business locations, which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broadband, voice and wireless services, as well as our solutions for medium-sized customers and larger enterprises.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Business services connectivity revenue increased for the three and six months ended June 30, 2023 compared to the same periods in 2022 primarily due to increases in revenue from small business customers driven by increases in average rates, and due to increases in revenue from medium-sized and enterprise customers.</w:t>
      </w:r>
    </w:p>
    <w:p>
      <w:pPr>
        <w:spacing w:after="0" w:line="6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Business services connectivity costs and expenses </w:t>
      </w:r>
      <w:r>
        <w:rPr>
          <w:rFonts w:ascii="Arial" w:cs="Arial" w:eastAsia="Arial" w:hAnsi="Arial"/>
          <w:sz w:val="17"/>
          <w:szCs w:val="17"/>
          <w:color w:val="auto"/>
        </w:rPr>
        <w:t>increased for the three months ended June 30, 2023 compared to the same period in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increases in marketing and promotion expenses and in direct product costs.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Business services connectivity costs and expenses increased for the six months ended June 30, 2023 compared to the same period in 2022 primarily due to increases in direct product costs and in marketing and promotion expenses.</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Content &amp; Experiences Results of Operations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774"/>
              <w:spacing w:after="0"/>
              <w:rPr>
                <w:sz w:val="20"/>
                <w:szCs w:val="20"/>
                <w:color w:val="auto"/>
              </w:rPr>
            </w:pPr>
            <w:r>
              <w:rPr>
                <w:rFonts w:ascii="Arial" w:cs="Arial" w:eastAsia="Arial" w:hAnsi="Arial"/>
                <w:sz w:val="14"/>
                <w:szCs w:val="14"/>
                <w:color w:val="auto"/>
              </w:rPr>
              <w:t>Three Months Ended</w:t>
            </w:r>
          </w:p>
        </w:tc>
        <w:tc>
          <w:tcPr>
            <w:tcW w:w="1200" w:type="dxa"/>
            <w:vAlign w:val="bottom"/>
            <w:vMerge w:val="restart"/>
          </w:tcPr>
          <w:p>
            <w:pPr>
              <w:jc w:val="right"/>
              <w:ind w:right="435"/>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2380" w:type="dxa"/>
            <w:vAlign w:val="bottom"/>
            <w:gridSpan w:val="3"/>
          </w:tcPr>
          <w:p>
            <w:pPr>
              <w:jc w:val="right"/>
              <w:ind w:right="834"/>
              <w:spacing w:after="0"/>
              <w:rPr>
                <w:sz w:val="20"/>
                <w:szCs w:val="20"/>
                <w:color w:val="auto"/>
              </w:rPr>
            </w:pPr>
            <w:r>
              <w:rPr>
                <w:rFonts w:ascii="Arial" w:cs="Arial" w:eastAsia="Arial" w:hAnsi="Arial"/>
                <w:sz w:val="14"/>
                <w:szCs w:val="14"/>
                <w:color w:val="auto"/>
              </w:rPr>
              <w:t>Six Months Ended</w:t>
            </w:r>
          </w:p>
        </w:tc>
        <w:tc>
          <w:tcPr>
            <w:tcW w:w="1160" w:type="dxa"/>
            <w:vAlign w:val="bottom"/>
            <w:vMerge w:val="restart"/>
          </w:tcPr>
          <w:p>
            <w:pPr>
              <w:jc w:val="right"/>
              <w:ind w:right="395"/>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2022</w:t>
            </w: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Media</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6,195</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6,188</w:t>
            </w:r>
          </w:p>
        </w:tc>
        <w:tc>
          <w:tcPr>
            <w:tcW w:w="1200" w:type="dxa"/>
            <w:vAlign w:val="bottom"/>
          </w:tcPr>
          <w:p>
            <w:pPr>
              <w:jc w:val="right"/>
              <w:spacing w:after="0"/>
              <w:rPr>
                <w:sz w:val="20"/>
                <w:szCs w:val="20"/>
                <w:color w:val="auto"/>
              </w:rPr>
            </w:pPr>
            <w:r>
              <w:rPr>
                <w:rFonts w:ascii="Arial" w:cs="Arial" w:eastAsia="Arial" w:hAnsi="Arial"/>
                <w:sz w:val="17"/>
                <w:szCs w:val="17"/>
                <w:color w:val="auto"/>
              </w:rPr>
              <w:t>0.1 %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12,347</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94"/>
              <w:spacing w:after="0"/>
              <w:rPr>
                <w:sz w:val="20"/>
                <w:szCs w:val="20"/>
                <w:color w:val="auto"/>
              </w:rPr>
            </w:pPr>
            <w:r>
              <w:rPr>
                <w:rFonts w:ascii="Arial" w:cs="Arial" w:eastAsia="Arial" w:hAnsi="Arial"/>
                <w:sz w:val="17"/>
                <w:szCs w:val="17"/>
                <w:color w:val="auto"/>
              </w:rPr>
              <w:t>13,946</w:t>
            </w:r>
          </w:p>
        </w:tc>
        <w:tc>
          <w:tcPr>
            <w:tcW w:w="1160" w:type="dxa"/>
            <w:vAlign w:val="bottom"/>
          </w:tcPr>
          <w:p>
            <w:pPr>
              <w:jc w:val="right"/>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236"/>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Studios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3,117</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(0.9)</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6,023</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Theme Parks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2,209</w:t>
            </w:r>
          </w:p>
        </w:tc>
        <w:tc>
          <w:tcPr>
            <w:tcW w:w="34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1,804</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22.4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4,158</w:t>
            </w:r>
          </w:p>
        </w:tc>
        <w:tc>
          <w:tcPr>
            <w:tcW w:w="36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Arial" w:cs="Arial" w:eastAsia="Arial" w:hAnsi="Arial"/>
                <w:sz w:val="17"/>
                <w:szCs w:val="17"/>
                <w:color w:val="auto"/>
              </w:rPr>
              <w:t>3,364</w:t>
            </w: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Headquarters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8</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60.5</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24</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(664)</w:t>
            </w: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5.0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(1,448)</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(1,566)</w:t>
            </w: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8"/>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Content &amp; Experiences revenue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10,873</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10,453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4.0 %</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21,131</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21,792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Media</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1,520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 %</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2,701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 %</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7"/>
                <w:szCs w:val="17"/>
                <w:color w:val="auto"/>
              </w:rPr>
              <w:t>Studios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255</w:t>
            </w:r>
          </w:p>
        </w:tc>
        <w:tc>
          <w:tcPr>
            <w:tcW w:w="34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NM</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532</w:t>
            </w:r>
          </w:p>
        </w:tc>
        <w:tc>
          <w:tcPr>
            <w:tcW w:w="36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Arial" w:cs="Arial" w:eastAsia="Arial" w:hAnsi="Arial"/>
                <w:sz w:val="17"/>
                <w:szCs w:val="17"/>
                <w:color w:val="auto"/>
              </w:rPr>
              <w:t>242</w:t>
            </w:r>
          </w:p>
        </w:tc>
        <w:tc>
          <w:tcPr>
            <w:tcW w:w="1160" w:type="dxa"/>
            <w:vAlign w:val="bottom"/>
          </w:tcPr>
          <w:p>
            <w:pPr>
              <w:jc w:val="right"/>
              <w:ind w:right="155"/>
              <w:spacing w:after="0"/>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Theme Parks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632</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31.8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1,082</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7"/>
                <w:szCs w:val="17"/>
                <w:color w:val="auto"/>
              </w:rPr>
              <w:t>Headquarters and 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(200)</w:t>
            </w:r>
          </w:p>
        </w:tc>
        <w:tc>
          <w:tcPr>
            <w:tcW w:w="340" w:type="dxa"/>
            <w:vAlign w:val="bottom"/>
          </w:tcPr>
          <w:p>
            <w:pPr>
              <w:spacing w:after="0"/>
              <w:rPr>
                <w:sz w:val="19"/>
                <w:szCs w:val="19"/>
                <w:color w:val="auto"/>
              </w:rPr>
            </w:pPr>
          </w:p>
        </w:tc>
        <w:tc>
          <w:tcPr>
            <w:tcW w:w="1100" w:type="dxa"/>
            <w:vAlign w:val="bottom"/>
          </w:tcPr>
          <w:p>
            <w:pPr>
              <w:jc w:val="right"/>
              <w:ind w:right="154"/>
              <w:spacing w:after="0"/>
              <w:rPr>
                <w:sz w:val="20"/>
                <w:szCs w:val="20"/>
                <w:color w:val="auto"/>
              </w:rPr>
            </w:pPr>
            <w:r>
              <w:rPr>
                <w:rFonts w:ascii="Arial" w:cs="Arial" w:eastAsia="Arial" w:hAnsi="Arial"/>
                <w:sz w:val="17"/>
                <w:szCs w:val="17"/>
                <w:color w:val="auto"/>
              </w:rPr>
              <w:t>(137)</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(45.6)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(432)</w:t>
            </w:r>
          </w:p>
        </w:tc>
        <w:tc>
          <w:tcPr>
            <w:tcW w:w="36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Arial" w:cs="Arial" w:eastAsia="Arial" w:hAnsi="Arial"/>
                <w:sz w:val="17"/>
                <w:szCs w:val="17"/>
                <w:color w:val="auto"/>
              </w:rPr>
              <w:t>(329)</w:t>
            </w:r>
          </w:p>
        </w:tc>
        <w:tc>
          <w:tcPr>
            <w:tcW w:w="1160" w:type="dxa"/>
            <w:vAlign w:val="bottom"/>
          </w:tcPr>
          <w:p>
            <w:pPr>
              <w:jc w:val="right"/>
              <w:ind w:right="115"/>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23</w:t>
            </w:r>
          </w:p>
        </w:tc>
        <w:tc>
          <w:tcPr>
            <w:tcW w:w="12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141.8</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(39)</w:t>
            </w: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63"/>
        </w:trPr>
        <w:tc>
          <w:tcPr>
            <w:tcW w:w="3440" w:type="dxa"/>
            <w:vAlign w:val="bottom"/>
          </w:tcPr>
          <w:p>
            <w:pPr>
              <w:spacing w:after="0" w:line="163" w:lineRule="exact"/>
              <w:rPr>
                <w:sz w:val="20"/>
                <w:szCs w:val="20"/>
                <w:color w:val="auto"/>
              </w:rPr>
            </w:pPr>
            <w:r>
              <w:rPr>
                <w:rFonts w:ascii="Arial" w:cs="Arial" w:eastAsia="Arial" w:hAnsi="Arial"/>
                <w:sz w:val="17"/>
                <w:szCs w:val="17"/>
                <w:b w:val="1"/>
                <w:bCs w:val="1"/>
                <w:color w:val="auto"/>
              </w:rPr>
              <w:t>Total Content &amp; Experiences Adjusted</w:t>
            </w: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2,187</w:t>
            </w:r>
          </w:p>
        </w:tc>
        <w:tc>
          <w:tcPr>
            <w:tcW w:w="34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2,034</w:t>
            </w:r>
          </w:p>
        </w:tc>
        <w:tc>
          <w:tcPr>
            <w:tcW w:w="1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7.5 %</w:t>
            </w:r>
          </w:p>
        </w:tc>
        <w:tc>
          <w:tcPr>
            <w:tcW w:w="34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3,795</w:t>
            </w:r>
          </w:p>
        </w:tc>
        <w:tc>
          <w:tcPr>
            <w:tcW w:w="360" w:type="dxa"/>
            <w:vAlign w:val="bottom"/>
            <w:vMerge w:val="restart"/>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08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rPr>
              <w:t>3,658</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3.7 %</w:t>
            </w:r>
          </w:p>
        </w:tc>
        <w:tc>
          <w:tcPr>
            <w:tcW w:w="0" w:type="dxa"/>
            <w:vAlign w:val="bottom"/>
          </w:tcPr>
          <w:p>
            <w:pPr>
              <w:spacing w:after="0"/>
              <w:rPr>
                <w:sz w:val="1"/>
                <w:szCs w:val="1"/>
                <w:color w:val="auto"/>
              </w:rPr>
            </w:pPr>
          </w:p>
        </w:tc>
      </w:tr>
      <w:tr>
        <w:trPr>
          <w:trHeight w:val="242"/>
        </w:trPr>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EBITDA</w:t>
            </w:r>
          </w:p>
        </w:tc>
        <w:tc>
          <w:tcPr>
            <w:tcW w:w="28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operate our Media segment as a combined television and streaming business. We expect that the number of subscribers and audience ratings at our linear networks will continue to decline as a result of the competitive environment and shifting video consumption patterns, which we aim to mitigate over time by continued growth in paid subscribers and advertising revenue at Peacock. We expect to continue to incur significant costs related to additional content and marketing at Peacock, with such costs increasing in 2023. Revenue and programming expenses are also impacted by the timing of certain sporting events, including the Olympics, Super Bowl and FIFA World Cup in 2022. Global economic conditions and consumer sentiment have in the past, and may continue to, adversely impact demand for our products and services and our results of operations. In addition, currency exchange rate fluctuations between the U.S. dollar and the British pound and euro impacted revenue and programming and production costs at our international networks during the six months ended June 30, 2023 as compared to the prior year period.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continue to invest significantly in existing and new theme park attractions, hotels and infrastructure, including Epic Universe in Orlando, which we believe will have a positive impact on attendance and guest spending at our theme parks. Our results in prior periods were impacted by temporary restrictions and closures at our international theme parks due to COVID-19. In addition, currency exchange rates have impacted our international theme park results as a result of the strength of the U.S. dollar, particularly against the Japanese yen and Chinese yuan.</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Media Segment Results of Operations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3"/>
          </w:tcPr>
          <w:p>
            <w:pPr>
              <w:jc w:val="right"/>
              <w:ind w:right="734"/>
              <w:spacing w:after="0"/>
              <w:rPr>
                <w:sz w:val="20"/>
                <w:szCs w:val="20"/>
                <w:color w:val="auto"/>
              </w:rPr>
            </w:pPr>
            <w:r>
              <w:rPr>
                <w:rFonts w:ascii="Arial" w:cs="Arial" w:eastAsia="Arial" w:hAnsi="Arial"/>
                <w:sz w:val="14"/>
                <w:szCs w:val="14"/>
                <w:color w:val="auto"/>
              </w:rPr>
              <w:t>Three Months Ended</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3"/>
          </w:tcPr>
          <w:p>
            <w:pPr>
              <w:jc w:val="right"/>
              <w:ind w:right="814"/>
              <w:spacing w:after="0"/>
              <w:rPr>
                <w:sz w:val="20"/>
                <w:szCs w:val="20"/>
                <w:color w:val="auto"/>
              </w:rPr>
            </w:pPr>
            <w:r>
              <w:rPr>
                <w:rFonts w:ascii="Arial" w:cs="Arial" w:eastAsia="Arial" w:hAnsi="Arial"/>
                <w:sz w:val="14"/>
                <w:szCs w:val="14"/>
                <w:color w:val="auto"/>
              </w:rPr>
              <w:t>Six Months Ended</w:t>
            </w:r>
          </w:p>
        </w:tc>
        <w:tc>
          <w:tcPr>
            <w:tcW w:w="1180" w:type="dxa"/>
            <w:vAlign w:val="bottom"/>
          </w:tcPr>
          <w:p>
            <w:pPr>
              <w:spacing w:after="0"/>
              <w:rPr>
                <w:sz w:val="14"/>
                <w:szCs w:val="14"/>
                <w:color w:val="auto"/>
              </w:rPr>
            </w:pPr>
          </w:p>
        </w:tc>
      </w:tr>
      <w:tr>
        <w:trPr>
          <w:trHeight w:val="182"/>
        </w:trPr>
        <w:tc>
          <w:tcPr>
            <w:tcW w:w="3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Change</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Change</w:t>
            </w:r>
          </w:p>
        </w:tc>
      </w:tr>
      <w:tr>
        <w:trPr>
          <w:trHeight w:val="18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2022</w:t>
            </w:r>
          </w:p>
        </w:tc>
        <w:tc>
          <w:tcPr>
            <w:tcW w:w="12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2022</w:t>
            </w: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w:t>
            </w:r>
          </w:p>
        </w:tc>
      </w:tr>
      <w:tr>
        <w:trPr>
          <w:trHeight w:val="222"/>
        </w:trPr>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3460" w:type="dxa"/>
            <w:vAlign w:val="bottom"/>
          </w:tcPr>
          <w:p>
            <w:pPr>
              <w:ind w:left="120"/>
              <w:spacing w:after="0"/>
              <w:rPr>
                <w:sz w:val="20"/>
                <w:szCs w:val="20"/>
                <w:color w:val="auto"/>
              </w:rPr>
            </w:pPr>
            <w:r>
              <w:rPr>
                <w:rFonts w:ascii="Arial" w:cs="Arial" w:eastAsia="Arial" w:hAnsi="Arial"/>
                <w:sz w:val="17"/>
                <w:szCs w:val="17"/>
                <w:color w:val="auto"/>
              </w:rPr>
              <w:t>Domestic advertising</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2,027</w:t>
            </w:r>
          </w:p>
        </w:tc>
        <w:tc>
          <w:tcPr>
            <w:tcW w:w="3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4"/>
              <w:spacing w:after="0"/>
              <w:rPr>
                <w:sz w:val="20"/>
                <w:szCs w:val="20"/>
                <w:color w:val="auto"/>
              </w:rPr>
            </w:pPr>
            <w:r>
              <w:rPr>
                <w:rFonts w:ascii="Arial" w:cs="Arial" w:eastAsia="Arial" w:hAnsi="Arial"/>
                <w:sz w:val="17"/>
                <w:szCs w:val="17"/>
                <w:color w:val="auto"/>
              </w:rPr>
              <w:t>2,131</w:t>
            </w:r>
          </w:p>
        </w:tc>
        <w:tc>
          <w:tcPr>
            <w:tcW w:w="1240" w:type="dxa"/>
            <w:vAlign w:val="bottom"/>
          </w:tcPr>
          <w:p>
            <w:pPr>
              <w:jc w:val="right"/>
              <w:spacing w:after="0"/>
              <w:rPr>
                <w:sz w:val="20"/>
                <w:szCs w:val="20"/>
                <w:color w:val="auto"/>
              </w:rPr>
            </w:pPr>
            <w:r>
              <w:rPr>
                <w:rFonts w:ascii="Arial" w:cs="Arial" w:eastAsia="Arial" w:hAnsi="Arial"/>
                <w:sz w:val="17"/>
                <w:szCs w:val="17"/>
                <w:color w:val="auto"/>
              </w:rPr>
              <w:t>(4.9) %</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4,051</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4"/>
              <w:spacing w:after="0"/>
              <w:rPr>
                <w:sz w:val="20"/>
                <w:szCs w:val="20"/>
                <w:color w:val="auto"/>
              </w:rPr>
            </w:pPr>
            <w:r>
              <w:rPr>
                <w:rFonts w:ascii="Arial" w:cs="Arial" w:eastAsia="Arial" w:hAnsi="Arial"/>
                <w:sz w:val="17"/>
                <w:szCs w:val="17"/>
                <w:color w:val="auto"/>
              </w:rPr>
              <w:t>5,441</w:t>
            </w:r>
          </w:p>
        </w:tc>
        <w:tc>
          <w:tcPr>
            <w:tcW w:w="1180" w:type="dxa"/>
            <w:vAlign w:val="bottom"/>
          </w:tcPr>
          <w:p>
            <w:pPr>
              <w:jc w:val="right"/>
              <w:spacing w:after="0"/>
              <w:rPr>
                <w:sz w:val="20"/>
                <w:szCs w:val="20"/>
                <w:color w:val="auto"/>
              </w:rPr>
            </w:pPr>
            <w:r>
              <w:rPr>
                <w:rFonts w:ascii="Arial" w:cs="Arial" w:eastAsia="Arial" w:hAnsi="Arial"/>
                <w:sz w:val="17"/>
                <w:szCs w:val="17"/>
                <w:color w:val="auto"/>
              </w:rPr>
              <w:t>(25.5) %</w:t>
            </w:r>
          </w:p>
        </w:tc>
      </w:tr>
      <w:tr>
        <w:trPr>
          <w:trHeight w:val="229"/>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Domestic distribution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2,558</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2.2</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5,496</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w:t>
            </w:r>
          </w:p>
        </w:tc>
      </w:tr>
      <w:tr>
        <w:trPr>
          <w:trHeight w:val="222"/>
        </w:trPr>
        <w:tc>
          <w:tcPr>
            <w:tcW w:w="3460" w:type="dxa"/>
            <w:vAlign w:val="bottom"/>
          </w:tcPr>
          <w:p>
            <w:pPr>
              <w:ind w:left="120"/>
              <w:spacing w:after="0"/>
              <w:rPr>
                <w:sz w:val="20"/>
                <w:szCs w:val="20"/>
                <w:color w:val="auto"/>
              </w:rPr>
            </w:pPr>
            <w:r>
              <w:rPr>
                <w:rFonts w:ascii="Arial" w:cs="Arial" w:eastAsia="Arial" w:hAnsi="Arial"/>
                <w:sz w:val="17"/>
                <w:szCs w:val="17"/>
                <w:color w:val="auto"/>
              </w:rPr>
              <w:t>International networks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1,035</w:t>
            </w:r>
          </w:p>
        </w:tc>
        <w:tc>
          <w:tcPr>
            <w:tcW w:w="38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7"/>
                <w:szCs w:val="17"/>
                <w:color w:val="auto"/>
              </w:rPr>
              <w:t>970</w:t>
            </w:r>
          </w:p>
        </w:tc>
        <w:tc>
          <w:tcPr>
            <w:tcW w:w="1240" w:type="dxa"/>
            <w:vAlign w:val="bottom"/>
          </w:tcPr>
          <w:p>
            <w:pPr>
              <w:jc w:val="right"/>
              <w:ind w:right="216"/>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2,043</w:t>
            </w:r>
          </w:p>
        </w:tc>
        <w:tc>
          <w:tcPr>
            <w:tcW w:w="38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7"/>
                <w:szCs w:val="17"/>
                <w:color w:val="auto"/>
              </w:rPr>
              <w:t>1,965</w:t>
            </w: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3.9</w:t>
            </w:r>
          </w:p>
        </w:tc>
      </w:tr>
      <w:tr>
        <w:trPr>
          <w:trHeight w:val="229"/>
        </w:trPr>
        <w:tc>
          <w:tcPr>
            <w:tcW w:w="3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529</w:t>
            </w: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(2.0)</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1,044</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(11.1)</w:t>
            </w:r>
          </w:p>
        </w:tc>
      </w:tr>
      <w:tr>
        <w:trPr>
          <w:trHeight w:val="222"/>
        </w:trPr>
        <w:tc>
          <w:tcPr>
            <w:tcW w:w="346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6,195</w:t>
            </w:r>
          </w:p>
        </w:tc>
        <w:tc>
          <w:tcPr>
            <w:tcW w:w="38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7"/>
                <w:szCs w:val="17"/>
                <w:b w:val="1"/>
                <w:bCs w:val="1"/>
                <w:color w:val="auto"/>
              </w:rPr>
              <w:t>6,188</w:t>
            </w:r>
          </w:p>
        </w:tc>
        <w:tc>
          <w:tcPr>
            <w:tcW w:w="1240" w:type="dxa"/>
            <w:vAlign w:val="bottom"/>
          </w:tcPr>
          <w:p>
            <w:pPr>
              <w:jc w:val="right"/>
              <w:ind w:right="216"/>
              <w:spacing w:after="0"/>
              <w:rPr>
                <w:sz w:val="20"/>
                <w:szCs w:val="20"/>
                <w:color w:val="auto"/>
              </w:rPr>
            </w:pPr>
            <w:r>
              <w:rPr>
                <w:rFonts w:ascii="Arial" w:cs="Arial" w:eastAsia="Arial" w:hAnsi="Arial"/>
                <w:sz w:val="17"/>
                <w:szCs w:val="17"/>
                <w:b w:val="1"/>
                <w:bCs w:val="1"/>
                <w:color w:val="auto"/>
              </w:rPr>
              <w:t>0.1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12,347</w:t>
            </w:r>
          </w:p>
        </w:tc>
        <w:tc>
          <w:tcPr>
            <w:tcW w:w="38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7"/>
                <w:szCs w:val="17"/>
                <w:b w:val="1"/>
                <w:bCs w:val="1"/>
                <w:color w:val="auto"/>
              </w:rPr>
              <w:t>13,946</w:t>
            </w:r>
          </w:p>
        </w:tc>
        <w:tc>
          <w:tcPr>
            <w:tcW w:w="1180" w:type="dxa"/>
            <w:vAlign w:val="bottom"/>
          </w:tcPr>
          <w:p>
            <w:pPr>
              <w:jc w:val="right"/>
              <w:ind w:right="116"/>
              <w:spacing w:after="0"/>
              <w:rPr>
                <w:sz w:val="20"/>
                <w:szCs w:val="20"/>
                <w:color w:val="auto"/>
              </w:rPr>
            </w:pPr>
            <w:r>
              <w:rPr>
                <w:rFonts w:ascii="Arial" w:cs="Arial" w:eastAsia="Arial" w:hAnsi="Arial"/>
                <w:sz w:val="17"/>
                <w:szCs w:val="17"/>
                <w:b w:val="1"/>
                <w:bCs w:val="1"/>
                <w:color w:val="auto"/>
              </w:rPr>
              <w:t>(11.5)</w:t>
            </w:r>
          </w:p>
        </w:tc>
      </w:tr>
      <w:tr>
        <w:trPr>
          <w:trHeight w:val="222"/>
        </w:trPr>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3460" w:type="dxa"/>
            <w:vAlign w:val="bottom"/>
          </w:tcPr>
          <w:p>
            <w:pPr>
              <w:ind w:left="120"/>
              <w:spacing w:after="0"/>
              <w:rPr>
                <w:sz w:val="20"/>
                <w:szCs w:val="20"/>
                <w:color w:val="auto"/>
              </w:rPr>
            </w:pPr>
            <w:r>
              <w:rPr>
                <w:rFonts w:ascii="Arial" w:cs="Arial" w:eastAsia="Arial" w:hAnsi="Arial"/>
                <w:sz w:val="17"/>
                <w:szCs w:val="17"/>
                <w:color w:val="auto"/>
              </w:rPr>
              <w:t>Programming and production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3,634</w:t>
            </w:r>
          </w:p>
        </w:tc>
        <w:tc>
          <w:tcPr>
            <w:tcW w:w="38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7"/>
                <w:szCs w:val="17"/>
                <w:color w:val="auto"/>
              </w:rPr>
              <w:t>3,405</w:t>
            </w:r>
          </w:p>
        </w:tc>
        <w:tc>
          <w:tcPr>
            <w:tcW w:w="1240" w:type="dxa"/>
            <w:vAlign w:val="bottom"/>
          </w:tcPr>
          <w:p>
            <w:pPr>
              <w:jc w:val="right"/>
              <w:ind w:right="216"/>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7,624</w:t>
            </w:r>
          </w:p>
        </w:tc>
        <w:tc>
          <w:tcPr>
            <w:tcW w:w="38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Arial" w:cs="Arial" w:eastAsia="Arial" w:hAnsi="Arial"/>
                <w:sz w:val="17"/>
                <w:szCs w:val="17"/>
                <w:color w:val="auto"/>
              </w:rPr>
              <w:t>8,626</w:t>
            </w: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(11.6)</w:t>
            </w:r>
          </w:p>
        </w:tc>
      </w:tr>
      <w:tr>
        <w:trPr>
          <w:trHeight w:val="229"/>
        </w:trPr>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Marketing and promotion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291</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17.0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717</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(9.9)</w:t>
            </w:r>
          </w:p>
        </w:tc>
      </w:tr>
      <w:tr>
        <w:trPr>
          <w:trHeight w:val="222"/>
        </w:trPr>
        <w:tc>
          <w:tcPr>
            <w:tcW w:w="34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972</w:t>
            </w: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0.4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1,901</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2.7</w:t>
            </w:r>
          </w:p>
        </w:tc>
      </w:tr>
      <w:tr>
        <w:trPr>
          <w:trHeight w:val="222"/>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4,669</w:t>
            </w:r>
          </w:p>
        </w:tc>
        <w:tc>
          <w:tcPr>
            <w:tcW w:w="124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rPr>
              <w:t>6.0</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11,245</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(9.1)</w:t>
            </w:r>
          </w:p>
        </w:tc>
      </w:tr>
      <w:tr>
        <w:trPr>
          <w:trHeight w:val="228"/>
        </w:trPr>
        <w:tc>
          <w:tcPr>
            <w:tcW w:w="3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1,244</w:t>
            </w:r>
          </w:p>
        </w:tc>
        <w:tc>
          <w:tcPr>
            <w:tcW w:w="3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1,520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2,124</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2,701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(21.4)%</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Revenue</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Revenue for the three months ended June 30, 2023 remained consistent compared to the same period in 2022 primarily due to increases in international networks revenue and domestic distribution revenue, offset by a decrease in domestic advertising revenue.</w:t>
      </w:r>
    </w:p>
    <w:p>
      <w:pPr>
        <w:spacing w:after="0" w:line="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Revenue decreased for the six months ended June 30, 2023 compared to the same period in 2022 primarily due to our broadcasts of the Beijing Olympics and Super Bowl in the first quarter of 2022. Excluding incremental revenue associated with our broadcasts of these events, revenue decreased for the six months ended June 30, 2023 driven by declines in domestic advertising and other revenue, partially offset by an increase in domestic distribution revenue and international networks revenue.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right"/>
              <w:ind w:right="455"/>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ind w:right="535"/>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2"/>
        </w:trPr>
        <w:tc>
          <w:tcPr>
            <w:tcW w:w="4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Change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Change</w:t>
            </w:r>
          </w:p>
        </w:tc>
      </w:tr>
      <w:tr>
        <w:trPr>
          <w:trHeight w:val="18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2022</w:t>
            </w: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w:t>
            </w:r>
          </w:p>
        </w:tc>
      </w:tr>
      <w:tr>
        <w:trPr>
          <w:trHeight w:val="222"/>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6,195</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6,188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30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12,347</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13,946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29"/>
        </w:trPr>
        <w:tc>
          <w:tcPr>
            <w:tcW w:w="4960" w:type="dxa"/>
            <w:vAlign w:val="bottom"/>
          </w:tcPr>
          <w:p>
            <w:pPr>
              <w:ind w:left="20"/>
              <w:spacing w:after="0"/>
              <w:rPr>
                <w:sz w:val="20"/>
                <w:szCs w:val="20"/>
                <w:color w:val="auto"/>
              </w:rPr>
            </w:pPr>
            <w:r>
              <w:rPr>
                <w:rFonts w:ascii="Arial" w:cs="Arial" w:eastAsia="Arial" w:hAnsi="Arial"/>
                <w:sz w:val="17"/>
                <w:szCs w:val="17"/>
                <w:color w:val="auto"/>
              </w:rPr>
              <w:t>Olympics and Super Bowl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32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i w:val="1"/>
                <w:iCs w:val="1"/>
                <w:color w:val="auto"/>
              </w:rPr>
              <w:t>—</w:t>
            </w:r>
          </w:p>
        </w:tc>
        <w:tc>
          <w:tcPr>
            <w:tcW w:w="1020" w:type="dxa"/>
            <w:vAlign w:val="bottom"/>
          </w:tcPr>
          <w:p>
            <w:pPr>
              <w:jc w:val="right"/>
              <w:ind w:right="196"/>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1,481</w:t>
            </w:r>
          </w:p>
        </w:tc>
        <w:tc>
          <w:tcPr>
            <w:tcW w:w="960" w:type="dxa"/>
            <w:vAlign w:val="bottom"/>
          </w:tcPr>
          <w:p>
            <w:pPr>
              <w:jc w:val="right"/>
              <w:ind w:right="136"/>
              <w:spacing w:after="0"/>
              <w:rPr>
                <w:sz w:val="20"/>
                <w:szCs w:val="20"/>
                <w:color w:val="auto"/>
              </w:rPr>
            </w:pPr>
            <w:r>
              <w:rPr>
                <w:rFonts w:ascii="Arial" w:cs="Arial" w:eastAsia="Arial" w:hAnsi="Arial"/>
                <w:sz w:val="17"/>
                <w:szCs w:val="17"/>
                <w:color w:val="auto"/>
              </w:rPr>
              <w:t>NM</w:t>
            </w:r>
          </w:p>
        </w:tc>
      </w:tr>
      <w:tr>
        <w:trPr>
          <w:trHeight w:val="229"/>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Total revenue, excluding Olympics and Super Bowl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6,195</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i w:val="1"/>
                <w:iCs w:val="1"/>
                <w:color w:val="auto"/>
              </w:rPr>
              <w:t>$</w:t>
            </w:r>
          </w:p>
        </w:tc>
        <w:tc>
          <w:tcPr>
            <w:tcW w:w="8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i w:val="1"/>
                <w:iCs w:val="1"/>
                <w:color w:val="auto"/>
              </w:rPr>
              <w:t>6,188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0.1 %</w:t>
            </w:r>
          </w:p>
        </w:tc>
        <w:tc>
          <w:tcPr>
            <w:tcW w:w="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12,347</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i w:val="1"/>
                <w:iCs w:val="1"/>
                <w:color w:val="auto"/>
              </w:rPr>
              <w:t>$</w:t>
            </w:r>
          </w:p>
        </w:tc>
        <w:tc>
          <w:tcPr>
            <w:tcW w:w="8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i w:val="1"/>
                <w:iCs w:val="1"/>
                <w:color w:val="auto"/>
              </w:rPr>
              <w:t>12,465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(0.9)%</w:t>
            </w:r>
          </w:p>
        </w:tc>
      </w:tr>
      <w:tr>
        <w:trPr>
          <w:trHeight w:val="216"/>
        </w:trPr>
        <w:tc>
          <w:tcPr>
            <w:tcW w:w="4960" w:type="dxa"/>
            <w:vAlign w:val="bottom"/>
          </w:tcPr>
          <w:p>
            <w:pPr>
              <w:ind w:left="20"/>
              <w:spacing w:after="0"/>
              <w:rPr>
                <w:sz w:val="20"/>
                <w:szCs w:val="20"/>
                <w:color w:val="auto"/>
              </w:rPr>
            </w:pPr>
            <w:r>
              <w:rPr>
                <w:rFonts w:ascii="Arial" w:cs="Arial" w:eastAsia="Arial" w:hAnsi="Arial"/>
                <w:sz w:val="17"/>
                <w:szCs w:val="17"/>
                <w:color w:val="auto"/>
              </w:rPr>
              <w:t>Total domestic advertising revenue</w:t>
            </w:r>
          </w:p>
        </w:tc>
        <w:tc>
          <w:tcPr>
            <w:tcW w:w="220" w:type="dxa"/>
            <w:vAlign w:val="bottom"/>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2,027</w:t>
            </w:r>
          </w:p>
        </w:tc>
        <w:tc>
          <w:tcPr>
            <w:tcW w:w="32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color w:val="auto"/>
              </w:rPr>
              <w:t>2,131</w:t>
            </w:r>
          </w:p>
        </w:tc>
        <w:tc>
          <w:tcPr>
            <w:tcW w:w="1020" w:type="dxa"/>
            <w:vAlign w:val="bottom"/>
          </w:tcPr>
          <w:p>
            <w:pPr>
              <w:jc w:val="right"/>
              <w:spacing w:after="0"/>
              <w:rPr>
                <w:sz w:val="20"/>
                <w:szCs w:val="20"/>
                <w:color w:val="auto"/>
              </w:rPr>
            </w:pPr>
            <w:r>
              <w:rPr>
                <w:rFonts w:ascii="Arial" w:cs="Arial" w:eastAsia="Arial" w:hAnsi="Arial"/>
                <w:sz w:val="17"/>
                <w:szCs w:val="17"/>
                <w:color w:val="auto"/>
              </w:rPr>
              <w:t>(4.9)%</w:t>
            </w:r>
          </w:p>
        </w:tc>
        <w:tc>
          <w:tcPr>
            <w:tcW w:w="300" w:type="dxa"/>
            <w:vAlign w:val="bottom"/>
          </w:tcPr>
          <w:p>
            <w:pPr>
              <w:jc w:val="right"/>
              <w:ind w:right="53"/>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4,051</w:t>
            </w:r>
          </w:p>
        </w:tc>
        <w:tc>
          <w:tcPr>
            <w:tcW w:w="32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35"/>
              <w:spacing w:after="0"/>
              <w:rPr>
                <w:sz w:val="20"/>
                <w:szCs w:val="20"/>
                <w:color w:val="auto"/>
              </w:rPr>
            </w:pPr>
            <w:r>
              <w:rPr>
                <w:rFonts w:ascii="Arial" w:cs="Arial" w:eastAsia="Arial" w:hAnsi="Arial"/>
                <w:sz w:val="17"/>
                <w:szCs w:val="17"/>
                <w:b w:val="1"/>
                <w:bCs w:val="1"/>
                <w:color w:val="auto"/>
              </w:rPr>
              <w:t>5,441</w:t>
            </w:r>
          </w:p>
        </w:tc>
        <w:tc>
          <w:tcPr>
            <w:tcW w:w="96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3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Olympics and Super Bowl</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NM</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1,154</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NM</w:t>
            </w:r>
          </w:p>
        </w:tc>
      </w:tr>
      <w:tr>
        <w:trPr>
          <w:trHeight w:val="22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w w:val="97"/>
              </w:rPr>
              <w:t>Domestic advertising revenue, excluding Olympics and Super Bowl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i w:val="1"/>
                <w:iCs w:val="1"/>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2,027</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i w:val="1"/>
                <w:iCs w:val="1"/>
                <w:color w:val="auto"/>
              </w:rPr>
              <w:t>$</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i w:val="1"/>
                <w:iCs w:val="1"/>
                <w:color w:val="auto"/>
              </w:rPr>
              <w:t>2,131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(4.9)%</w:t>
            </w:r>
          </w:p>
        </w:tc>
        <w:tc>
          <w:tcPr>
            <w:tcW w:w="3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i w:val="1"/>
                <w:i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i w:val="1"/>
                <w:iCs w:val="1"/>
                <w:color w:val="auto"/>
              </w:rPr>
              <w:t>4,051</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i w:val="1"/>
                <w:iCs w:val="1"/>
                <w:color w:val="auto"/>
              </w:rPr>
              <w:t>$</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i w:val="1"/>
                <w:iCs w:val="1"/>
                <w:color w:val="auto"/>
              </w:rPr>
              <w:t>4,287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(5.5)%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domestic distribution revenue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2,615</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2,558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30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5,325</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5,496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29"/>
        </w:trPr>
        <w:tc>
          <w:tcPr>
            <w:tcW w:w="4960" w:type="dxa"/>
            <w:vAlign w:val="bottom"/>
          </w:tcPr>
          <w:p>
            <w:pPr>
              <w:ind w:left="20"/>
              <w:spacing w:after="0"/>
              <w:rPr>
                <w:sz w:val="20"/>
                <w:szCs w:val="20"/>
                <w:color w:val="auto"/>
              </w:rPr>
            </w:pPr>
            <w:r>
              <w:rPr>
                <w:rFonts w:ascii="Arial" w:cs="Arial" w:eastAsia="Arial" w:hAnsi="Arial"/>
                <w:sz w:val="17"/>
                <w:szCs w:val="17"/>
                <w:color w:val="auto"/>
              </w:rPr>
              <w:t>Olympics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32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i w:val="1"/>
                <w:iCs w:val="1"/>
                <w:color w:val="auto"/>
              </w:rPr>
              <w:t>—</w:t>
            </w:r>
          </w:p>
        </w:tc>
        <w:tc>
          <w:tcPr>
            <w:tcW w:w="1020" w:type="dxa"/>
            <w:vAlign w:val="bottom"/>
          </w:tcPr>
          <w:p>
            <w:pPr>
              <w:jc w:val="right"/>
              <w:ind w:right="196"/>
              <w:spacing w:after="0"/>
              <w:rPr>
                <w:sz w:val="20"/>
                <w:szCs w:val="20"/>
                <w:color w:val="auto"/>
              </w:rPr>
            </w:pPr>
            <w:r>
              <w:rPr>
                <w:rFonts w:ascii="Arial" w:cs="Arial" w:eastAsia="Arial" w:hAnsi="Arial"/>
                <w:sz w:val="17"/>
                <w:szCs w:val="17"/>
                <w:color w:val="auto"/>
              </w:rPr>
              <w:t>NM</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327</w:t>
            </w:r>
          </w:p>
        </w:tc>
        <w:tc>
          <w:tcPr>
            <w:tcW w:w="960" w:type="dxa"/>
            <w:vAlign w:val="bottom"/>
          </w:tcPr>
          <w:p>
            <w:pPr>
              <w:jc w:val="right"/>
              <w:ind w:right="136"/>
              <w:spacing w:after="0"/>
              <w:rPr>
                <w:sz w:val="20"/>
                <w:szCs w:val="20"/>
                <w:color w:val="auto"/>
              </w:rPr>
            </w:pPr>
            <w:r>
              <w:rPr>
                <w:rFonts w:ascii="Arial" w:cs="Arial" w:eastAsia="Arial" w:hAnsi="Arial"/>
                <w:sz w:val="17"/>
                <w:szCs w:val="17"/>
                <w:color w:val="auto"/>
              </w:rPr>
              <w:t>NM</w:t>
            </w:r>
          </w:p>
        </w:tc>
      </w:tr>
      <w:tr>
        <w:trPr>
          <w:trHeight w:val="229"/>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Domestic distribution revenue, excluding Olympics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i w:val="1"/>
                <w:iCs w:val="1"/>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2,615</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i w:val="1"/>
                <w:iCs w:val="1"/>
                <w:color w:val="auto"/>
              </w:rPr>
              <w:t>$</w:t>
            </w:r>
          </w:p>
        </w:tc>
        <w:tc>
          <w:tcPr>
            <w:tcW w:w="8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i w:val="1"/>
                <w:iCs w:val="1"/>
                <w:color w:val="auto"/>
              </w:rPr>
              <w:t>2,558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2.2 %</w:t>
            </w:r>
          </w:p>
        </w:tc>
        <w:tc>
          <w:tcPr>
            <w:tcW w:w="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i w:val="1"/>
                <w:i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5,325</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i w:val="1"/>
                <w:iCs w:val="1"/>
                <w:color w:val="auto"/>
              </w:rPr>
              <w:t>$</w:t>
            </w:r>
          </w:p>
        </w:tc>
        <w:tc>
          <w:tcPr>
            <w:tcW w:w="8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i w:val="1"/>
                <w:iCs w:val="1"/>
                <w:color w:val="auto"/>
              </w:rPr>
              <w:t>5,169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3.0 %</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Domestic advertising revenue </w:t>
      </w:r>
      <w:r>
        <w:rPr>
          <w:rFonts w:ascii="Arial" w:cs="Arial" w:eastAsia="Arial" w:hAnsi="Arial"/>
          <w:sz w:val="17"/>
          <w:szCs w:val="17"/>
          <w:color w:val="auto"/>
        </w:rPr>
        <w:t>consists of revenue generated from sales of advertising on our television networks, Peacock and other digital properties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predominantly in the United States.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Domestic advertising revenue decreased for the three months ended June 30, 2023 compared to the same period in 2022 primarily due to a decrease in revenue at our networks, partially offset by an increase in revenue at Peacock.</w:t>
      </w:r>
    </w:p>
    <w:p>
      <w:pPr>
        <w:spacing w:after="0" w:line="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Domestic advertising revenue decreased for the six months ended June 30, 2023 compared to the same period in 2022 primarily due to our broadcasts of the Beijing Olympics and Super Bowl in the first quarter of 2022. Excluding the incremental revenue associated with our broadcasts of these events, domestic advertising revenue decreased for the six months ended June 30, 2023, primarily due to a decrease in revenue at our networks, partially offset by an increase in revenue at Peacock.</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Domestic distribution revenue </w:t>
      </w:r>
      <w:r>
        <w:rPr>
          <w:rFonts w:ascii="Arial" w:cs="Arial" w:eastAsia="Arial" w:hAnsi="Arial"/>
          <w:sz w:val="17"/>
          <w:szCs w:val="17"/>
          <w:color w:val="auto"/>
        </w:rPr>
        <w:t>primarily includes revenue generated from the distribution of our television network programming for networks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predominantly in the United States to traditional and virtual multichannel video providers, and from NBC-affiliated and Telemundo-affiliated local broadcast stations. Our revenue from distribution agreements is generally based on the number of subscribers receiving the programming and the fees charged per subscriber. Distribution revenue also includes Peacock subscription fees.</w:t>
      </w:r>
    </w:p>
    <w:p>
      <w:pPr>
        <w:spacing w:after="0" w:line="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Domestic distribution revenue increased for the three months ended June 30, 2023 compared to the same period in 2022 primarily due to an increase in Peacock paid subscribers, partially offset by a decrease in revenue at our networks. The decrease at our networks was primarily due to a decline in the number of subscribers, partially offset by contractual rate increases.</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Domestic distribution revenue decreased for the six months ended June 30, 2023 compared to the same period in 2022 primarily due to our broadcast of the Beijing Olympics in the first quarter of 2022. Excluding the incremental revenue associated with our broadcast of the Beijing Olympics, domestic distribution revenue increased for the six months ended June 30, 2023 primarily due to an increase in Peacock paid subscribers, partially offset by a decrease in revenue at our networks. The decrease at our networks was primarily due to a decline in the number of subscribers, partially offset by contractual rate increases.</w:t>
      </w:r>
    </w:p>
    <w:p>
      <w:pPr>
        <w:spacing w:after="0" w:line="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International networks revenue </w:t>
      </w:r>
      <w:r>
        <w:rPr>
          <w:rFonts w:ascii="Arial" w:cs="Arial" w:eastAsia="Arial" w:hAnsi="Arial"/>
          <w:sz w:val="17"/>
          <w:szCs w:val="17"/>
          <w:color w:val="auto"/>
        </w:rPr>
        <w:t>consists of revenue generated by our networks operating predominantly outside the United States, including most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Sky Sports channels. This revenue primarily results from the distribution of network programming to multichannel video providers and other platforms, as well as sales of advertising. A significant portion of this revenue comes from the Residential Connectivity &amp; Platforms segment.</w:t>
      </w:r>
    </w:p>
    <w:p>
      <w:pPr>
        <w:spacing w:after="0" w:line="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International networks revenue increased for the three and six months ended June 30, 2023 compared to the same periods in 2022 primarily due to increases in revenue associated with the distribution of sports channels. The increase for the six months ended June 30, 2023 was partially offset by the negative impact of foreign currency.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revenue </w:t>
      </w:r>
      <w:r>
        <w:rPr>
          <w:rFonts w:ascii="Arial" w:cs="Arial" w:eastAsia="Arial" w:hAnsi="Arial"/>
          <w:sz w:val="16"/>
          <w:szCs w:val="16"/>
          <w:color w:val="auto"/>
        </w:rPr>
        <w:t>consists primarily of revenue from the licensing of our owned content and technology, and revenue generated by various digital properties.</w:t>
      </w:r>
    </w:p>
    <w:p>
      <w:pPr>
        <w:spacing w:after="0" w:line="8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Other revenue decreased for the three and six months ended June 30, 2023 compared to the same periods in 2022 primarily due to decreases in content licensing, partially offset by increases in revenue from licensing our technology.</w:t>
      </w:r>
    </w:p>
    <w:p>
      <w:pPr>
        <w:spacing w:after="0" w:line="5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 * *</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Revenue included $820 million and $1.5 billion related to Peacock for the three and six months ended June 30, 2023, respectively. Revenue included $444 million and $916 million related to Peacock for the three and six months ended June 30, 2022, respectively. We had 24 million and 13 million paid subscribers of Peacock as of June 30, 2023 and 2022, respectively. Peacock paid subscribers represent customers from which Peacock receives a subscription fee on a retail or wholesale basis. Paid subscribers do not include certain customers that receive Peacock as part of bundled services where Peacock does not receive fees.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Costs and Expenses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Programming and production costs </w:t>
      </w:r>
      <w:r>
        <w:rPr>
          <w:rFonts w:ascii="Arial" w:cs="Arial" w:eastAsia="Arial" w:hAnsi="Arial"/>
          <w:sz w:val="16"/>
          <w:szCs w:val="16"/>
          <w:color w:val="auto"/>
        </w:rPr>
        <w:t>include the amortization of owned and licensed content, including sports rights, direct production costs,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overhead, on-air talent costs and costs associated with the distribution of our programming to third-party networks and other distribution platforms.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Programming and production costs increased for the three months ended June 30, 2023 compared to the same period in 2022 primarily due to higher programming costs at Peacock and increased international sports programming costs driven by the shift of certain European football matches and the related programming expense to the first half of 2023 due to timing of the 2022 FIFA World Cup, partially offset by a decrease in content costs for our entertainment television networks.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Programming and production costs decreased for the six months ended June 30, 2023 compared to the same period in 2022 primarily due to costs associated with our broadcast of the Beijing Olympics and Super Bowl in the prior year period and a decrease in content costs for our entertainment television networks, partially offset by higher programming costs at Peacock and an increase in international sports programming costs. The increase in international sports programming costs was driven by the timing of the 2022 FIFA World Cup, partially offset by the impact of foreign currency.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Marketing and promotion expenses </w:t>
      </w:r>
      <w:r>
        <w:rPr>
          <w:rFonts w:ascii="Arial" w:cs="Arial" w:eastAsia="Arial" w:hAnsi="Arial"/>
          <w:sz w:val="17"/>
          <w:szCs w:val="17"/>
          <w:color w:val="auto"/>
        </w:rPr>
        <w:t>consist primarily of the costs associated with promoting our networks, Peacock and other digital properties.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Marketing and promotion expenses increased for the three months ended June 30, 2023 compared to the same period in 2022 primarily due to higher marketing costs related to Peacock.</w:t>
      </w:r>
    </w:p>
    <w:p>
      <w:pPr>
        <w:spacing w:after="0" w:line="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Marketing and promotion expenses decreased for the six months ended June 30, 2023 compared to the same period in 2022 primarily due to lower costs related to marketing for entertainment programming, partially offset by increased marketing spend at Peacock.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expenses </w:t>
      </w:r>
      <w:r>
        <w:rPr>
          <w:rFonts w:ascii="Arial" w:cs="Arial" w:eastAsia="Arial" w:hAnsi="Arial"/>
          <w:sz w:val="17"/>
          <w:szCs w:val="17"/>
          <w:color w:val="auto"/>
        </w:rPr>
        <w:t>include salaries, employee benefits, rent and other overhead expenses.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Other expenses increased for the six months ended June 30, 2023 compared to the same period in 2022 primarily due to an increase in costs related to Peacock.</w:t>
      </w:r>
    </w:p>
    <w:p>
      <w:pPr>
        <w:spacing w:after="0" w:line="14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 * *</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Costs and expenses included $1.5 billion and $2.9 billion related to Peacock for the three and six months ended June 30, 2023 respectively. Costs and expenses included $912 million and $1.8 billion related to Peacock for the three and six months ended June 30, 2022,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Studios Segment Results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ind w:right="755"/>
              <w:spacing w:after="0"/>
              <w:rPr>
                <w:sz w:val="20"/>
                <w:szCs w:val="20"/>
                <w:color w:val="auto"/>
              </w:rPr>
            </w:pPr>
            <w:r>
              <w:rPr>
                <w:rFonts w:ascii="Arial" w:cs="Arial" w:eastAsia="Arial" w:hAnsi="Arial"/>
                <w:sz w:val="14"/>
                <w:szCs w:val="14"/>
                <w:color w:val="auto"/>
              </w:rPr>
              <w:t>Three Months Ended</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3"/>
          </w:tcPr>
          <w:p>
            <w:pPr>
              <w:jc w:val="right"/>
              <w:ind w:right="835"/>
              <w:spacing w:after="0"/>
              <w:rPr>
                <w:sz w:val="20"/>
                <w:szCs w:val="20"/>
                <w:color w:val="auto"/>
              </w:rPr>
            </w:pPr>
            <w:r>
              <w:rPr>
                <w:rFonts w:ascii="Arial" w:cs="Arial" w:eastAsia="Arial" w:hAnsi="Arial"/>
                <w:sz w:val="14"/>
                <w:szCs w:val="14"/>
                <w:color w:val="auto"/>
              </w:rPr>
              <w:t>Six Months Ended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80" w:type="dxa"/>
            <w:vAlign w:val="bottom"/>
          </w:tcPr>
          <w:p>
            <w:pPr>
              <w:spacing w:after="0"/>
              <w:rPr>
                <w:sz w:val="15"/>
                <w:szCs w:val="15"/>
                <w:color w:val="auto"/>
              </w:rPr>
            </w:pPr>
          </w:p>
        </w:tc>
        <w:tc>
          <w:tcPr>
            <w:tcW w:w="1200" w:type="dxa"/>
            <w:vAlign w:val="bottom"/>
          </w:tcPr>
          <w:p>
            <w:pPr>
              <w:jc w:val="right"/>
              <w:ind w:right="436"/>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5"/>
                <w:szCs w:val="15"/>
                <w:color w:val="auto"/>
              </w:rPr>
            </w:pPr>
          </w:p>
        </w:tc>
        <w:tc>
          <w:tcPr>
            <w:tcW w:w="1280" w:type="dxa"/>
            <w:vAlign w:val="bottom"/>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80" w:type="dxa"/>
            <w:vAlign w:val="bottom"/>
          </w:tcPr>
          <w:p>
            <w:pPr>
              <w:spacing w:after="0"/>
              <w:rPr>
                <w:sz w:val="15"/>
                <w:szCs w:val="15"/>
                <w:color w:val="auto"/>
              </w:rPr>
            </w:pPr>
          </w:p>
        </w:tc>
        <w:tc>
          <w:tcPr>
            <w:tcW w:w="1160" w:type="dxa"/>
            <w:vAlign w:val="bottom"/>
          </w:tcPr>
          <w:p>
            <w:pPr>
              <w:jc w:val="right"/>
              <w:ind w:right="376"/>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3"/>
        </w:trPr>
        <w:tc>
          <w:tcPr>
            <w:tcW w:w="35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5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2022</w:t>
            </w: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20"/>
              <w:spacing w:after="0"/>
              <w:rPr>
                <w:sz w:val="20"/>
                <w:szCs w:val="20"/>
                <w:color w:val="auto"/>
              </w:rPr>
            </w:pPr>
            <w:r>
              <w:rPr>
                <w:rFonts w:ascii="Arial" w:cs="Arial" w:eastAsia="Arial" w:hAnsi="Arial"/>
                <w:sz w:val="17"/>
                <w:szCs w:val="17"/>
                <w:color w:val="auto"/>
              </w:rPr>
              <w:t>Content licensing</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1,821</w:t>
            </w:r>
          </w:p>
        </w:tc>
        <w:tc>
          <w:tcPr>
            <w:tcW w:w="3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2,269</w:t>
            </w:r>
          </w:p>
        </w:tc>
        <w:tc>
          <w:tcPr>
            <w:tcW w:w="1200" w:type="dxa"/>
            <w:vAlign w:val="bottom"/>
          </w:tcPr>
          <w:p>
            <w:pPr>
              <w:jc w:val="right"/>
              <w:spacing w:after="0"/>
              <w:rPr>
                <w:sz w:val="20"/>
                <w:szCs w:val="20"/>
                <w:color w:val="auto"/>
              </w:rPr>
            </w:pPr>
            <w:r>
              <w:rPr>
                <w:rFonts w:ascii="Arial" w:cs="Arial" w:eastAsia="Arial" w:hAnsi="Arial"/>
                <w:sz w:val="17"/>
                <w:szCs w:val="17"/>
                <w:color w:val="auto"/>
              </w:rPr>
              <w:t>(19.8)%</w:t>
            </w: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4,165</w:t>
            </w:r>
          </w:p>
        </w:tc>
        <w:tc>
          <w:tcPr>
            <w:tcW w:w="3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4,698</w:t>
            </w:r>
          </w:p>
        </w:tc>
        <w:tc>
          <w:tcPr>
            <w:tcW w:w="1160" w:type="dxa"/>
            <w:vAlign w:val="bottom"/>
          </w:tcPr>
          <w:p>
            <w:pPr>
              <w:jc w:val="right"/>
              <w:spacing w:after="0"/>
              <w:rPr>
                <w:sz w:val="20"/>
                <w:szCs w:val="20"/>
                <w:color w:val="auto"/>
              </w:rPr>
            </w:pPr>
            <w:r>
              <w:rPr>
                <w:rFonts w:ascii="Arial" w:cs="Arial" w:eastAsia="Arial" w:hAnsi="Arial"/>
                <w:sz w:val="17"/>
                <w:szCs w:val="17"/>
                <w:color w:val="auto"/>
              </w:rPr>
              <w:t>(11.3) %</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Theatrical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550</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65.9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718</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22"/>
        </w:trPr>
        <w:tc>
          <w:tcPr>
            <w:tcW w:w="35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298</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19.0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607</w:t>
            </w: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3,087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3,117</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(0.9)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6,043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6,023</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0.3</w:t>
            </w:r>
          </w:p>
        </w:tc>
        <w:tc>
          <w:tcPr>
            <w:tcW w:w="0" w:type="dxa"/>
            <w:vAlign w:val="bottom"/>
          </w:tcPr>
          <w:p>
            <w:pPr>
              <w:spacing w:after="0"/>
              <w:rPr>
                <w:sz w:val="1"/>
                <w:szCs w:val="1"/>
                <w:color w:val="auto"/>
              </w:rPr>
            </w:pPr>
          </w:p>
        </w:tc>
      </w:tr>
      <w:tr>
        <w:trPr>
          <w:trHeight w:val="222"/>
        </w:trPr>
        <w:tc>
          <w:tcPr>
            <w:tcW w:w="350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Programming and production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2,392</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(8.2)</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4,514</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9"/>
        </w:trPr>
        <w:tc>
          <w:tcPr>
            <w:tcW w:w="3500" w:type="dxa"/>
            <w:vAlign w:val="bottom"/>
          </w:tcPr>
          <w:p>
            <w:pPr>
              <w:ind w:left="120"/>
              <w:spacing w:after="0"/>
              <w:rPr>
                <w:sz w:val="20"/>
                <w:szCs w:val="20"/>
                <w:color w:val="auto"/>
              </w:rPr>
            </w:pPr>
            <w:r>
              <w:rPr>
                <w:rFonts w:ascii="Arial" w:cs="Arial" w:eastAsia="Arial" w:hAnsi="Arial"/>
                <w:sz w:val="17"/>
                <w:szCs w:val="17"/>
                <w:color w:val="auto"/>
              </w:rPr>
              <w:t>Marketing and promotion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443</w:t>
            </w:r>
          </w:p>
        </w:tc>
        <w:tc>
          <w:tcPr>
            <w:tcW w:w="380" w:type="dxa"/>
            <w:vAlign w:val="bottom"/>
          </w:tcPr>
          <w:p>
            <w:pPr>
              <w:spacing w:after="0"/>
              <w:rPr>
                <w:sz w:val="19"/>
                <w:szCs w:val="19"/>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531</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(16.6)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840</w:t>
            </w:r>
          </w:p>
        </w:tc>
        <w:tc>
          <w:tcPr>
            <w:tcW w:w="380" w:type="dxa"/>
            <w:vAlign w:val="bottom"/>
          </w:tcPr>
          <w:p>
            <w:pPr>
              <w:spacing w:after="0"/>
              <w:rPr>
                <w:sz w:val="19"/>
                <w:szCs w:val="19"/>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858</w:t>
            </w: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196</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(1.2)</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409</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2,833</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3,120</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(9.2)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5,782</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255</w:t>
            </w:r>
          </w:p>
        </w:tc>
        <w:tc>
          <w:tcPr>
            <w:tcW w:w="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NM</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532</w:t>
            </w:r>
          </w:p>
        </w:tc>
        <w:tc>
          <w:tcPr>
            <w:tcW w:w="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242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120.1 %</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Revenue</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Content licensing revenue </w:t>
      </w:r>
      <w:r>
        <w:rPr>
          <w:rFonts w:ascii="Arial" w:cs="Arial" w:eastAsia="Arial" w:hAnsi="Arial"/>
          <w:sz w:val="17"/>
          <w:szCs w:val="17"/>
          <w:color w:val="auto"/>
        </w:rPr>
        <w:t>relates to the licensing of our owned film and television content in the United States and internationally to television networks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DTC streaming service providers, as well as through video on demand and pay-per-view services provided by multichannel video providers and OTT service providers.</w:t>
      </w:r>
    </w:p>
    <w:p>
      <w:pPr>
        <w:spacing w:after="0" w:line="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Content licensing revenue decreased for the three and six months ended June 30, 2023 compared to the same periods in 2022 primarily due to the timing of when content was made available by our television studios under licensing agreements, partially offset by the timing of when content was made available by our film studios.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Theatrical revenue </w:t>
      </w:r>
      <w:r>
        <w:rPr>
          <w:rFonts w:ascii="Arial" w:cs="Arial" w:eastAsia="Arial" w:hAnsi="Arial"/>
          <w:sz w:val="17"/>
          <w:szCs w:val="17"/>
          <w:color w:val="auto"/>
        </w:rPr>
        <w:t>relates to the worldwide distribution of our produced and acquired films for exhibition in movie theaters.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Theatrical revenue increased for the three and six months ended June 30, 2023 compared to the same periods in 2022 primarily due to recent releases, including </w:t>
      </w:r>
      <w:r>
        <w:rPr>
          <w:rFonts w:ascii="Arial" w:cs="Arial" w:eastAsia="Arial" w:hAnsi="Arial"/>
          <w:sz w:val="17"/>
          <w:szCs w:val="17"/>
          <w:i w:val="1"/>
          <w:iCs w:val="1"/>
          <w:color w:val="auto"/>
        </w:rPr>
        <w:t xml:space="preserve">The Super Mario Bros. Movie </w:t>
      </w:r>
      <w:r>
        <w:rPr>
          <w:rFonts w:ascii="Arial" w:cs="Arial" w:eastAsia="Arial" w:hAnsi="Arial"/>
          <w:sz w:val="17"/>
          <w:szCs w:val="17"/>
          <w:color w:val="auto"/>
        </w:rPr>
        <w:t>and</w:t>
      </w:r>
      <w:r>
        <w:rPr>
          <w:rFonts w:ascii="Arial" w:cs="Arial" w:eastAsia="Arial" w:hAnsi="Arial"/>
          <w:sz w:val="17"/>
          <w:szCs w:val="17"/>
          <w:i w:val="1"/>
          <w:iCs w:val="1"/>
          <w:color w:val="auto"/>
        </w:rPr>
        <w:t xml:space="preserve"> Fast X.</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 xml:space="preserve">Other revenue </w:t>
      </w:r>
      <w:r>
        <w:rPr>
          <w:rFonts w:ascii="Arial" w:cs="Arial" w:eastAsia="Arial" w:hAnsi="Arial"/>
          <w:sz w:val="17"/>
          <w:szCs w:val="17"/>
          <w:color w:val="auto"/>
        </w:rPr>
        <w:t>consists primarily of the sale of physical and digital home entertainment products, as well as the production and licensing of live stage plays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distribution of content produced by third parties.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Other revenue increased for the three and six months ended June 30, 2023 compared to the same periods in 2022 primarily driven by increased sales of home entertainment products and increased revenue related to our live stage plays.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Costs and Expenses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Programming and production costs </w:t>
      </w:r>
      <w:r>
        <w:rPr>
          <w:rFonts w:ascii="Arial" w:cs="Arial" w:eastAsia="Arial" w:hAnsi="Arial"/>
          <w:sz w:val="17"/>
          <w:szCs w:val="17"/>
          <w:color w:val="auto"/>
        </w:rPr>
        <w:t>include the amortization of capitalized film and television production and acquisition costs; residuals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participations expenses; and distribution expenses. The costs associated with producing film and television content have generally increased in recent years and may continue to increase in the future.</w:t>
      </w:r>
    </w:p>
    <w:p>
      <w:pPr>
        <w:spacing w:after="0" w:line="1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Programming and production costs decreased for the three and six months ended June 30, 2023 compared to the same periods in 2022 primarily due to lower costs associated with content licensing sales, partially offset by higher costs associated with theatrical releases in the current year periods.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Marketing and promotion expenses </w:t>
      </w:r>
      <w:r>
        <w:rPr>
          <w:rFonts w:ascii="Arial" w:cs="Arial" w:eastAsia="Arial" w:hAnsi="Arial"/>
          <w:sz w:val="17"/>
          <w:szCs w:val="17"/>
          <w:color w:val="auto"/>
        </w:rPr>
        <w:t>consist primarily of expenses associated with advertising for our theatrical releases.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Marketing and promotion expenses decreased for the three and six months ended June 30, 2023 compared to the same periods in 2022 primarily due to decreased spending on recent and upcoming theatrical film releases in the current year periods.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expenses </w:t>
      </w:r>
      <w:r>
        <w:rPr>
          <w:rFonts w:ascii="Arial" w:cs="Arial" w:eastAsia="Arial" w:hAnsi="Arial"/>
          <w:sz w:val="17"/>
          <w:szCs w:val="17"/>
          <w:color w:val="auto"/>
        </w:rPr>
        <w:t>include salaries, employee benefits, rent and other overhead expenses.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Theme Parks Segment Results of Operations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ind w:right="757"/>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3"/>
          </w:tcPr>
          <w:p>
            <w:pPr>
              <w:jc w:val="right"/>
              <w:ind w:right="817"/>
              <w:spacing w:after="0"/>
              <w:rPr>
                <w:sz w:val="20"/>
                <w:szCs w:val="20"/>
                <w:color w:val="auto"/>
              </w:rPr>
            </w:pPr>
            <w:r>
              <w:rPr>
                <w:rFonts w:ascii="Arial" w:cs="Arial" w:eastAsia="Arial" w:hAnsi="Arial"/>
                <w:sz w:val="14"/>
                <w:szCs w:val="14"/>
                <w:color w:val="auto"/>
              </w:rPr>
              <w:t>Six Months Ended</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3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Change</w:t>
            </w:r>
          </w:p>
        </w:tc>
        <w:tc>
          <w:tcPr>
            <w:tcW w:w="200" w:type="dxa"/>
            <w:vAlign w:val="bottom"/>
            <w:tcBorders>
              <w:bottom w:val="single" w:sz="8" w:color="auto"/>
            </w:tcBorders>
          </w:tcPr>
          <w:p>
            <w:pPr>
              <w:spacing w:after="0"/>
              <w:rPr>
                <w:sz w:val="15"/>
                <w:szCs w:val="15"/>
                <w:color w:val="auto"/>
              </w:rPr>
            </w:pPr>
          </w:p>
        </w:tc>
      </w:tr>
      <w:tr>
        <w:trPr>
          <w:trHeight w:val="18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2022</w:t>
            </w: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2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3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1,804</w:t>
            </w:r>
          </w:p>
        </w:tc>
        <w:tc>
          <w:tcPr>
            <w:tcW w:w="9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22.4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4,158</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3,364</w:t>
            </w:r>
          </w:p>
        </w:tc>
        <w:tc>
          <w:tcPr>
            <w:tcW w:w="98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6"/>
              </w:rPr>
              <w:t>23.6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1,173</w:t>
            </w: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w w:val="96"/>
              </w:rPr>
              <w:t>17.4</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2,668</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2,282</w:t>
            </w: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6"/>
              </w:rPr>
              <w:t>16.9</w:t>
            </w:r>
          </w:p>
        </w:tc>
        <w:tc>
          <w:tcPr>
            <w:tcW w:w="200" w:type="dxa"/>
            <w:vAlign w:val="bottom"/>
            <w:tcBorders>
              <w:bottom w:val="single" w:sz="8" w:color="auto"/>
            </w:tcBorders>
          </w:tcPr>
          <w:p>
            <w:pPr>
              <w:spacing w:after="0"/>
              <w:rPr>
                <w:sz w:val="19"/>
                <w:szCs w:val="19"/>
                <w:color w:val="auto"/>
              </w:rPr>
            </w:pPr>
          </w:p>
        </w:tc>
      </w:tr>
      <w:tr>
        <w:trPr>
          <w:trHeight w:val="22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833</w:t>
            </w:r>
          </w:p>
        </w:tc>
        <w:tc>
          <w:tcPr>
            <w:tcW w:w="3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632</w:t>
            </w:r>
          </w:p>
        </w:tc>
        <w:tc>
          <w:tcPr>
            <w:tcW w:w="122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7"/>
                <w:szCs w:val="17"/>
                <w:b w:val="1"/>
                <w:bCs w:val="1"/>
                <w:color w:val="auto"/>
              </w:rPr>
              <w:t>31.8 %</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1,490</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1,082</w:t>
            </w:r>
          </w:p>
        </w:tc>
        <w:tc>
          <w:tcPr>
            <w:tcW w:w="118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w w:val="98"/>
              </w:rPr>
              <w:t>37.7 %</w:t>
            </w:r>
          </w:p>
        </w:tc>
      </w:tr>
    </w:tbl>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 xml:space="preserve">Theme parks segment revenue </w:t>
      </w:r>
      <w:r>
        <w:rPr>
          <w:rFonts w:ascii="Arial" w:cs="Arial" w:eastAsia="Arial" w:hAnsi="Arial"/>
          <w:sz w:val="17"/>
          <w:szCs w:val="17"/>
          <w:color w:val="auto"/>
        </w:rPr>
        <w:t>primarily relates to guest spending at our theme parks, including ticket sales and in-park spending and our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business.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Theme parks revenue increased for the three months ended June 30, 2023 compared to the same period in 2022 driven by increases at our international theme parks, which had COVID-19 related restrictions during certain periods in the prior year period, partially offset by the negative impacts of foreign currency. Domestic theme parks revenue remained consistent with the prior year period primarily due to higher revenue at our theme park in Hollywood in the current year period driven by the opening of Super Nintendo World, offset by lower revenue at our theme park in Orlando, which continues to be above pre-pandemic levels.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Theme parks revenue increased for the six months ended June 30, 2023 compared to the same period in 2022 driven by increases at our international theme parks, which had COVID-19 related restrictions during certain periods in the prior year period, partially offset by the negative impacts of foreign currency and increases in our domestic theme parks primarily due to higher revenue at our theme park in Hollywood in the current year period driven by the opening of Super Nintendo World, partially offset by lower revenue at our theme park in Orlando, which continues to be above pre-pandemic levels.</w:t>
      </w:r>
    </w:p>
    <w:p>
      <w:pPr>
        <w:spacing w:after="0" w:line="4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 xml:space="preserve">Theme parks segment costs and expenses </w:t>
      </w:r>
      <w:r>
        <w:rPr>
          <w:rFonts w:ascii="Arial" w:cs="Arial" w:eastAsia="Arial" w:hAnsi="Arial"/>
          <w:sz w:val="17"/>
          <w:szCs w:val="17"/>
          <w:color w:val="auto"/>
        </w:rPr>
        <w:t>consist primarily of theme park operations, including repairs and maintenance and related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food, beverage and merchandise costs; labor costs; and sales and marketing costs.</w:t>
      </w:r>
    </w:p>
    <w:p>
      <w:pPr>
        <w:spacing w:after="0" w:line="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Theme parks costs and expenses increased for the three and six months ended June 30, 2023 compared to the same periods in 2022 due to higher costs primarily associated with increased guest attendance.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Headquarters and Other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777"/>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3"/>
          </w:tcPr>
          <w:p>
            <w:pPr>
              <w:jc w:val="right"/>
              <w:ind w:right="837"/>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3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15"/>
                <w:szCs w:val="15"/>
                <w:color w:val="auto"/>
              </w:rPr>
            </w:pPr>
          </w:p>
        </w:tc>
      </w:tr>
      <w:tr>
        <w:trPr>
          <w:trHeight w:val="18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145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200" w:type="dxa"/>
            <w:vAlign w:val="bottom"/>
            <w:tcBorders>
              <w:bottom w:val="single" w:sz="8" w:color="auto"/>
            </w:tcBorders>
          </w:tcPr>
          <w:p>
            <w:pPr>
              <w:spacing w:after="0"/>
              <w:rPr>
                <w:sz w:val="19"/>
                <w:szCs w:val="19"/>
                <w:color w:val="auto"/>
              </w:rPr>
            </w:pPr>
          </w:p>
        </w:tc>
      </w:tr>
      <w:tr>
        <w:trPr>
          <w:trHeight w:val="228"/>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(137)</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(45.6)%</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(432)</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(329)</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(31.5)%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Headquarters and Other expenses include overhead, personnel costs and costs associated with corporate initiatives.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777"/>
              <w:spacing w:after="0"/>
              <w:rPr>
                <w:sz w:val="20"/>
                <w:szCs w:val="20"/>
                <w:color w:val="auto"/>
              </w:rPr>
            </w:pPr>
            <w:r>
              <w:rPr>
                <w:rFonts w:ascii="Arial" w:cs="Arial" w:eastAsia="Arial" w:hAnsi="Arial"/>
                <w:sz w:val="14"/>
                <w:szCs w:val="14"/>
                <w:color w:val="auto"/>
              </w:rPr>
              <w:t>Three Months Ended</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3"/>
          </w:tcPr>
          <w:p>
            <w:pPr>
              <w:ind w:left="400"/>
              <w:spacing w:after="0"/>
              <w:rPr>
                <w:sz w:val="20"/>
                <w:szCs w:val="20"/>
                <w:color w:val="auto"/>
              </w:rPr>
            </w:pPr>
            <w:r>
              <w:rPr>
                <w:rFonts w:ascii="Arial" w:cs="Arial" w:eastAsia="Arial" w:hAnsi="Arial"/>
                <w:sz w:val="14"/>
                <w:szCs w:val="14"/>
                <w:color w:val="auto"/>
              </w:rPr>
              <w:t>Six Months Ended</w:t>
            </w:r>
          </w:p>
        </w:tc>
        <w:tc>
          <w:tcPr>
            <w:tcW w:w="1120" w:type="dxa"/>
            <w:vAlign w:val="bottom"/>
          </w:tcPr>
          <w:p>
            <w:pPr>
              <w:spacing w:after="0"/>
              <w:rPr>
                <w:sz w:val="14"/>
                <w:szCs w:val="14"/>
                <w:color w:val="auto"/>
              </w:rPr>
            </w:pPr>
          </w:p>
        </w:tc>
      </w:tr>
      <w:tr>
        <w:trPr>
          <w:trHeight w:val="182"/>
        </w:trPr>
        <w:tc>
          <w:tcPr>
            <w:tcW w:w="3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Change</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85"/>
              </w:rPr>
              <w:t>Change</w:t>
            </w:r>
          </w:p>
        </w:tc>
      </w:tr>
      <w:tr>
        <w:trPr>
          <w:trHeight w:val="18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2022</w:t>
            </w: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w:t>
            </w:r>
          </w:p>
        </w:tc>
      </w:tr>
      <w:tr>
        <w:trPr>
          <w:trHeight w:val="222"/>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(664)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2"/>
              </w:rPr>
              <w:t>(1,448)</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(1,566)</w:t>
            </w:r>
          </w:p>
        </w:tc>
        <w:tc>
          <w:tcPr>
            <w:tcW w:w="112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5"/>
              </w:rPr>
              <w:t>(7.5)%</w:t>
            </w:r>
          </w:p>
        </w:tc>
      </w:tr>
      <w:tr>
        <w:trPr>
          <w:trHeight w:val="22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(688)</w:t>
            </w: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(0.1)</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w w:val="92"/>
              </w:rPr>
              <w:t>(1,528)</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(1,527)</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0.1</w:t>
            </w:r>
          </w:p>
        </w:tc>
      </w:tr>
      <w:tr>
        <w:trPr>
          <w:trHeight w:val="228"/>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b w:val="1"/>
                <w:bCs w:val="1"/>
                <w:color w:val="auto"/>
              </w:rPr>
              <w:t>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(141.8)%</w:t>
            </w:r>
          </w:p>
        </w:tc>
        <w:tc>
          <w:tcPr>
            <w:tcW w:w="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81</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(39)</w:t>
            </w:r>
          </w:p>
        </w:tc>
        <w:tc>
          <w:tcPr>
            <w:tcW w:w="11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NM</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Eliminations increase or decrease to the extent that additional content is made available to our other segments. Refer to Note 2 for additional information on transactions between our segments.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Other and Eliminations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Results of Operations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777"/>
              <w:spacing w:after="0"/>
              <w:rPr>
                <w:sz w:val="20"/>
                <w:szCs w:val="20"/>
                <w:color w:val="auto"/>
              </w:rPr>
            </w:pPr>
            <w:r>
              <w:rPr>
                <w:rFonts w:ascii="Arial" w:cs="Arial" w:eastAsia="Arial" w:hAnsi="Arial"/>
                <w:sz w:val="14"/>
                <w:szCs w:val="14"/>
                <w:color w:val="auto"/>
              </w:rPr>
              <w:t>Three Months Ended</w:t>
            </w:r>
          </w:p>
        </w:tc>
        <w:tc>
          <w:tcPr>
            <w:tcW w:w="940" w:type="dxa"/>
            <w:vAlign w:val="bottom"/>
            <w:vMerge w:val="restart"/>
          </w:tcPr>
          <w:p>
            <w:pPr>
              <w:jc w:val="right"/>
              <w:ind w:right="20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3"/>
          </w:tcPr>
          <w:p>
            <w:pPr>
              <w:jc w:val="right"/>
              <w:ind w:right="837"/>
              <w:spacing w:after="0"/>
              <w:rPr>
                <w:sz w:val="20"/>
                <w:szCs w:val="20"/>
                <w:color w:val="auto"/>
              </w:rPr>
            </w:pPr>
            <w:r>
              <w:rPr>
                <w:rFonts w:ascii="Arial" w:cs="Arial" w:eastAsia="Arial" w:hAnsi="Arial"/>
                <w:sz w:val="14"/>
                <w:szCs w:val="14"/>
                <w:color w:val="auto"/>
              </w:rPr>
              <w:t>Six Months Ended</w:t>
            </w:r>
          </w:p>
        </w:tc>
        <w:tc>
          <w:tcPr>
            <w:tcW w:w="960" w:type="dxa"/>
            <w:vAlign w:val="bottom"/>
            <w:vMerge w:val="restart"/>
          </w:tcPr>
          <w:p>
            <w:pPr>
              <w:jc w:val="right"/>
              <w:ind w:right="200"/>
              <w:spacing w:after="0"/>
              <w:rPr>
                <w:sz w:val="20"/>
                <w:szCs w:val="20"/>
                <w:color w:val="auto"/>
              </w:rPr>
            </w:pPr>
            <w:r>
              <w:rPr>
                <w:rFonts w:ascii="Arial" w:cs="Arial" w:eastAsia="Arial" w:hAnsi="Arial"/>
                <w:sz w:val="14"/>
                <w:szCs w:val="14"/>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center"/>
              <w:ind w:left="462"/>
              <w:spacing w:after="0"/>
              <w:rPr>
                <w:sz w:val="20"/>
                <w:szCs w:val="20"/>
                <w:color w:val="auto"/>
              </w:rPr>
            </w:pPr>
            <w:r>
              <w:rPr>
                <w:rFonts w:ascii="Arial" w:cs="Arial" w:eastAsia="Arial" w:hAnsi="Arial"/>
                <w:sz w:val="17"/>
                <w:szCs w:val="17"/>
                <w:color w:val="auto"/>
                <w:w w:val="91"/>
              </w:rPr>
              <w:t>654</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157"/>
              <w:spacing w:after="0"/>
              <w:rPr>
                <w:sz w:val="20"/>
                <w:szCs w:val="20"/>
                <w:color w:val="auto"/>
              </w:rPr>
            </w:pPr>
            <w:r>
              <w:rPr>
                <w:rFonts w:ascii="Arial" w:cs="Arial" w:eastAsia="Arial" w:hAnsi="Arial"/>
                <w:sz w:val="17"/>
                <w:szCs w:val="17"/>
                <w:color w:val="auto"/>
                <w:w w:val="91"/>
              </w:rPr>
              <w:t>617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1,330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62"/>
              <w:spacing w:after="0"/>
              <w:rPr>
                <w:sz w:val="20"/>
                <w:szCs w:val="20"/>
                <w:color w:val="auto"/>
              </w:rPr>
            </w:pPr>
            <w:r>
              <w:rPr>
                <w:rFonts w:ascii="Arial" w:cs="Arial" w:eastAsia="Arial" w:hAnsi="Arial"/>
                <w:sz w:val="17"/>
                <w:szCs w:val="17"/>
                <w:color w:val="auto"/>
                <w:w w:val="91"/>
              </w:rPr>
              <w:t>957</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157"/>
              <w:spacing w:after="0"/>
              <w:rPr>
                <w:sz w:val="20"/>
                <w:szCs w:val="20"/>
                <w:color w:val="auto"/>
              </w:rPr>
            </w:pPr>
            <w:r>
              <w:rPr>
                <w:rFonts w:ascii="Arial" w:cs="Arial" w:eastAsia="Arial" w:hAnsi="Arial"/>
                <w:sz w:val="17"/>
                <w:szCs w:val="17"/>
                <w:color w:val="auto"/>
                <w:w w:val="91"/>
              </w:rPr>
              <w:t>784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1,731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center"/>
              <w:ind w:left="422"/>
              <w:spacing w:after="0"/>
              <w:rPr>
                <w:sz w:val="20"/>
                <w:szCs w:val="20"/>
                <w:color w:val="auto"/>
              </w:rPr>
            </w:pPr>
            <w:r>
              <w:rPr>
                <w:rFonts w:ascii="Arial" w:cs="Arial" w:eastAsia="Arial" w:hAnsi="Arial"/>
                <w:sz w:val="17"/>
                <w:szCs w:val="17"/>
                <w:b w:val="1"/>
                <w:bCs w:val="1"/>
                <w:color w:val="auto"/>
                <w:w w:val="95"/>
              </w:rPr>
              <w:t>(303)</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center"/>
              <w:ind w:left="117"/>
              <w:spacing w:after="0"/>
              <w:rPr>
                <w:sz w:val="20"/>
                <w:szCs w:val="20"/>
                <w:color w:val="auto"/>
              </w:rPr>
            </w:pPr>
            <w:r>
              <w:rPr>
                <w:rFonts w:ascii="Arial" w:cs="Arial" w:eastAsia="Arial" w:hAnsi="Arial"/>
                <w:sz w:val="17"/>
                <w:szCs w:val="17"/>
                <w:b w:val="1"/>
                <w:bCs w:val="1"/>
                <w:color w:val="auto"/>
                <w:w w:val="95"/>
              </w:rPr>
              <w:t>(167)</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(81.4)%</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(591)</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(402)</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(47.3)%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Corporate and Other primarily includes overhead and personnel costs; Sky operations outside of the Connectivity &amp; Platforms markets; Comcast Spectacor, which owns the Philadelphia Flyers and the Wells Fargo Center arena in Philadelphia, Pennsylvania; and Xumo, our consolidated streaming platform joint venture beginning in June 2022.</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Corporate and Other costs and expenses increased for the three and six months ended June 30, 2023 compared to the same periods in 2022 primarily due to increased costs related to Xumo and increased costs related to our Sky operations outside of the Connectivity &amp; Platforms markets. We expect to continue to incur increased costs related to Xumo in 2023.</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777"/>
              <w:spacing w:after="0"/>
              <w:rPr>
                <w:sz w:val="20"/>
                <w:szCs w:val="20"/>
                <w:color w:val="auto"/>
              </w:rPr>
            </w:pPr>
            <w:r>
              <w:rPr>
                <w:rFonts w:ascii="Arial" w:cs="Arial" w:eastAsia="Arial" w:hAnsi="Arial"/>
                <w:sz w:val="14"/>
                <w:szCs w:val="14"/>
                <w:color w:val="auto"/>
              </w:rPr>
              <w:t>Three Months Ended</w:t>
            </w:r>
          </w:p>
        </w:tc>
        <w:tc>
          <w:tcPr>
            <w:tcW w:w="1180" w:type="dxa"/>
            <w:vAlign w:val="bottom"/>
            <w:vMerge w:val="restart"/>
          </w:tcPr>
          <w:p>
            <w:pPr>
              <w:jc w:val="center"/>
              <w:ind w:right="200"/>
              <w:spacing w:after="0"/>
              <w:rPr>
                <w:sz w:val="20"/>
                <w:szCs w:val="20"/>
                <w:color w:val="auto"/>
              </w:rPr>
            </w:pPr>
            <w:r>
              <w:rPr>
                <w:rFonts w:ascii="Arial" w:cs="Arial" w:eastAsia="Arial" w:hAnsi="Arial"/>
                <w:sz w:val="14"/>
                <w:szCs w:val="14"/>
                <w:color w:val="auto"/>
                <w:w w:val="85"/>
              </w:rPr>
              <w:t>Change</w:t>
            </w:r>
          </w:p>
        </w:tc>
        <w:tc>
          <w:tcPr>
            <w:tcW w:w="340" w:type="dxa"/>
            <w:vAlign w:val="bottom"/>
          </w:tcPr>
          <w:p>
            <w:pPr>
              <w:spacing w:after="0"/>
              <w:rPr>
                <w:sz w:val="14"/>
                <w:szCs w:val="14"/>
                <w:color w:val="auto"/>
              </w:rPr>
            </w:pPr>
          </w:p>
        </w:tc>
        <w:tc>
          <w:tcPr>
            <w:tcW w:w="2380" w:type="dxa"/>
            <w:vAlign w:val="bottom"/>
            <w:gridSpan w:val="3"/>
          </w:tcPr>
          <w:p>
            <w:pPr>
              <w:ind w:left="420"/>
              <w:spacing w:after="0"/>
              <w:rPr>
                <w:sz w:val="20"/>
                <w:szCs w:val="20"/>
                <w:color w:val="auto"/>
              </w:rPr>
            </w:pPr>
            <w:r>
              <w:rPr>
                <w:rFonts w:ascii="Arial" w:cs="Arial" w:eastAsia="Arial" w:hAnsi="Arial"/>
                <w:sz w:val="14"/>
                <w:szCs w:val="14"/>
                <w:color w:val="auto"/>
              </w:rPr>
              <w:t>Six Months Ended</w:t>
            </w:r>
          </w:p>
        </w:tc>
        <w:tc>
          <w:tcPr>
            <w:tcW w:w="1140" w:type="dxa"/>
            <w:vAlign w:val="bottom"/>
            <w:vMerge w:val="restart"/>
          </w:tcPr>
          <w:p>
            <w:pPr>
              <w:jc w:val="center"/>
              <w:ind w:right="120"/>
              <w:spacing w:after="0"/>
              <w:rPr>
                <w:sz w:val="20"/>
                <w:szCs w:val="20"/>
                <w:color w:val="auto"/>
              </w:rPr>
            </w:pPr>
            <w:r>
              <w:rPr>
                <w:rFonts w:ascii="Arial" w:cs="Arial" w:eastAsia="Arial" w:hAnsi="Arial"/>
                <w:sz w:val="14"/>
                <w:szCs w:val="14"/>
                <w:color w:val="auto"/>
                <w:w w:val="85"/>
              </w:rPr>
              <w:t>Change</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color w:val="auto"/>
              </w:rPr>
              <w:t>2022</w:t>
            </w: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2022</w:t>
            </w: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(1,389)</w:t>
            </w:r>
          </w:p>
        </w:tc>
        <w:tc>
          <w:tcPr>
            <w:tcW w:w="11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(1.2)%</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6"/>
              </w:rPr>
              <w:t>(2,799)</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(2,943)</w:t>
            </w:r>
          </w:p>
        </w:tc>
        <w:tc>
          <w:tcPr>
            <w:tcW w:w="11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5"/>
              </w:rPr>
              <w:t>(4.9)%</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(1,353)</w:t>
            </w: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2.5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w w:val="96"/>
              </w:rPr>
              <w:t>(2,816)</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(2,824)</w:t>
            </w: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(36)</w:t>
            </w:r>
          </w:p>
        </w:tc>
        <w:tc>
          <w:tcPr>
            <w:tcW w:w="11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b w:val="1"/>
                <w:bCs w:val="1"/>
                <w:color w:val="auto"/>
              </w:rPr>
              <w:t>NM</w:t>
            </w:r>
          </w:p>
        </w:tc>
        <w:tc>
          <w:tcPr>
            <w:tcW w:w="3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b w:val="1"/>
                <w:bCs w:val="1"/>
                <w:color w:val="auto"/>
              </w:rPr>
              <w:t>17</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(119)</w:t>
            </w:r>
          </w:p>
        </w:tc>
        <w:tc>
          <w:tcPr>
            <w:tcW w:w="11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NM</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Refer to Note 2 for additional information on transactions between our segments.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Adjusted EBITDA</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from Net Income Attributable to Comcast Corporation to Adjusted EBITDA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gridSpan w:val="2"/>
          </w:tcPr>
          <w:p>
            <w:pPr>
              <w:jc w:val="right"/>
              <w:ind w:right="339"/>
              <w:spacing w:after="0"/>
              <w:rPr>
                <w:sz w:val="20"/>
                <w:szCs w:val="20"/>
                <w:color w:val="auto"/>
              </w:rPr>
            </w:pPr>
            <w:r>
              <w:rPr>
                <w:rFonts w:ascii="Arial" w:cs="Arial" w:eastAsia="Arial" w:hAnsi="Arial"/>
                <w:sz w:val="14"/>
                <w:szCs w:val="14"/>
                <w:color w:val="auto"/>
                <w:w w:val="94"/>
              </w:rPr>
              <w:t>Three Months Ended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gridSpan w:val="2"/>
          </w:tcPr>
          <w:p>
            <w:pPr>
              <w:jc w:val="right"/>
              <w:ind w:right="699"/>
              <w:spacing w:after="0"/>
              <w:rPr>
                <w:sz w:val="20"/>
                <w:szCs w:val="20"/>
                <w:color w:val="auto"/>
              </w:rPr>
            </w:pPr>
            <w:r>
              <w:rPr>
                <w:rFonts w:ascii="Arial" w:cs="Arial" w:eastAsia="Arial" w:hAnsi="Arial"/>
                <w:sz w:val="14"/>
                <w:szCs w:val="14"/>
                <w:color w:val="auto"/>
              </w:rPr>
              <w:t>June 30,</w:t>
            </w: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293"/>
              <w:spacing w:after="0"/>
              <w:rPr>
                <w:sz w:val="20"/>
                <w:szCs w:val="20"/>
                <w:color w:val="auto"/>
              </w:rPr>
            </w:pPr>
            <w:r>
              <w:rPr>
                <w:rFonts w:ascii="Arial" w:cs="Arial" w:eastAsia="Arial" w:hAnsi="Arial"/>
                <w:sz w:val="14"/>
                <w:szCs w:val="14"/>
                <w:color w:val="auto"/>
              </w:rPr>
              <w:t>June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9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attributable to Comcast Corporation</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b w:val="1"/>
                <w:bCs w:val="1"/>
                <w:color w:val="auto"/>
                <w:w w:val="84"/>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4,248</w:t>
            </w:r>
          </w:p>
        </w:tc>
        <w:tc>
          <w:tcPr>
            <w:tcW w:w="1020" w:type="dxa"/>
            <w:vAlign w:val="bottom"/>
            <w:shd w:val="clear" w:color="auto" w:fill="CCEEFF"/>
          </w:tcPr>
          <w:p>
            <w:pPr>
              <w:jc w:val="right"/>
              <w:ind w:right="719"/>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98"/>
              </w:rPr>
              <w:t>3,396</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8,082</w:t>
            </w:r>
          </w:p>
        </w:tc>
        <w:tc>
          <w:tcPr>
            <w:tcW w:w="62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6,945</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86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(59)</w:t>
            </w:r>
          </w:p>
        </w:tc>
        <w:tc>
          <w:tcPr>
            <w:tcW w:w="10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7"/>
                <w:szCs w:val="17"/>
                <w:color w:val="auto"/>
              </w:rPr>
              <w:t>(155)</w:t>
            </w:r>
          </w:p>
        </w:tc>
        <w:tc>
          <w:tcPr>
            <w:tcW w:w="4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7"/>
                <w:szCs w:val="17"/>
                <w:color w:val="auto"/>
              </w:rPr>
              <w:t>(126)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1,537</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98"/>
              </w:rPr>
              <w:t>1,261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3,013</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8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Arial" w:cs="Arial" w:eastAsia="Arial" w:hAnsi="Arial"/>
                <w:sz w:val="17"/>
                <w:szCs w:val="17"/>
                <w:color w:val="auto"/>
              </w:rPr>
              <w:t>998</w:t>
            </w:r>
          </w:p>
        </w:tc>
        <w:tc>
          <w:tcPr>
            <w:tcW w:w="1020" w:type="dxa"/>
            <w:vAlign w:val="bottom"/>
          </w:tcPr>
          <w:p>
            <w:pPr>
              <w:spacing w:after="0"/>
              <w:rPr>
                <w:sz w:val="19"/>
                <w:szCs w:val="19"/>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968</w:t>
            </w:r>
          </w:p>
        </w:tc>
        <w:tc>
          <w:tcPr>
            <w:tcW w:w="4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2,007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1,962</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and other (income) loss, net</w:t>
            </w:r>
          </w:p>
        </w:tc>
        <w:tc>
          <w:tcPr>
            <w:tcW w:w="8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897</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(622)</w:t>
            </w: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86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Arial" w:cs="Arial" w:eastAsia="Arial" w:hAnsi="Arial"/>
                <w:sz w:val="17"/>
                <w:szCs w:val="17"/>
                <w:color w:val="auto"/>
              </w:rPr>
              <w:t>2,195</w:t>
            </w:r>
          </w:p>
        </w:tc>
        <w:tc>
          <w:tcPr>
            <w:tcW w:w="1020" w:type="dxa"/>
            <w:vAlign w:val="bottom"/>
          </w:tcPr>
          <w:p>
            <w:pPr>
              <w:spacing w:after="0"/>
              <w:rPr>
                <w:sz w:val="19"/>
                <w:szCs w:val="19"/>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w w:val="98"/>
              </w:rPr>
              <w:t>2,162</w:t>
            </w:r>
          </w:p>
        </w:tc>
        <w:tc>
          <w:tcPr>
            <w:tcW w:w="4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7"/>
                <w:szCs w:val="17"/>
                <w:color w:val="auto"/>
              </w:rPr>
              <w:t>4,459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4,375</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1,343</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98"/>
              </w:rPr>
              <w:t>1,306</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2,856</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2,641</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7"/>
                <w:szCs w:val="17"/>
                <w:color w:val="auto"/>
              </w:rPr>
              <w:t>Adjustments</w:t>
            </w:r>
            <w:r>
              <w:rPr>
                <w:rFonts w:ascii="Arial" w:cs="Arial" w:eastAsia="Arial" w:hAnsi="Arial"/>
                <w:sz w:val="22"/>
                <w:szCs w:val="22"/>
                <w:color w:val="auto"/>
                <w:vertAlign w:val="superscript"/>
              </w:rPr>
              <w:t>(a)</w:t>
            </w: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(9)</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5"/>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92"/>
              </w:rPr>
              <w:t>10,244</w:t>
            </w:r>
          </w:p>
        </w:tc>
        <w:tc>
          <w:tcPr>
            <w:tcW w:w="10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98"/>
              </w:rPr>
              <w:t>9,827</w:t>
            </w:r>
          </w:p>
        </w:tc>
        <w:tc>
          <w:tcPr>
            <w:tcW w:w="4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rPr>
              <w:t>19,659</w:t>
            </w:r>
          </w:p>
        </w:tc>
        <w:tc>
          <w:tcPr>
            <w:tcW w:w="6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18,977</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 Amounts represent the impact of certain events, gains, losses or other charges that are excluded from Adjusted EBITDA, including costs related to our investment portfolio.</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Constant Currency</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w:t>
      </w:r>
    </w:p>
    <w:p>
      <w:pPr>
        <w:spacing w:after="0" w:line="7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Connectivity &amp; Platforms Constant Currency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center"/>
              <w:ind w:left="195"/>
              <w:spacing w:after="0"/>
              <w:rPr>
                <w:sz w:val="20"/>
                <w:szCs w:val="20"/>
                <w:color w:val="auto"/>
              </w:rPr>
            </w:pPr>
            <w:r>
              <w:rPr>
                <w:rFonts w:ascii="Arial" w:cs="Arial" w:eastAsia="Arial" w:hAnsi="Arial"/>
                <w:sz w:val="14"/>
                <w:szCs w:val="14"/>
                <w:color w:val="auto"/>
                <w:w w:val="89"/>
              </w:rPr>
              <w:t>Three Months Ended June 30, 2022</w:t>
            </w: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center"/>
              <w:ind w:left="577"/>
              <w:spacing w:after="0"/>
              <w:rPr>
                <w:sz w:val="20"/>
                <w:szCs w:val="20"/>
                <w:color w:val="auto"/>
              </w:rPr>
            </w:pPr>
            <w:r>
              <w:rPr>
                <w:rFonts w:ascii="Arial" w:cs="Arial" w:eastAsia="Arial" w:hAnsi="Arial"/>
                <w:sz w:val="14"/>
                <w:szCs w:val="14"/>
                <w:color w:val="auto"/>
                <w:w w:val="89"/>
              </w:rPr>
              <w:t>Six Months Ended June 30, 2022</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jc w:val="center"/>
              <w:ind w:left="139"/>
              <w:spacing w:after="0" w:line="137" w:lineRule="exact"/>
              <w:rPr>
                <w:sz w:val="20"/>
                <w:szCs w:val="20"/>
                <w:color w:val="auto"/>
              </w:rPr>
            </w:pPr>
            <w:r>
              <w:rPr>
                <w:rFonts w:ascii="Arial" w:cs="Arial" w:eastAsia="Arial" w:hAnsi="Arial"/>
                <w:sz w:val="14"/>
                <w:szCs w:val="14"/>
                <w:color w:val="auto"/>
                <w:w w:val="91"/>
              </w:rPr>
              <w:t>Effects of Foreign</w:t>
            </w:r>
          </w:p>
        </w:tc>
        <w:tc>
          <w:tcPr>
            <w:tcW w:w="1460" w:type="dxa"/>
            <w:vAlign w:val="bottom"/>
            <w:gridSpan w:val="3"/>
          </w:tcPr>
          <w:p>
            <w:pPr>
              <w:jc w:val="right"/>
              <w:ind w:right="155"/>
              <w:spacing w:after="0" w:line="137" w:lineRule="exact"/>
              <w:rPr>
                <w:sz w:val="20"/>
                <w:szCs w:val="20"/>
                <w:color w:val="auto"/>
              </w:rPr>
            </w:pPr>
            <w:r>
              <w:rPr>
                <w:rFonts w:ascii="Arial" w:cs="Arial" w:eastAsia="Arial" w:hAnsi="Arial"/>
                <w:sz w:val="14"/>
                <w:szCs w:val="14"/>
                <w:color w:val="auto"/>
              </w:rPr>
              <w:t>Constant Currency</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1"/>
              </w:rPr>
              <w:t>Effects of Foreign</w:t>
            </w:r>
          </w:p>
        </w:tc>
        <w:tc>
          <w:tcPr>
            <w:tcW w:w="100" w:type="dxa"/>
            <w:vAlign w:val="bottom"/>
          </w:tcPr>
          <w:p>
            <w:pPr>
              <w:spacing w:after="0"/>
              <w:rPr>
                <w:sz w:val="11"/>
                <w:szCs w:val="11"/>
                <w:color w:val="auto"/>
              </w:rPr>
            </w:pPr>
          </w:p>
        </w:tc>
        <w:tc>
          <w:tcPr>
            <w:tcW w:w="1240" w:type="dxa"/>
            <w:vAlign w:val="bottom"/>
            <w:gridSpan w:val="2"/>
          </w:tcPr>
          <w:p>
            <w:pPr>
              <w:jc w:val="right"/>
              <w:ind w:right="55"/>
              <w:spacing w:after="0" w:line="137" w:lineRule="exact"/>
              <w:rPr>
                <w:sz w:val="20"/>
                <w:szCs w:val="20"/>
                <w:color w:val="auto"/>
              </w:rPr>
            </w:pPr>
            <w:r>
              <w:rPr>
                <w:rFonts w:ascii="Arial" w:cs="Arial" w:eastAsia="Arial" w:hAnsi="Arial"/>
                <w:sz w:val="14"/>
                <w:szCs w:val="14"/>
                <w:color w:val="auto"/>
                <w:w w:val="92"/>
              </w:rPr>
              <w:t>Constant Currency</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w w:val="95"/>
              </w:rPr>
              <w:t>As Reported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198"/>
              <w:spacing w:after="0"/>
              <w:rPr>
                <w:sz w:val="20"/>
                <w:szCs w:val="20"/>
                <w:color w:val="auto"/>
              </w:rPr>
            </w:pPr>
            <w:r>
              <w:rPr>
                <w:rFonts w:ascii="Arial" w:cs="Arial" w:eastAsia="Arial" w:hAnsi="Arial"/>
                <w:sz w:val="14"/>
                <w:szCs w:val="14"/>
                <w:color w:val="auto"/>
                <w:w w:val="91"/>
              </w:rPr>
              <w:t>Currency</w:t>
            </w:r>
          </w:p>
        </w:tc>
        <w:tc>
          <w:tcPr>
            <w:tcW w:w="220" w:type="dxa"/>
            <w:vAlign w:val="bottom"/>
          </w:tcPr>
          <w:p>
            <w:pPr>
              <w:spacing w:after="0"/>
              <w:rPr>
                <w:sz w:val="15"/>
                <w:szCs w:val="15"/>
                <w:color w:val="auto"/>
              </w:rPr>
            </w:pPr>
          </w:p>
        </w:tc>
        <w:tc>
          <w:tcPr>
            <w:tcW w:w="1240" w:type="dxa"/>
            <w:vAlign w:val="bottom"/>
            <w:gridSpan w:val="2"/>
          </w:tcPr>
          <w:p>
            <w:pPr>
              <w:jc w:val="right"/>
              <w:ind w:right="435"/>
              <w:spacing w:after="0"/>
              <w:rPr>
                <w:sz w:val="20"/>
                <w:szCs w:val="20"/>
                <w:color w:val="auto"/>
              </w:rPr>
            </w:pPr>
            <w:r>
              <w:rPr>
                <w:rFonts w:ascii="Arial" w:cs="Arial" w:eastAsia="Arial" w:hAnsi="Arial"/>
                <w:sz w:val="14"/>
                <w:szCs w:val="14"/>
                <w:color w:val="auto"/>
              </w:rPr>
              <w:t>Amounts</w:t>
            </w:r>
          </w:p>
        </w:tc>
        <w:tc>
          <w:tcPr>
            <w:tcW w:w="300" w:type="dxa"/>
            <w:vAlign w:val="bottom"/>
          </w:tcPr>
          <w:p>
            <w:pPr>
              <w:spacing w:after="0"/>
              <w:rPr>
                <w:sz w:val="15"/>
                <w:szCs w:val="15"/>
                <w:color w:val="auto"/>
              </w:rPr>
            </w:pPr>
          </w:p>
        </w:tc>
        <w:tc>
          <w:tcPr>
            <w:tcW w:w="1080" w:type="dxa"/>
            <w:vAlign w:val="bottom"/>
          </w:tcPr>
          <w:p>
            <w:pPr>
              <w:jc w:val="right"/>
              <w:ind w:right="257"/>
              <w:spacing w:after="0"/>
              <w:rPr>
                <w:sz w:val="20"/>
                <w:szCs w:val="20"/>
                <w:color w:val="auto"/>
              </w:rPr>
            </w:pPr>
            <w:r>
              <w:rPr>
                <w:rFonts w:ascii="Arial" w:cs="Arial" w:eastAsia="Arial" w:hAnsi="Arial"/>
                <w:sz w:val="14"/>
                <w:szCs w:val="14"/>
                <w:color w:val="auto"/>
                <w:w w:val="92"/>
              </w:rPr>
              <w:t>As Reported</w:t>
            </w:r>
          </w:p>
        </w:tc>
        <w:tc>
          <w:tcPr>
            <w:tcW w:w="140" w:type="dxa"/>
            <w:vAlign w:val="bottom"/>
          </w:tcPr>
          <w:p>
            <w:pPr>
              <w:spacing w:after="0"/>
              <w:rPr>
                <w:sz w:val="15"/>
                <w:szCs w:val="15"/>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color w:val="auto"/>
                <w:w w:val="91"/>
              </w:rPr>
              <w:t>Currency</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color w:val="auto"/>
                <w:w w:val="90"/>
              </w:rPr>
              <w:t>Amounts</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color w:val="auto"/>
              </w:rPr>
              <w:t>Residential Connectivity &amp; Platforms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18,131</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ind w:right="235"/>
              <w:spacing w:after="0"/>
              <w:rPr>
                <w:sz w:val="20"/>
                <w:szCs w:val="20"/>
                <w:color w:val="auto"/>
              </w:rPr>
            </w:pPr>
            <w:r>
              <w:rPr>
                <w:rFonts w:ascii="Arial" w:cs="Arial" w:eastAsia="Arial" w:hAnsi="Arial"/>
                <w:sz w:val="17"/>
                <w:szCs w:val="17"/>
                <w:color w:val="auto"/>
                <w:w w:val="96"/>
              </w:rPr>
              <w:t>18,162</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7"/>
              <w:spacing w:after="0"/>
              <w:rPr>
                <w:sz w:val="20"/>
                <w:szCs w:val="20"/>
                <w:color w:val="auto"/>
              </w:rPr>
            </w:pPr>
            <w:r>
              <w:rPr>
                <w:rFonts w:ascii="Arial" w:cs="Arial" w:eastAsia="Arial" w:hAnsi="Arial"/>
                <w:sz w:val="17"/>
                <w:szCs w:val="17"/>
                <w:color w:val="auto"/>
              </w:rPr>
              <w:t>36,472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36,154</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2,203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4,375</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4,374</w:t>
            </w:r>
          </w:p>
        </w:tc>
        <w:tc>
          <w:tcPr>
            <w:tcW w:w="0" w:type="dxa"/>
            <w:vAlign w:val="bottom"/>
          </w:tcPr>
          <w:p>
            <w:pPr>
              <w:spacing w:after="0"/>
              <w:rPr>
                <w:sz w:val="1"/>
                <w:szCs w:val="1"/>
                <w:color w:val="auto"/>
              </w:rPr>
            </w:pPr>
          </w:p>
        </w:tc>
      </w:tr>
      <w:tr>
        <w:trPr>
          <w:trHeight w:val="222"/>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Connectivity &amp; Platforms revenue</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20,335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6"/>
              </w:rPr>
              <w:t>20,365</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40,846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40,528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7"/>
                <w:szCs w:val="17"/>
                <w:color w:val="auto"/>
              </w:rPr>
              <w:t>Residential Connectivity &amp; Platforms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6,733</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ind w:right="235"/>
              <w:spacing w:after="0"/>
              <w:rPr>
                <w:sz w:val="20"/>
                <w:szCs w:val="20"/>
                <w:color w:val="auto"/>
              </w:rPr>
            </w:pPr>
            <w:r>
              <w:rPr>
                <w:rFonts w:ascii="Arial" w:cs="Arial" w:eastAsia="Arial" w:hAnsi="Arial"/>
                <w:sz w:val="17"/>
                <w:szCs w:val="17"/>
                <w:color w:val="auto"/>
              </w:rPr>
              <w:t>6,736</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7"/>
              <w:spacing w:after="0"/>
              <w:rPr>
                <w:sz w:val="20"/>
                <w:szCs w:val="20"/>
                <w:color w:val="auto"/>
              </w:rPr>
            </w:pPr>
            <w:r>
              <w:rPr>
                <w:rFonts w:ascii="Arial" w:cs="Arial" w:eastAsia="Arial" w:hAnsi="Arial"/>
                <w:sz w:val="17"/>
                <w:szCs w:val="17"/>
                <w:color w:val="auto"/>
              </w:rPr>
              <w:t>13,344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13,288</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1,262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2,496</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2,496</w:t>
            </w:r>
          </w:p>
        </w:tc>
        <w:tc>
          <w:tcPr>
            <w:tcW w:w="0" w:type="dxa"/>
            <w:vAlign w:val="bottom"/>
          </w:tcPr>
          <w:p>
            <w:pPr>
              <w:spacing w:after="0"/>
              <w:rPr>
                <w:sz w:val="1"/>
                <w:szCs w:val="1"/>
                <w:color w:val="auto"/>
              </w:rPr>
            </w:pPr>
          </w:p>
        </w:tc>
      </w:tr>
      <w:tr>
        <w:trPr>
          <w:trHeight w:val="163"/>
        </w:trPr>
        <w:tc>
          <w:tcPr>
            <w:tcW w:w="3360" w:type="dxa"/>
            <w:vAlign w:val="bottom"/>
          </w:tcPr>
          <w:p>
            <w:pPr>
              <w:ind w:left="20"/>
              <w:spacing w:after="0" w:line="163" w:lineRule="exact"/>
              <w:rPr>
                <w:sz w:val="20"/>
                <w:szCs w:val="20"/>
                <w:color w:val="auto"/>
              </w:rPr>
            </w:pPr>
            <w:r>
              <w:rPr>
                <w:rFonts w:ascii="Arial" w:cs="Arial" w:eastAsia="Arial" w:hAnsi="Arial"/>
                <w:sz w:val="17"/>
                <w:szCs w:val="17"/>
                <w:b w:val="1"/>
                <w:bCs w:val="1"/>
                <w:color w:val="auto"/>
              </w:rPr>
              <w:t>Total Connectivity &amp; Platforms Adjusted</w:t>
            </w:r>
          </w:p>
        </w:tc>
        <w:tc>
          <w:tcPr>
            <w:tcW w:w="26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7,995</w:t>
            </w:r>
          </w:p>
        </w:tc>
        <w:tc>
          <w:tcPr>
            <w:tcW w:w="3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w:t>
            </w:r>
          </w:p>
        </w:tc>
        <w:tc>
          <w:tcPr>
            <w:tcW w:w="2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4"/>
                <w:szCs w:val="14"/>
                <w:color w:val="auto"/>
              </w:rPr>
            </w:pPr>
          </w:p>
        </w:tc>
        <w:tc>
          <w:tcPr>
            <w:tcW w:w="840" w:type="dxa"/>
            <w:vAlign w:val="bottom"/>
            <w:vMerge w:val="restart"/>
          </w:tcPr>
          <w:p>
            <w:pPr>
              <w:jc w:val="right"/>
              <w:ind w:right="235"/>
              <w:spacing w:after="0"/>
              <w:rPr>
                <w:sz w:val="20"/>
                <w:szCs w:val="20"/>
                <w:color w:val="auto"/>
              </w:rPr>
            </w:pPr>
            <w:r>
              <w:rPr>
                <w:rFonts w:ascii="Arial" w:cs="Arial" w:eastAsia="Arial" w:hAnsi="Arial"/>
                <w:sz w:val="17"/>
                <w:szCs w:val="17"/>
                <w:b w:val="1"/>
                <w:bCs w:val="1"/>
                <w:color w:val="auto"/>
              </w:rPr>
              <w:t>7,998</w:t>
            </w:r>
          </w:p>
        </w:tc>
        <w:tc>
          <w:tcPr>
            <w:tcW w:w="30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ind w:right="157"/>
              <w:spacing w:after="0"/>
              <w:rPr>
                <w:sz w:val="20"/>
                <w:szCs w:val="20"/>
                <w:color w:val="auto"/>
              </w:rPr>
            </w:pPr>
            <w:r>
              <w:rPr>
                <w:rFonts w:ascii="Arial" w:cs="Arial" w:eastAsia="Arial" w:hAnsi="Arial"/>
                <w:sz w:val="17"/>
                <w:szCs w:val="17"/>
                <w:b w:val="1"/>
                <w:bCs w:val="1"/>
                <w:color w:val="auto"/>
              </w:rPr>
              <w:t>15,840</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(55)</w:t>
            </w:r>
          </w:p>
        </w:tc>
        <w:tc>
          <w:tcPr>
            <w:tcW w:w="1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300" w:type="dxa"/>
            <w:vAlign w:val="bottom"/>
          </w:tcPr>
          <w:p>
            <w:pPr>
              <w:spacing w:after="0"/>
              <w:rPr>
                <w:sz w:val="14"/>
                <w:szCs w:val="14"/>
                <w:color w:val="auto"/>
              </w:rPr>
            </w:pPr>
          </w:p>
        </w:tc>
        <w:tc>
          <w:tcPr>
            <w:tcW w:w="94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15,785</w:t>
            </w:r>
          </w:p>
        </w:tc>
        <w:tc>
          <w:tcPr>
            <w:tcW w:w="0" w:type="dxa"/>
            <w:vAlign w:val="bottom"/>
          </w:tcPr>
          <w:p>
            <w:pPr>
              <w:spacing w:after="0"/>
              <w:rPr>
                <w:sz w:val="1"/>
                <w:szCs w:val="1"/>
                <w:color w:val="auto"/>
              </w:rPr>
            </w:pPr>
          </w:p>
        </w:tc>
      </w:tr>
      <w:tr>
        <w:trPr>
          <w:trHeight w:val="231"/>
        </w:trPr>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EBITDA</w:t>
            </w:r>
          </w:p>
        </w:tc>
        <w:tc>
          <w:tcPr>
            <w:tcW w:w="2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 Margin</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7"/>
                <w:szCs w:val="17"/>
                <w:color w:val="auto"/>
              </w:rPr>
              <w:t>Residential Connectivity &amp; Platforms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37.1</w:t>
            </w:r>
          </w:p>
        </w:tc>
        <w:tc>
          <w:tcPr>
            <w:tcW w:w="36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80" w:type="dxa"/>
            <w:vAlign w:val="bottom"/>
          </w:tcPr>
          <w:p>
            <w:pPr>
              <w:ind w:left="540"/>
              <w:spacing w:after="0"/>
              <w:rPr>
                <w:sz w:val="20"/>
                <w:szCs w:val="20"/>
                <w:color w:val="auto"/>
              </w:rPr>
            </w:pPr>
            <w:r>
              <w:rPr>
                <w:rFonts w:ascii="Arial" w:cs="Arial" w:eastAsia="Arial" w:hAnsi="Arial"/>
                <w:sz w:val="17"/>
                <w:szCs w:val="17"/>
                <w:color w:val="auto"/>
                <w:w w:val="84"/>
              </w:rPr>
              <w:t>- bps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37.1 %</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36.6 %</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 bps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36.8 %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Business Services Connectivity</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84"/>
              </w:rPr>
              <w:t>- bps</w:t>
            </w: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57.3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57.1</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bps</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Total Connectivity &amp; Platforms Adjusted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79"/>
              <w:spacing w:after="0"/>
              <w:rPr>
                <w:sz w:val="20"/>
                <w:szCs w:val="20"/>
                <w:color w:val="auto"/>
              </w:rPr>
            </w:pPr>
            <w:r>
              <w:rPr>
                <w:rFonts w:ascii="Arial" w:cs="Arial" w:eastAsia="Arial" w:hAnsi="Arial"/>
                <w:sz w:val="17"/>
                <w:szCs w:val="17"/>
                <w:b w:val="1"/>
                <w:bCs w:val="1"/>
                <w:color w:val="auto"/>
              </w:rPr>
              <w:t>39.3 %</w:t>
            </w:r>
          </w:p>
        </w:tc>
        <w:tc>
          <w:tcPr>
            <w:tcW w:w="140" w:type="dxa"/>
            <w:vAlign w:val="bottom"/>
          </w:tcPr>
          <w:p>
            <w:pPr>
              <w:spacing w:after="0"/>
              <w:rPr>
                <w:sz w:val="14"/>
                <w:szCs w:val="14"/>
                <w:color w:val="auto"/>
              </w:rPr>
            </w:pPr>
          </w:p>
        </w:tc>
        <w:tc>
          <w:tcPr>
            <w:tcW w:w="880" w:type="dxa"/>
            <w:vAlign w:val="bottom"/>
            <w:vMerge w:val="restart"/>
          </w:tcPr>
          <w:p>
            <w:pPr>
              <w:ind w:left="520"/>
              <w:spacing w:after="0"/>
              <w:rPr>
                <w:sz w:val="20"/>
                <w:szCs w:val="20"/>
                <w:color w:val="auto"/>
              </w:rPr>
            </w:pPr>
            <w:r>
              <w:rPr>
                <w:rFonts w:ascii="Arial" w:cs="Arial" w:eastAsia="Arial" w:hAnsi="Arial"/>
                <w:sz w:val="17"/>
                <w:szCs w:val="17"/>
                <w:b w:val="1"/>
                <w:bCs w:val="1"/>
                <w:color w:val="auto"/>
                <w:w w:val="83"/>
              </w:rPr>
              <w:t>- bps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39.3 %</w:t>
            </w:r>
          </w:p>
        </w:tc>
        <w:tc>
          <w:tcPr>
            <w:tcW w:w="3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38.8 %</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 bps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38.9 %</w:t>
            </w:r>
          </w:p>
        </w:tc>
        <w:tc>
          <w:tcPr>
            <w:tcW w:w="0" w:type="dxa"/>
            <w:vAlign w:val="bottom"/>
          </w:tcPr>
          <w:p>
            <w:pPr>
              <w:spacing w:after="0"/>
              <w:rPr>
                <w:sz w:val="1"/>
                <w:szCs w:val="1"/>
                <w:color w:val="auto"/>
              </w:rPr>
            </w:pPr>
          </w:p>
        </w:tc>
      </w:tr>
      <w:tr>
        <w:trPr>
          <w:trHeight w:val="222"/>
        </w:trPr>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EBITDA margin</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color w:val="auto"/>
                <w:w w:val="88"/>
              </w:rPr>
              <w:t>Three Months Ended June 30, 2022</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left="717"/>
              <w:spacing w:after="0"/>
              <w:rPr>
                <w:sz w:val="20"/>
                <w:szCs w:val="20"/>
                <w:color w:val="auto"/>
              </w:rPr>
            </w:pPr>
            <w:r>
              <w:rPr>
                <w:rFonts w:ascii="Arial" w:cs="Arial" w:eastAsia="Arial" w:hAnsi="Arial"/>
                <w:sz w:val="14"/>
                <w:szCs w:val="14"/>
                <w:color w:val="auto"/>
                <w:w w:val="90"/>
              </w:rPr>
              <w:t>Six Months Ended June 30,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2"/>
              </w:rPr>
              <w:t>Effects of Foreign</w:t>
            </w: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32" w:lineRule="exact"/>
              <w:rPr>
                <w:sz w:val="20"/>
                <w:szCs w:val="20"/>
                <w:color w:val="auto"/>
              </w:rPr>
            </w:pPr>
            <w:r>
              <w:rPr>
                <w:rFonts w:ascii="Arial" w:cs="Arial" w:eastAsia="Arial" w:hAnsi="Arial"/>
                <w:sz w:val="14"/>
                <w:szCs w:val="14"/>
                <w:color w:val="auto"/>
                <w:w w:val="92"/>
              </w:rPr>
              <w:t>Effects of Foreign</w:t>
            </w:r>
          </w:p>
        </w:tc>
        <w:tc>
          <w:tcPr>
            <w:tcW w:w="100" w:type="dxa"/>
            <w:vAlign w:val="bottom"/>
          </w:tcPr>
          <w:p>
            <w:pPr>
              <w:spacing w:after="0"/>
              <w:rPr>
                <w:sz w:val="11"/>
                <w:szCs w:val="11"/>
                <w:color w:val="auto"/>
              </w:rPr>
            </w:pP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color w:val="auto"/>
                <w:w w:val="97"/>
              </w:rPr>
              <w:t>As Reported</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color w:val="auto"/>
                <w:w w:val="91"/>
              </w:rPr>
              <w:t>Currency</w:t>
            </w: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color w:val="auto"/>
                <w:w w:val="94"/>
              </w:rPr>
              <w:t>Amounts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As Reported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Currency</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color w:val="auto"/>
                <w:w w:val="94"/>
              </w:rPr>
              <w:t>Amounts</w:t>
            </w:r>
          </w:p>
        </w:tc>
        <w:tc>
          <w:tcPr>
            <w:tcW w:w="0" w:type="dxa"/>
            <w:vAlign w:val="bottom"/>
          </w:tcPr>
          <w:p>
            <w:pPr>
              <w:spacing w:after="0"/>
              <w:rPr>
                <w:sz w:val="1"/>
                <w:szCs w:val="1"/>
                <w:color w:val="auto"/>
              </w:rPr>
            </w:pPr>
          </w:p>
        </w:tc>
      </w:tr>
      <w:tr>
        <w:trPr>
          <w:trHeight w:val="182"/>
        </w:trPr>
        <w:tc>
          <w:tcPr>
            <w:tcW w:w="36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7"/>
                <w:szCs w:val="17"/>
                <w:color w:val="auto"/>
              </w:rPr>
              <w:t>Average monthly total Connectivity &amp; Platforms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revenue per customer relationship</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129.30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129.49</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128.95</w:t>
            </w:r>
          </w:p>
        </w:tc>
        <w:tc>
          <w:tcPr>
            <w:tcW w:w="0" w:type="dxa"/>
            <w:vAlign w:val="bottom"/>
          </w:tcPr>
          <w:p>
            <w:pPr>
              <w:spacing w:after="0"/>
              <w:rPr>
                <w:sz w:val="1"/>
                <w:szCs w:val="1"/>
                <w:color w:val="auto"/>
              </w:rPr>
            </w:pPr>
          </w:p>
        </w:tc>
      </w:tr>
      <w:tr>
        <w:trPr>
          <w:trHeight w:val="171"/>
        </w:trPr>
        <w:tc>
          <w:tcPr>
            <w:tcW w:w="3620" w:type="dxa"/>
            <w:vAlign w:val="bottom"/>
            <w:gridSpan w:val="2"/>
          </w:tcPr>
          <w:p>
            <w:pPr>
              <w:ind w:left="20"/>
              <w:spacing w:after="0" w:line="171" w:lineRule="exact"/>
              <w:rPr>
                <w:sz w:val="20"/>
                <w:szCs w:val="20"/>
                <w:color w:val="auto"/>
              </w:rPr>
            </w:pPr>
            <w:r>
              <w:rPr>
                <w:rFonts w:ascii="Arial" w:cs="Arial" w:eastAsia="Arial" w:hAnsi="Arial"/>
                <w:sz w:val="17"/>
                <w:szCs w:val="17"/>
                <w:color w:val="auto"/>
              </w:rPr>
              <w:t>Average monthly total Connectivity &amp; Platforms</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50.84</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0.02</w:t>
            </w:r>
          </w:p>
        </w:tc>
        <w:tc>
          <w:tcPr>
            <w:tcW w:w="400" w:type="dxa"/>
            <w:vAlign w:val="bottom"/>
            <w:vMerge w:val="restart"/>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50.86</w:t>
            </w: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50.40</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7"/>
                <w:szCs w:val="17"/>
                <w:color w:val="auto"/>
              </w:rPr>
              <w:t>(0.18)</w:t>
            </w:r>
          </w:p>
        </w:tc>
        <w:tc>
          <w:tcPr>
            <w:tcW w:w="300" w:type="dxa"/>
            <w:vAlign w:val="bottom"/>
            <w:vMerge w:val="restart"/>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22"/>
        </w:trPr>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w w:val="96"/>
              </w:rPr>
              <w:t>Adjusted EBITDA per customer relationship</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color w:val="auto"/>
                <w:w w:val="88"/>
              </w:rPr>
              <w:t>Three Months Ended June 30, 2022</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left="717"/>
              <w:spacing w:after="0"/>
              <w:rPr>
                <w:sz w:val="20"/>
                <w:szCs w:val="20"/>
                <w:color w:val="auto"/>
              </w:rPr>
            </w:pPr>
            <w:r>
              <w:rPr>
                <w:rFonts w:ascii="Arial" w:cs="Arial" w:eastAsia="Arial" w:hAnsi="Arial"/>
                <w:sz w:val="14"/>
                <w:szCs w:val="14"/>
                <w:color w:val="auto"/>
                <w:w w:val="90"/>
              </w:rPr>
              <w:t>Six Months Ended June 30,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2"/>
              </w:rPr>
              <w:t>Effects of Foreign</w:t>
            </w: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32" w:lineRule="exact"/>
              <w:rPr>
                <w:sz w:val="20"/>
                <w:szCs w:val="20"/>
                <w:color w:val="auto"/>
              </w:rPr>
            </w:pPr>
            <w:r>
              <w:rPr>
                <w:rFonts w:ascii="Arial" w:cs="Arial" w:eastAsia="Arial" w:hAnsi="Arial"/>
                <w:sz w:val="14"/>
                <w:szCs w:val="14"/>
                <w:color w:val="auto"/>
                <w:w w:val="92"/>
              </w:rPr>
              <w:t>Effects of Foreign</w:t>
            </w:r>
          </w:p>
        </w:tc>
        <w:tc>
          <w:tcPr>
            <w:tcW w:w="100" w:type="dxa"/>
            <w:vAlign w:val="bottom"/>
          </w:tcPr>
          <w:p>
            <w:pPr>
              <w:spacing w:after="0"/>
              <w:rPr>
                <w:sz w:val="11"/>
                <w:szCs w:val="11"/>
                <w:color w:val="auto"/>
              </w:rPr>
            </w:pPr>
          </w:p>
        </w:tc>
        <w:tc>
          <w:tcPr>
            <w:tcW w:w="12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89"/>
              </w:rPr>
              <w:t>Constant Currency</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color w:val="auto"/>
                <w:w w:val="97"/>
              </w:rPr>
              <w:t>As Reported</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color w:val="auto"/>
                <w:w w:val="91"/>
              </w:rPr>
              <w:t>Currency</w:t>
            </w: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color w:val="auto"/>
                <w:w w:val="94"/>
              </w:rPr>
              <w:t>Amounts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As Reported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Currency</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color w:val="auto"/>
                <w:w w:val="94"/>
              </w:rPr>
              <w:t>Amounts</w:t>
            </w: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180"/>
              <w:spacing w:after="0"/>
              <w:rPr>
                <w:sz w:val="20"/>
                <w:szCs w:val="20"/>
                <w:color w:val="auto"/>
              </w:rPr>
            </w:pPr>
            <w:r>
              <w:rPr>
                <w:rFonts w:ascii="Arial" w:cs="Arial" w:eastAsia="Arial" w:hAnsi="Arial"/>
                <w:sz w:val="17"/>
                <w:szCs w:val="17"/>
                <w:color w:val="auto"/>
              </w:rPr>
              <w:t>Programming</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4,679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84"/>
              </w:rPr>
              <w:t>11</w:t>
            </w:r>
          </w:p>
        </w:tc>
        <w:tc>
          <w:tcPr>
            <w:tcW w:w="400" w:type="dxa"/>
            <w:vAlign w:val="bottom"/>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4,690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9,563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9,471</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Technical and support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1,916</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7"/>
                <w:szCs w:val="17"/>
                <w:color w:val="auto"/>
              </w:rPr>
              <w:t>Direct product costs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1,329</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1,334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2,667</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2,605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Marketing and promotion</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w:t>
            </w:r>
          </w:p>
        </w:tc>
        <w:tc>
          <w:tcPr>
            <w:tcW w:w="0" w:type="dxa"/>
            <w:vAlign w:val="bottom"/>
          </w:tcPr>
          <w:p>
            <w:pPr>
              <w:spacing w:after="0"/>
              <w:rPr>
                <w:sz w:val="1"/>
                <w:szCs w:val="1"/>
                <w:color w:val="auto"/>
              </w:rPr>
            </w:pPr>
          </w:p>
        </w:tc>
      </w:tr>
      <w:tr>
        <w:trPr>
          <w:trHeight w:val="222"/>
        </w:trPr>
        <w:tc>
          <w:tcPr>
            <w:tcW w:w="3360" w:type="dxa"/>
            <w:vAlign w:val="bottom"/>
          </w:tcPr>
          <w:p>
            <w:pPr>
              <w:ind w:left="180"/>
              <w:spacing w:after="0"/>
              <w:rPr>
                <w:sz w:val="20"/>
                <w:szCs w:val="20"/>
                <w:color w:val="auto"/>
              </w:rPr>
            </w:pPr>
            <w:r>
              <w:rPr>
                <w:rFonts w:ascii="Arial" w:cs="Arial" w:eastAsia="Arial" w:hAnsi="Arial"/>
                <w:sz w:val="17"/>
                <w:szCs w:val="17"/>
                <w:color w:val="auto"/>
              </w:rPr>
              <w:t>Customer service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8"/>
              </w:rPr>
              <w:t>720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1,455</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1,443</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2,399</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2,404</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4,829</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4,780</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line="170" w:lineRule="exact"/>
              <w:rPr>
                <w:sz w:val="20"/>
                <w:szCs w:val="20"/>
                <w:color w:val="auto"/>
              </w:rPr>
            </w:pPr>
            <w:r>
              <w:rPr>
                <w:rFonts w:ascii="Arial" w:cs="Arial" w:eastAsia="Arial" w:hAnsi="Arial"/>
                <w:sz w:val="17"/>
                <w:szCs w:val="17"/>
                <w:b w:val="1"/>
                <w:bCs w:val="1"/>
                <w:color w:val="auto"/>
              </w:rPr>
              <w:t>Total Connectivity &amp; Platforms costs and</w:t>
            </w:r>
          </w:p>
        </w:tc>
        <w:tc>
          <w:tcPr>
            <w:tcW w:w="2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12,339</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28</w:t>
            </w:r>
          </w:p>
        </w:tc>
        <w:tc>
          <w:tcPr>
            <w:tcW w:w="40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12,367</w:t>
            </w:r>
          </w:p>
        </w:tc>
        <w:tc>
          <w:tcPr>
            <w:tcW w:w="3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25,007</w:t>
            </w: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(263)</w:t>
            </w:r>
          </w:p>
        </w:tc>
        <w:tc>
          <w:tcPr>
            <w:tcW w:w="300" w:type="dxa"/>
            <w:vAlign w:val="bottom"/>
            <w:vMerge w:val="restart"/>
          </w:tcPr>
          <w:p>
            <w:pPr>
              <w:jc w:val="right"/>
              <w:ind w:right="120"/>
              <w:spacing w:after="0"/>
              <w:rPr>
                <w:sz w:val="20"/>
                <w:szCs w:val="20"/>
                <w:color w:val="auto"/>
              </w:rPr>
            </w:pPr>
            <w:r>
              <w:rPr>
                <w:rFonts w:ascii="Arial" w:cs="Arial" w:eastAsia="Arial" w:hAnsi="Arial"/>
                <w:sz w:val="17"/>
                <w:szCs w:val="17"/>
                <w:b w:val="1"/>
                <w:bCs w:val="1"/>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24,744</w:t>
            </w:r>
          </w:p>
        </w:tc>
        <w:tc>
          <w:tcPr>
            <w:tcW w:w="0" w:type="dxa"/>
            <w:vAlign w:val="bottom"/>
          </w:tcPr>
          <w:p>
            <w:pPr>
              <w:spacing w:after="0"/>
              <w:rPr>
                <w:sz w:val="1"/>
                <w:szCs w:val="1"/>
                <w:color w:val="auto"/>
              </w:rPr>
            </w:pPr>
          </w:p>
        </w:tc>
      </w:tr>
      <w:tr>
        <w:trPr>
          <w:trHeight w:val="222"/>
        </w:trPr>
        <w:tc>
          <w:tcPr>
            <w:tcW w:w="33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expenses</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2"/>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540"/>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Residential Connectivity &amp; Platforms Constant Currency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center"/>
              <w:ind w:left="595"/>
              <w:spacing w:after="0"/>
              <w:rPr>
                <w:sz w:val="20"/>
                <w:szCs w:val="20"/>
                <w:color w:val="auto"/>
              </w:rPr>
            </w:pPr>
            <w:r>
              <w:rPr>
                <w:rFonts w:ascii="Arial" w:cs="Arial" w:eastAsia="Arial" w:hAnsi="Arial"/>
                <w:sz w:val="14"/>
                <w:szCs w:val="14"/>
                <w:color w:val="auto"/>
                <w:w w:val="89"/>
              </w:rPr>
              <w:t>Three Months Ended June 30, 2022</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center"/>
              <w:ind w:left="655"/>
              <w:spacing w:after="0"/>
              <w:rPr>
                <w:sz w:val="20"/>
                <w:szCs w:val="20"/>
                <w:color w:val="auto"/>
              </w:rPr>
            </w:pPr>
            <w:r>
              <w:rPr>
                <w:rFonts w:ascii="Arial" w:cs="Arial" w:eastAsia="Arial" w:hAnsi="Arial"/>
                <w:sz w:val="14"/>
                <w:szCs w:val="14"/>
                <w:color w:val="auto"/>
                <w:w w:val="90"/>
              </w:rPr>
              <w:t>Six Months Ended June 30, 2022</w:t>
            </w:r>
          </w:p>
        </w:tc>
        <w:tc>
          <w:tcPr>
            <w:tcW w:w="920" w:type="dxa"/>
            <w:vAlign w:val="bottom"/>
            <w:tcBorders>
              <w:bottom w:val="single" w:sz="8" w:color="auto"/>
            </w:tcBorders>
          </w:tcPr>
          <w:p>
            <w:pPr>
              <w:spacing w:after="0"/>
              <w:rPr>
                <w:sz w:val="15"/>
                <w:szCs w:val="15"/>
                <w:color w:val="auto"/>
              </w:rPr>
            </w:pPr>
          </w:p>
        </w:tc>
      </w:tr>
      <w:tr>
        <w:trPr>
          <w:trHeight w:val="137"/>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Arial" w:cs="Arial" w:eastAsia="Arial" w:hAnsi="Arial"/>
                <w:sz w:val="14"/>
                <w:szCs w:val="14"/>
                <w:color w:val="auto"/>
                <w:w w:val="92"/>
              </w:rPr>
              <w:t>Effects of Foreign</w:t>
            </w:r>
          </w:p>
        </w:tc>
        <w:tc>
          <w:tcPr>
            <w:tcW w:w="1320" w:type="dxa"/>
            <w:vAlign w:val="bottom"/>
            <w:gridSpan w:val="2"/>
          </w:tcPr>
          <w:p>
            <w:pPr>
              <w:jc w:val="right"/>
              <w:ind w:right="54"/>
              <w:spacing w:after="0" w:line="137" w:lineRule="exact"/>
              <w:rPr>
                <w:sz w:val="20"/>
                <w:szCs w:val="20"/>
                <w:color w:val="auto"/>
              </w:rPr>
            </w:pPr>
            <w:r>
              <w:rPr>
                <w:rFonts w:ascii="Arial" w:cs="Arial" w:eastAsia="Arial" w:hAnsi="Arial"/>
                <w:sz w:val="14"/>
                <w:szCs w:val="14"/>
                <w:color w:val="auto"/>
                <w:w w:val="99"/>
              </w:rPr>
              <w:t>Constant Currency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5"/>
              <w:spacing w:after="0" w:line="137" w:lineRule="exact"/>
              <w:rPr>
                <w:sz w:val="20"/>
                <w:szCs w:val="20"/>
                <w:color w:val="auto"/>
              </w:rPr>
            </w:pPr>
            <w:r>
              <w:rPr>
                <w:rFonts w:ascii="Arial" w:cs="Arial" w:eastAsia="Arial" w:hAnsi="Arial"/>
                <w:sz w:val="14"/>
                <w:szCs w:val="14"/>
                <w:color w:val="auto"/>
                <w:w w:val="92"/>
              </w:rPr>
              <w:t>Effects of Foreign</w:t>
            </w:r>
          </w:p>
        </w:tc>
        <w:tc>
          <w:tcPr>
            <w:tcW w:w="1260" w:type="dxa"/>
            <w:vAlign w:val="bottom"/>
            <w:gridSpan w:val="2"/>
          </w:tcPr>
          <w:p>
            <w:pPr>
              <w:jc w:val="right"/>
              <w:ind w:right="14"/>
              <w:spacing w:after="0" w:line="137" w:lineRule="exact"/>
              <w:rPr>
                <w:sz w:val="20"/>
                <w:szCs w:val="20"/>
                <w:color w:val="auto"/>
              </w:rPr>
            </w:pPr>
            <w:r>
              <w:rPr>
                <w:rFonts w:ascii="Arial" w:cs="Arial" w:eastAsia="Arial" w:hAnsi="Arial"/>
                <w:sz w:val="14"/>
                <w:szCs w:val="14"/>
                <w:color w:val="auto"/>
                <w:w w:val="97"/>
              </w:rPr>
              <w:t>Constant Currency</w:t>
            </w:r>
          </w:p>
        </w:tc>
      </w:tr>
      <w:tr>
        <w:trPr>
          <w:trHeight w:val="178"/>
        </w:trPr>
        <w:tc>
          <w:tcPr>
            <w:tcW w:w="3620" w:type="dxa"/>
            <w:vAlign w:val="bottom"/>
          </w:tcPr>
          <w:p>
            <w:pPr>
              <w:ind w:left="20"/>
              <w:spacing w:after="0"/>
              <w:rPr>
                <w:sz w:val="20"/>
                <w:szCs w:val="20"/>
                <w:color w:val="auto"/>
              </w:rPr>
            </w:pPr>
            <w:r>
              <w:rPr>
                <w:rFonts w:ascii="Arial" w:cs="Arial" w:eastAsia="Arial" w:hAnsi="Arial"/>
                <w:sz w:val="14"/>
                <w:szCs w:val="14"/>
                <w:color w:val="auto"/>
              </w:rPr>
              <w:t>(in millions, except per customer data)</w:t>
            </w:r>
          </w:p>
        </w:tc>
        <w:tc>
          <w:tcPr>
            <w:tcW w:w="200" w:type="dxa"/>
            <w:vAlign w:val="bottom"/>
          </w:tcPr>
          <w:p>
            <w:pPr>
              <w:spacing w:after="0"/>
              <w:rPr>
                <w:sz w:val="15"/>
                <w:szCs w:val="15"/>
                <w:color w:val="auto"/>
              </w:rPr>
            </w:pPr>
          </w:p>
        </w:tc>
        <w:tc>
          <w:tcPr>
            <w:tcW w:w="1020" w:type="dxa"/>
            <w:vAlign w:val="bottom"/>
          </w:tcPr>
          <w:p>
            <w:pPr>
              <w:jc w:val="right"/>
              <w:ind w:right="155"/>
              <w:spacing w:after="0"/>
              <w:rPr>
                <w:sz w:val="20"/>
                <w:szCs w:val="20"/>
                <w:color w:val="auto"/>
              </w:rPr>
            </w:pPr>
            <w:r>
              <w:rPr>
                <w:rFonts w:ascii="Arial" w:cs="Arial" w:eastAsia="Arial" w:hAnsi="Arial"/>
                <w:sz w:val="14"/>
                <w:szCs w:val="14"/>
                <w:color w:val="auto"/>
                <w:w w:val="97"/>
              </w:rPr>
              <w:t>As Reported</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Currency</w:t>
            </w:r>
          </w:p>
        </w:tc>
        <w:tc>
          <w:tcPr>
            <w:tcW w:w="40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color w:val="auto"/>
                <w:w w:val="90"/>
              </w:rPr>
              <w:t>Amounts</w:t>
            </w:r>
          </w:p>
        </w:tc>
        <w:tc>
          <w:tcPr>
            <w:tcW w:w="260" w:type="dxa"/>
            <w:vAlign w:val="bottom"/>
          </w:tcPr>
          <w:p>
            <w:pPr>
              <w:spacing w:after="0"/>
              <w:rPr>
                <w:sz w:val="15"/>
                <w:szCs w:val="15"/>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color w:val="auto"/>
                <w:w w:val="97"/>
              </w:rPr>
              <w:t>As Reported</w:t>
            </w:r>
          </w:p>
        </w:tc>
        <w:tc>
          <w:tcPr>
            <w:tcW w:w="140" w:type="dxa"/>
            <w:vAlign w:val="bottom"/>
          </w:tcPr>
          <w:p>
            <w:pPr>
              <w:spacing w:after="0"/>
              <w:rPr>
                <w:sz w:val="15"/>
                <w:szCs w:val="15"/>
                <w:color w:val="auto"/>
              </w:rPr>
            </w:pPr>
          </w:p>
        </w:tc>
        <w:tc>
          <w:tcPr>
            <w:tcW w:w="1120" w:type="dxa"/>
            <w:vAlign w:val="bottom"/>
          </w:tcPr>
          <w:p>
            <w:pPr>
              <w:jc w:val="center"/>
              <w:ind w:right="35"/>
              <w:spacing w:after="0"/>
              <w:rPr>
                <w:sz w:val="20"/>
                <w:szCs w:val="20"/>
                <w:color w:val="auto"/>
              </w:rPr>
            </w:pPr>
            <w:r>
              <w:rPr>
                <w:rFonts w:ascii="Arial" w:cs="Arial" w:eastAsia="Arial" w:hAnsi="Arial"/>
                <w:sz w:val="14"/>
                <w:szCs w:val="14"/>
                <w:color w:val="auto"/>
                <w:w w:val="91"/>
              </w:rPr>
              <w:t>Currency</w:t>
            </w:r>
          </w:p>
        </w:tc>
        <w:tc>
          <w:tcPr>
            <w:tcW w:w="34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color w:val="auto"/>
                <w:w w:val="97"/>
              </w:rPr>
              <w:t>Amounts</w:t>
            </w:r>
          </w:p>
        </w:tc>
      </w:tr>
      <w:tr>
        <w:trPr>
          <w:trHeight w:val="23"/>
        </w:trPr>
        <w:tc>
          <w:tcPr>
            <w:tcW w:w="3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2"/>
        </w:trPr>
        <w:tc>
          <w:tcPr>
            <w:tcW w:w="3620" w:type="dxa"/>
            <w:vAlign w:val="bottom"/>
          </w:tcPr>
          <w:p>
            <w:pPr>
              <w:ind w:left="240"/>
              <w:spacing w:after="0"/>
              <w:rPr>
                <w:sz w:val="20"/>
                <w:szCs w:val="20"/>
                <w:color w:val="auto"/>
              </w:rPr>
            </w:pPr>
            <w:r>
              <w:rPr>
                <w:rFonts w:ascii="Arial" w:cs="Arial" w:eastAsia="Arial" w:hAnsi="Arial"/>
                <w:sz w:val="17"/>
                <w:szCs w:val="17"/>
                <w:color w:val="auto"/>
              </w:rPr>
              <w:t>Domestic broadband</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6,107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82"/>
              <w:spacing w:after="0"/>
              <w:rPr>
                <w:sz w:val="20"/>
                <w:szCs w:val="20"/>
                <w:color w:val="auto"/>
              </w:rPr>
            </w:pPr>
            <w:r>
              <w:rPr>
                <w:rFonts w:ascii="Arial" w:cs="Arial" w:eastAsia="Arial" w:hAnsi="Arial"/>
                <w:sz w:val="17"/>
                <w:szCs w:val="17"/>
                <w:color w:val="auto"/>
              </w:rPr>
              <w:t>— $</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6,107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12,158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42"/>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12,158</w:t>
            </w:r>
          </w:p>
        </w:tc>
      </w:tr>
      <w:tr>
        <w:trPr>
          <w:trHeight w:val="236"/>
        </w:trPr>
        <w:tc>
          <w:tcPr>
            <w:tcW w:w="3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Domestic wireless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722</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r>
      <w:tr>
        <w:trPr>
          <w:trHeight w:val="222"/>
        </w:trPr>
        <w:tc>
          <w:tcPr>
            <w:tcW w:w="36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International connectivity</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796</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1,558</w:t>
            </w:r>
          </w:p>
        </w:tc>
      </w:tr>
      <w:tr>
        <w:trPr>
          <w:trHeight w:val="216"/>
        </w:trPr>
        <w:tc>
          <w:tcPr>
            <w:tcW w:w="3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residential connectivity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7,625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15,114</w:t>
            </w:r>
          </w:p>
        </w:tc>
      </w:tr>
      <w:tr>
        <w:trPr>
          <w:trHeight w:val="229"/>
        </w:trPr>
        <w:tc>
          <w:tcPr>
            <w:tcW w:w="3620" w:type="dxa"/>
            <w:vAlign w:val="bottom"/>
          </w:tcPr>
          <w:p>
            <w:pPr>
              <w:ind w:left="140"/>
              <w:spacing w:after="0"/>
              <w:rPr>
                <w:sz w:val="20"/>
                <w:szCs w:val="20"/>
                <w:color w:val="auto"/>
              </w:rPr>
            </w:pPr>
            <w:r>
              <w:rPr>
                <w:rFonts w:ascii="Arial" w:cs="Arial" w:eastAsia="Arial" w:hAnsi="Arial"/>
                <w:sz w:val="17"/>
                <w:szCs w:val="17"/>
                <w:color w:val="auto"/>
              </w:rPr>
              <w:t>Video</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7,793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w:t>
            </w:r>
          </w:p>
        </w:tc>
        <w:tc>
          <w:tcPr>
            <w:tcW w:w="40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7,812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15,795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15,623</w:t>
            </w:r>
          </w:p>
        </w:tc>
      </w:tr>
      <w:tr>
        <w:trPr>
          <w:trHeight w:val="229"/>
        </w:trPr>
        <w:tc>
          <w:tcPr>
            <w:tcW w:w="3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Advertising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1,115</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w:t>
            </w:r>
          </w:p>
        </w:tc>
      </w:tr>
      <w:tr>
        <w:trPr>
          <w:trHeight w:val="222"/>
        </w:trPr>
        <w:tc>
          <w:tcPr>
            <w:tcW w:w="36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1,607</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1,610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3,305</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3,264</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18,131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18,162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36,472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36,154</w:t>
            </w:r>
          </w:p>
        </w:tc>
      </w:tr>
      <w:tr>
        <w:trPr>
          <w:trHeight w:val="222"/>
        </w:trPr>
        <w:tc>
          <w:tcPr>
            <w:tcW w:w="362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2"/>
        </w:trPr>
        <w:tc>
          <w:tcPr>
            <w:tcW w:w="3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Programming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4,690</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9,471</w:t>
            </w:r>
          </w:p>
        </w:tc>
      </w:tr>
      <w:tr>
        <w:trPr>
          <w:trHeight w:val="229"/>
        </w:trPr>
        <w:tc>
          <w:tcPr>
            <w:tcW w:w="36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6,720</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6,736</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13,565</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13,395</w:t>
            </w:r>
          </w:p>
        </w:tc>
      </w:tr>
      <w:tr>
        <w:trPr>
          <w:trHeight w:val="222"/>
        </w:trPr>
        <w:tc>
          <w:tcPr>
            <w:tcW w:w="3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11,426</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23,128</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22,866</w:t>
            </w:r>
          </w:p>
        </w:tc>
      </w:tr>
      <w:tr>
        <w:trPr>
          <w:trHeight w:val="21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400" w:type="dxa"/>
            <w:vAlign w:val="bottom"/>
            <w:tcBorders>
              <w:bottom w:val="single" w:sz="8" w:color="auto"/>
            </w:tcBorders>
          </w:tcPr>
          <w:p>
            <w:pPr>
              <w:jc w:val="right"/>
              <w:ind w:right="182"/>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6,736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Adjustments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3"/>
          </w:tcPr>
          <w:p>
            <w:pPr>
              <w:jc w:val="right"/>
              <w:ind w:right="99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8"/>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31"/>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14.4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2"/>
        </w:trPr>
        <w:tc>
          <w:tcPr>
            <w:tcW w:w="806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41"/>
              <w:spacing w:after="0"/>
              <w:rPr>
                <w:sz w:val="20"/>
                <w:szCs w:val="20"/>
                <w:color w:val="auto"/>
              </w:rPr>
            </w:pPr>
            <w:r>
              <w:rPr>
                <w:rFonts w:ascii="Arial" w:cs="Arial" w:eastAsia="Arial" w:hAnsi="Arial"/>
                <w:sz w:val="17"/>
                <w:szCs w:val="17"/>
                <w:color w:val="auto"/>
              </w:rPr>
              <w:t>(7.5)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2"/>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used in financing activities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493"/>
        </w:trPr>
        <w:tc>
          <w:tcPr>
            <w:tcW w:w="806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220" w:type="dxa"/>
            <w:vAlign w:val="bottom"/>
          </w:tcPr>
          <w:p>
            <w:pPr>
              <w:spacing w:after="0"/>
              <w:rPr>
                <w:sz w:val="24"/>
                <w:szCs w:val="24"/>
                <w:color w:val="auto"/>
              </w:rPr>
            </w:pPr>
          </w:p>
        </w:tc>
        <w:tc>
          <w:tcPr>
            <w:tcW w:w="1360" w:type="dxa"/>
            <w:vAlign w:val="bottom"/>
          </w:tcPr>
          <w:p>
            <w:pPr>
              <w:jc w:val="right"/>
              <w:ind w:right="381"/>
              <w:spacing w:after="0"/>
              <w:rPr>
                <w:sz w:val="20"/>
                <w:szCs w:val="20"/>
                <w:color w:val="auto"/>
              </w:rPr>
            </w:pPr>
            <w:r>
              <w:rPr>
                <w:rFonts w:ascii="Arial" w:cs="Arial" w:eastAsia="Arial" w:hAnsi="Arial"/>
                <w:sz w:val="14"/>
                <w:szCs w:val="14"/>
                <w:color w:val="auto"/>
                <w:w w:val="99"/>
              </w:rPr>
              <w:t>June 30, 2023</w:t>
            </w:r>
          </w:p>
        </w:tc>
        <w:tc>
          <w:tcPr>
            <w:tcW w:w="260" w:type="dxa"/>
            <w:vAlign w:val="bottom"/>
          </w:tcPr>
          <w:p>
            <w:pPr>
              <w:spacing w:after="0"/>
              <w:rPr>
                <w:sz w:val="24"/>
                <w:szCs w:val="24"/>
                <w:color w:val="auto"/>
              </w:rPr>
            </w:pPr>
          </w:p>
        </w:tc>
        <w:tc>
          <w:tcPr>
            <w:tcW w:w="1340" w:type="dxa"/>
            <w:vAlign w:val="bottom"/>
          </w:tcPr>
          <w:p>
            <w:pPr>
              <w:jc w:val="right"/>
              <w:ind w:right="118"/>
              <w:spacing w:after="0"/>
              <w:rPr>
                <w:sz w:val="20"/>
                <w:szCs w:val="20"/>
                <w:color w:val="auto"/>
              </w:rPr>
            </w:pPr>
            <w:r>
              <w:rPr>
                <w:rFonts w:ascii="Arial" w:cs="Arial" w:eastAsia="Arial" w:hAnsi="Arial"/>
                <w:sz w:val="14"/>
                <w:szCs w:val="14"/>
                <w:color w:val="auto"/>
                <w:w w:val="91"/>
              </w:rPr>
              <w:t>December 31, 2022</w:t>
            </w:r>
          </w:p>
        </w:tc>
        <w:tc>
          <w:tcPr>
            <w:tcW w:w="0" w:type="dxa"/>
            <w:vAlign w:val="bottom"/>
          </w:tcPr>
          <w:p>
            <w:pPr>
              <w:spacing w:after="0"/>
              <w:rPr>
                <w:sz w:val="1"/>
                <w:szCs w:val="1"/>
                <w:color w:val="auto"/>
              </w:rPr>
            </w:pPr>
          </w:p>
        </w:tc>
      </w:tr>
      <w:tr>
        <w:trPr>
          <w:trHeight w:val="23"/>
        </w:trPr>
        <w:tc>
          <w:tcPr>
            <w:tcW w:w="8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7.1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2"/>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Short-term and long-term debt</w:t>
            </w: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7"/>
                <w:szCs w:val="17"/>
                <w:color w:val="auto"/>
              </w:rPr>
              <w:t>97.5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June 30, 2023, amounts available under our revolving credit facility, net of amounts outstanding under our commercial paper program and outstanding letters of credit and bank guarantees, totaled $11.0 billion.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Net Cash Provided by Operating Activities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2"/>
        </w:trPr>
        <w:tc>
          <w:tcPr>
            <w:tcW w:w="8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5"/>
                <w:szCs w:val="15"/>
                <w:color w:val="auto"/>
              </w:rPr>
            </w:pPr>
          </w:p>
        </w:tc>
      </w:tr>
      <w:tr>
        <w:trPr>
          <w:trHeight w:val="189"/>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2022</w:t>
            </w:r>
          </w:p>
        </w:tc>
      </w:tr>
      <w:tr>
        <w:trPr>
          <w:trHeight w:val="22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12,355</w:t>
            </w:r>
          </w:p>
        </w:tc>
        <w:tc>
          <w:tcPr>
            <w:tcW w:w="6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11,936</w:t>
            </w:r>
          </w:p>
        </w:tc>
      </w:tr>
      <w:tr>
        <w:trPr>
          <w:trHeight w:val="229"/>
        </w:trPr>
        <w:tc>
          <w:tcPr>
            <w:tcW w:w="81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9"/>
                <w:szCs w:val="19"/>
                <w:color w:val="auto"/>
              </w:rPr>
            </w:pP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7,315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7,016</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share-based compensation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668</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r>
      <w:tr>
        <w:trPr>
          <w:trHeight w:val="222"/>
        </w:trPr>
        <w:tc>
          <w:tcPr>
            <w:tcW w:w="816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(1,975)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(1,715)</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 of interest</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(1,823)</w:t>
            </w: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r>
      <w:tr>
        <w:trPr>
          <w:trHeight w:val="222"/>
        </w:trPr>
        <w:tc>
          <w:tcPr>
            <w:tcW w:w="8160" w:type="dxa"/>
            <w:vAlign w:val="bottom"/>
          </w:tcPr>
          <w:p>
            <w:pPr>
              <w:ind w:left="20"/>
              <w:spacing w:after="0"/>
              <w:rPr>
                <w:sz w:val="20"/>
                <w:szCs w:val="20"/>
                <w:color w:val="auto"/>
              </w:rPr>
            </w:pPr>
            <w:r>
              <w:rPr>
                <w:rFonts w:ascii="Arial" w:cs="Arial" w:eastAsia="Arial" w:hAnsi="Arial"/>
                <w:sz w:val="17"/>
                <w:szCs w:val="17"/>
                <w:color w:val="auto"/>
              </w:rPr>
              <w:t>Payments of income taxes</w:t>
            </w:r>
          </w:p>
        </w:tc>
        <w:tc>
          <w:tcPr>
            <w:tcW w:w="3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(2,384)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(2,841)</w:t>
            </w:r>
          </w:p>
        </w:tc>
      </w:tr>
      <w:tr>
        <w:trPr>
          <w:trHeight w:val="222"/>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269</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35"/>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b w:val="1"/>
                <w:bCs w:val="1"/>
                <w:color w:val="auto"/>
              </w:rPr>
              <w:t>14,426</w:t>
            </w:r>
          </w:p>
        </w:tc>
        <w:tc>
          <w:tcPr>
            <w:tcW w:w="6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13,584</w:t>
            </w:r>
          </w:p>
        </w:tc>
      </w:tr>
    </w:tbl>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variance in changes in operating assets and liabilities for the six months ended June 30, 2023 compared to the same period in 2022 was primarily related to the timing of amortization and related payments for our film and television costs, including the impacts of sporting events, and the recognition of deferred revenue.</w:t>
      </w:r>
    </w:p>
    <w:p>
      <w:pPr>
        <w:spacing w:after="0" w:line="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increase in payments of interest for the six months ended June 30, 2023 compared to the same period in 2022 was primarily due to cash proceeds from the settlement of interest rate swaps related to the collateralized obligation in the prior year period.</w:t>
      </w:r>
    </w:p>
    <w:p>
      <w:pPr>
        <w:spacing w:after="0" w:line="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decrease in payments of income taxes for the six months ended June 30, 2023 compared to the same period in 2022 was primarily due to higher payments in the prior year relating to the preceding tax year.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Net cash used in investing activities increased for the six months ended June 30, 2023 compared to the same period in 2022, primarily due to increased capital expenditures and increased cash paid for intangible assets related to software development. These increases were partially offset by decreased purchases of short-term investments, increased proceeds from the maturity of short-term investments and decreased cash paid related to the construction of Universal Beijing Resort in the current year period. Capital expenditures, which are our most significant recurring investing activity, increased for the six months ended June 30, 2023 compared to the same period in 2022, primarily reflecting increased spending by the Connectivity &amp; Platforms businesses primarily on scalable infrastructure and line extensions, and increased spending on the development of the Epic Universe theme park in Orlando.</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financing activities decreased for the six months ended June 30, 2023 compared to the same period in 2022 primarily due to higher proceeds from borrowings in the current year period and a decrease in the repurchases of common stock under our share repurchase program and employee plans, partially offset by higher repurchases and repayments of debt and repayments of short-term borrowings in the current year period.</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May 2023, we issued $5.0 billion aggregate principal amount of fixed-rate senior notes maturing between 2029 and 2064, of which $2.9 billion was used to purchase senior notes maturing in 2024 and 2025. In February 2023, we issued $1.0 billion aggregate principal amount of fixed-rate senior notes maturing in 2033 and an amount equal to the net proceeds from this issuance is intended to finance or refinance one or more green projects, assets or activities that meet certain specified eligibility criteria.</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2023, we made total debt repayments of $3.0 billion, including the $2.9 billion purchase of senior notes.</w:t>
      </w:r>
    </w:p>
    <w:p>
      <w:pPr>
        <w:spacing w:after="0" w:line="119"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5 and 7 for additional information on our financing activities.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 and Dividends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six months ended June 30, 2023, we repurchased a total of 103.1 million shares of our Class A common stock for $4.0 billion. As of June 30, 2023, we had $12.0 billion remaining under our existing share repurchase program. Under this authorization, which does not have an expiration date, we expect to repurchase additional shares of our Class A common stock in the open market or in private transactions, subject to market and other conditions.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 addition, we paid $227 million for the six months ended June 30, 2023 related to employee taxes associated with the administration of our share-based compensation plans.</w:t>
      </w:r>
    </w:p>
    <w:p>
      <w:pPr>
        <w:spacing w:after="0" w:line="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2023, our Board of Directors approved a 7.4% increase in our dividend to $1.16 per share on an annualized basis. During the six months ended June 30, 2023, we paid dividends of $2.4 billion. In May 2023, our Board of Directors approved our second quarter dividend of $0.29 per share, which was paid in July 2023. We expect to continue to pay quarterly dividends, although each dividend is subject to approval by our Board of Directors.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 Structure</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Debt and Guarantee Structure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2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560" w:type="dxa"/>
            <w:vAlign w:val="bottom"/>
          </w:tcPr>
          <w:p>
            <w:pPr>
              <w:spacing w:after="0"/>
              <w:rPr>
                <w:sz w:val="15"/>
                <w:szCs w:val="15"/>
                <w:color w:val="auto"/>
              </w:rPr>
            </w:pPr>
          </w:p>
        </w:tc>
        <w:tc>
          <w:tcPr>
            <w:tcW w:w="1420" w:type="dxa"/>
            <w:vAlign w:val="bottom"/>
          </w:tcPr>
          <w:p>
            <w:pPr>
              <w:jc w:val="right"/>
              <w:ind w:right="374"/>
              <w:spacing w:after="0"/>
              <w:rPr>
                <w:sz w:val="20"/>
                <w:szCs w:val="20"/>
                <w:color w:val="auto"/>
              </w:rPr>
            </w:pPr>
            <w:r>
              <w:rPr>
                <w:rFonts w:ascii="Arial" w:cs="Arial" w:eastAsia="Arial" w:hAnsi="Arial"/>
                <w:sz w:val="14"/>
                <w:szCs w:val="14"/>
                <w:color w:val="auto"/>
              </w:rPr>
              <w:t>June 30, 2023</w:t>
            </w:r>
          </w:p>
        </w:tc>
        <w:tc>
          <w:tcPr>
            <w:tcW w:w="220" w:type="dxa"/>
            <w:vAlign w:val="bottom"/>
          </w:tcPr>
          <w:p>
            <w:pPr>
              <w:spacing w:after="0"/>
              <w:rPr>
                <w:sz w:val="15"/>
                <w:szCs w:val="15"/>
                <w:color w:val="auto"/>
              </w:rPr>
            </w:pPr>
          </w:p>
        </w:tc>
        <w:tc>
          <w:tcPr>
            <w:tcW w:w="1520" w:type="dxa"/>
            <w:vAlign w:val="bottom"/>
          </w:tcPr>
          <w:p>
            <w:pPr>
              <w:jc w:val="right"/>
              <w:ind w:right="234"/>
              <w:spacing w:after="0"/>
              <w:rPr>
                <w:sz w:val="20"/>
                <w:szCs w:val="20"/>
                <w:color w:val="auto"/>
              </w:rPr>
            </w:pPr>
            <w:r>
              <w:rPr>
                <w:rFonts w:ascii="Arial" w:cs="Arial" w:eastAsia="Arial" w:hAnsi="Arial"/>
                <w:sz w:val="14"/>
                <w:szCs w:val="14"/>
                <w:color w:val="auto"/>
                <w:w w:val="95"/>
              </w:rPr>
              <w:t>December 31, 2022</w:t>
            </w:r>
          </w:p>
        </w:tc>
        <w:tc>
          <w:tcPr>
            <w:tcW w:w="0" w:type="dxa"/>
            <w:vAlign w:val="bottom"/>
          </w:tcPr>
          <w:p>
            <w:pPr>
              <w:spacing w:after="0"/>
              <w:rPr>
                <w:sz w:val="1"/>
                <w:szCs w:val="1"/>
                <w:color w:val="auto"/>
              </w:rPr>
            </w:pPr>
          </w:p>
        </w:tc>
      </w:tr>
      <w:tr>
        <w:trPr>
          <w:trHeight w:val="23"/>
        </w:trPr>
        <w:tc>
          <w:tcPr>
            <w:tcW w:w="7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Debt Subject to Cross-Guarantees</w:t>
            </w: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Comcast</w:t>
            </w:r>
          </w:p>
        </w:tc>
        <w:tc>
          <w:tcPr>
            <w:tcW w:w="5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91.8</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NBCUniversal</w:t>
            </w:r>
            <w:r>
              <w:rPr>
                <w:rFonts w:ascii="Arial" w:cs="Arial" w:eastAsia="Arial" w:hAnsi="Arial"/>
                <w:sz w:val="22"/>
                <w:szCs w:val="22"/>
                <w:color w:val="auto"/>
                <w:vertAlign w:val="superscript"/>
              </w:rPr>
              <w:t>(a)</w:t>
            </w:r>
          </w:p>
        </w:tc>
        <w:tc>
          <w:tcPr>
            <w:tcW w:w="5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2"/>
        </w:trPr>
        <w:tc>
          <w:tcPr>
            <w:tcW w:w="75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7"/>
                <w:szCs w:val="17"/>
                <w:color w:val="auto"/>
              </w:rPr>
              <w:t>Comcast Cable</w:t>
            </w:r>
            <w:r>
              <w:rPr>
                <w:rFonts w:ascii="Arial" w:cs="Arial" w:eastAsia="Arial" w:hAnsi="Arial"/>
                <w:sz w:val="22"/>
                <w:szCs w:val="22"/>
                <w:color w:val="auto"/>
                <w:vertAlign w:val="superscript"/>
              </w:rPr>
              <w:t>(a)</w:t>
            </w: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31"/>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Debt Subject to One-Way Guarantees</w:t>
            </w:r>
          </w:p>
        </w:tc>
        <w:tc>
          <w:tcPr>
            <w:tcW w:w="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Sky</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2"/>
        </w:trPr>
        <w:tc>
          <w:tcPr>
            <w:tcW w:w="75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(a)</w:t>
            </w: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Debt Not Guaranteed</w:t>
            </w: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Universal Beijing Resort</w:t>
            </w:r>
            <w:r>
              <w:rPr>
                <w:rFonts w:ascii="Arial" w:cs="Arial" w:eastAsia="Arial" w:hAnsi="Arial"/>
                <w:sz w:val="22"/>
                <w:szCs w:val="22"/>
                <w:color w:val="auto"/>
                <w:vertAlign w:val="superscript"/>
              </w:rPr>
              <w:t>(b)</w:t>
            </w: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71"/>
        </w:trPr>
        <w:tc>
          <w:tcPr>
            <w:tcW w:w="7520" w:type="dxa"/>
            <w:vAlign w:val="bottom"/>
          </w:tcPr>
          <w:p>
            <w:pPr>
              <w:ind w:left="20"/>
              <w:spacing w:after="0" w:line="171" w:lineRule="exact"/>
              <w:rPr>
                <w:sz w:val="20"/>
                <w:szCs w:val="20"/>
                <w:color w:val="auto"/>
              </w:rPr>
            </w:pPr>
            <w:r>
              <w:rPr>
                <w:rFonts w:ascii="Arial" w:cs="Arial" w:eastAsia="Arial" w:hAnsi="Arial"/>
                <w:sz w:val="17"/>
                <w:szCs w:val="17"/>
                <w:color w:val="auto"/>
                <w:w w:val="95"/>
              </w:rPr>
              <w:t>Debt issuance costs, premiums, discounts, fair value adjustments for acquisition accounting and hedged</w:t>
            </w:r>
          </w:p>
        </w:tc>
        <w:tc>
          <w:tcPr>
            <w:tcW w:w="5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8"/>
        </w:trPr>
        <w:tc>
          <w:tcPr>
            <w:tcW w:w="75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positions, net</w:t>
            </w: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debt</w:t>
            </w:r>
          </w:p>
        </w:tc>
        <w:tc>
          <w:tcPr>
            <w:tcW w:w="5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97.5</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94.8</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320" w:hanging="315"/>
        <w:spacing w:after="0" w:line="256" w:lineRule="auto"/>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34" w:lineRule="exact"/>
        <w:rPr>
          <w:rFonts w:ascii="Arial" w:cs="Arial" w:eastAsia="Arial" w:hAnsi="Arial"/>
          <w:sz w:val="14"/>
          <w:szCs w:val="14"/>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6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Cross-Guarantees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As of June 30, 2023 and December 31, 2022, the combined Guarantors have noncurrent notes payable to non-guarantor subsidiaries of $132 billion and $128 billion, respectively, and noncurrent notes receivable from non-guarantor subsidiaries of $18 billion and $30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One-Way Guarantees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Comcast provides full and unconditional guarantees of certain debt issued by Sky Limited (“Sky</w:t>
      </w:r>
      <w:r>
        <w:rPr>
          <w:rFonts w:ascii="Arial" w:cs="Arial" w:eastAsia="Arial" w:hAnsi="Arial"/>
          <w:sz w:val="13"/>
          <w:szCs w:val="13"/>
          <w:color w:val="auto"/>
        </w:rPr>
        <w:t>”)</w:t>
      </w:r>
      <w:r>
        <w:rPr>
          <w:rFonts w:ascii="Arial" w:cs="Arial" w:eastAsia="Arial" w:hAnsi="Arial"/>
          <w:sz w:val="17"/>
          <w:szCs w:val="17"/>
          <w:color w:val="auto"/>
        </w:rPr>
        <w:t>, including all of its senior notes, and other consolidated subsidiaries not subject to the periodic reporting requirements of the SEC.</w:t>
      </w:r>
    </w:p>
    <w:p>
      <w:pPr>
        <w:spacing w:after="0" w:line="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June 30, 2023 and December 31, 2022, Comcast and Comcast Holdings, the combined issuer and guarantor of the guaranteed subordinated debt, have noncurrent senior notes payable to non-guarantor subsidiaries of $101 billion and $97 billion, respectively, and noncurrent notes receivable from non-guarantor subsidiaries of $16 billion and $28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Judgments and Estimates</w:t>
      </w:r>
    </w:p>
    <w:p>
      <w:pPr>
        <w:spacing w:after="0" w:line="11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Following the change in presentation of our segment operating results in the first quarter of 2023, we reassessed our reporting units related to goodwill and concluded that our reporting units are the same as our reportable business segments. See Note 2 for additional information.</w:t>
      </w:r>
    </w:p>
    <w:p>
      <w:pPr>
        <w:spacing w:after="0" w:line="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our judgments and related estimates associated with the valuation and impairment testing of goodwill are critical in the preparation of our consolidated financial statements. We assessed goodwill for impairment in connection with our change in segment presentation in the first quarter of 2023. Based on our assessment, no impairment was required, and the estimated fair values of our new reporting units substantially exceeded their carrying values.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2022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have evaluated the information required under this item that was disclosed in our 2022 Annual Report on Form 10-K and there have been no material changes to this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Conclusions regarding disclosure controls and procedures</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See Note 9 included in this Quarterly Report on Form 10-Q for a discussion of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previously disclosed in Item 1A of our 2022 Annual Report on Form 10-K.</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Comcast's common stock repurchases during the three months ended June 30, 2023.</w:t>
      </w:r>
    </w:p>
    <w:p>
      <w:pPr>
        <w:spacing w:after="0" w:line="10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Purchases of Equity Securities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03"/>
              <w:spacing w:after="0"/>
              <w:rPr>
                <w:sz w:val="20"/>
                <w:szCs w:val="20"/>
                <w:color w:val="auto"/>
              </w:rPr>
            </w:pPr>
            <w:r>
              <w:rPr>
                <w:rFonts w:ascii="Arial" w:cs="Arial" w:eastAsia="Arial" w:hAnsi="Arial"/>
                <w:sz w:val="14"/>
                <w:szCs w:val="14"/>
                <w:color w:val="auto"/>
                <w:w w:val="94"/>
              </w:rPr>
              <w:t>Total Dollar</w:t>
            </w:r>
          </w:p>
        </w:tc>
        <w:tc>
          <w:tcPr>
            <w:tcW w:w="220" w:type="dxa"/>
            <w:vAlign w:val="bottom"/>
          </w:tcPr>
          <w:p>
            <w:pPr>
              <w:spacing w:after="0"/>
              <w:rPr>
                <w:sz w:val="14"/>
                <w:szCs w:val="14"/>
                <w:color w:val="auto"/>
              </w:rPr>
            </w:pPr>
          </w:p>
        </w:tc>
        <w:tc>
          <w:tcPr>
            <w:tcW w:w="1520" w:type="dxa"/>
            <w:vAlign w:val="bottom"/>
          </w:tcPr>
          <w:p>
            <w:pPr>
              <w:jc w:val="center"/>
              <w:ind w:right="123"/>
              <w:spacing w:after="0"/>
              <w:rPr>
                <w:sz w:val="20"/>
                <w:szCs w:val="20"/>
                <w:color w:val="auto"/>
              </w:rPr>
            </w:pPr>
            <w:r>
              <w:rPr>
                <w:rFonts w:ascii="Arial" w:cs="Arial" w:eastAsia="Arial" w:hAnsi="Arial"/>
                <w:sz w:val="14"/>
                <w:szCs w:val="14"/>
                <w:color w:val="auto"/>
                <w:w w:val="94"/>
              </w:rPr>
              <w:t>Maximum Dollar</w:t>
            </w:r>
          </w:p>
        </w:tc>
      </w:tr>
      <w:tr>
        <w:trPr>
          <w:trHeight w:val="144"/>
        </w:trPr>
        <w:tc>
          <w:tcPr>
            <w:tcW w:w="1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23"/>
              <w:spacing w:after="0" w:line="144" w:lineRule="exact"/>
              <w:rPr>
                <w:sz w:val="20"/>
                <w:szCs w:val="20"/>
                <w:color w:val="auto"/>
              </w:rPr>
            </w:pPr>
            <w:r>
              <w:rPr>
                <w:rFonts w:ascii="Arial" w:cs="Arial" w:eastAsia="Arial" w:hAnsi="Arial"/>
                <w:sz w:val="14"/>
                <w:szCs w:val="14"/>
                <w:color w:val="auto"/>
                <w:w w:val="95"/>
              </w:rPr>
              <w:t>Amount</w:t>
            </w:r>
          </w:p>
        </w:tc>
        <w:tc>
          <w:tcPr>
            <w:tcW w:w="220" w:type="dxa"/>
            <w:vAlign w:val="bottom"/>
          </w:tcPr>
          <w:p>
            <w:pPr>
              <w:spacing w:after="0"/>
              <w:rPr>
                <w:sz w:val="12"/>
                <w:szCs w:val="12"/>
                <w:color w:val="auto"/>
              </w:rPr>
            </w:pPr>
          </w:p>
        </w:tc>
        <w:tc>
          <w:tcPr>
            <w:tcW w:w="1520" w:type="dxa"/>
            <w:vAlign w:val="bottom"/>
          </w:tcPr>
          <w:p>
            <w:pPr>
              <w:jc w:val="center"/>
              <w:ind w:right="123"/>
              <w:spacing w:after="0" w:line="144" w:lineRule="exact"/>
              <w:rPr>
                <w:sz w:val="20"/>
                <w:szCs w:val="20"/>
                <w:color w:val="auto"/>
              </w:rPr>
            </w:pPr>
            <w:r>
              <w:rPr>
                <w:rFonts w:ascii="Arial" w:cs="Arial" w:eastAsia="Arial" w:hAnsi="Arial"/>
                <w:sz w:val="14"/>
                <w:szCs w:val="14"/>
                <w:color w:val="auto"/>
                <w:w w:val="88"/>
              </w:rPr>
              <w:t>Value of Shares That</w:t>
            </w:r>
          </w:p>
        </w:tc>
      </w:tr>
      <w:tr>
        <w:trPr>
          <w:trHeight w:val="136"/>
        </w:trPr>
        <w:tc>
          <w:tcPr>
            <w:tcW w:w="1940" w:type="dxa"/>
            <w:vAlign w:val="bottom"/>
          </w:tcPr>
          <w:p>
            <w:pPr>
              <w:spacing w:after="0"/>
              <w:rPr>
                <w:sz w:val="11"/>
                <w:szCs w:val="11"/>
                <w:color w:val="auto"/>
              </w:rPr>
            </w:pPr>
          </w:p>
        </w:tc>
        <w:tc>
          <w:tcPr>
            <w:tcW w:w="2060" w:type="dxa"/>
            <w:vAlign w:val="bottom"/>
          </w:tcPr>
          <w:p>
            <w:pPr>
              <w:jc w:val="center"/>
              <w:spacing w:after="0" w:line="137" w:lineRule="exact"/>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1"/>
                <w:szCs w:val="11"/>
                <w:color w:val="auto"/>
              </w:rPr>
            </w:pPr>
          </w:p>
        </w:tc>
        <w:tc>
          <w:tcPr>
            <w:tcW w:w="1100" w:type="dxa"/>
            <w:vAlign w:val="bottom"/>
          </w:tcPr>
          <w:p>
            <w:pPr>
              <w:jc w:val="center"/>
              <w:ind w:right="282"/>
              <w:spacing w:after="0" w:line="137" w:lineRule="exact"/>
              <w:rPr>
                <w:sz w:val="20"/>
                <w:szCs w:val="20"/>
                <w:color w:val="auto"/>
              </w:rPr>
            </w:pPr>
            <w:r>
              <w:rPr>
                <w:rFonts w:ascii="Arial" w:cs="Arial" w:eastAsia="Arial" w:hAnsi="Arial"/>
                <w:sz w:val="14"/>
                <w:szCs w:val="14"/>
                <w:color w:val="auto"/>
                <w:w w:val="88"/>
              </w:rPr>
              <w:t>Average</w:t>
            </w:r>
          </w:p>
        </w:tc>
        <w:tc>
          <w:tcPr>
            <w:tcW w:w="1920" w:type="dxa"/>
            <w:vAlign w:val="bottom"/>
          </w:tcPr>
          <w:p>
            <w:pPr>
              <w:jc w:val="center"/>
              <w:ind w:right="2"/>
              <w:spacing w:after="0" w:line="137" w:lineRule="exact"/>
              <w:rPr>
                <w:sz w:val="20"/>
                <w:szCs w:val="20"/>
                <w:color w:val="auto"/>
              </w:rPr>
            </w:pPr>
            <w:r>
              <w:rPr>
                <w:rFonts w:ascii="Arial" w:cs="Arial" w:eastAsia="Arial" w:hAnsi="Arial"/>
                <w:sz w:val="14"/>
                <w:szCs w:val="14"/>
                <w:color w:val="auto"/>
                <w:w w:val="91"/>
              </w:rPr>
              <w:t>Total Number of</w:t>
            </w:r>
          </w:p>
        </w:tc>
        <w:tc>
          <w:tcPr>
            <w:tcW w:w="240" w:type="dxa"/>
            <w:vAlign w:val="bottom"/>
          </w:tcPr>
          <w:p>
            <w:pPr>
              <w:spacing w:after="0"/>
              <w:rPr>
                <w:sz w:val="11"/>
                <w:szCs w:val="11"/>
                <w:color w:val="auto"/>
              </w:rPr>
            </w:pPr>
          </w:p>
        </w:tc>
        <w:tc>
          <w:tcPr>
            <w:tcW w:w="1460" w:type="dxa"/>
            <w:vAlign w:val="bottom"/>
          </w:tcPr>
          <w:p>
            <w:pPr>
              <w:jc w:val="center"/>
              <w:ind w:right="123"/>
              <w:spacing w:after="0" w:line="137" w:lineRule="exact"/>
              <w:rPr>
                <w:sz w:val="20"/>
                <w:szCs w:val="20"/>
                <w:color w:val="auto"/>
              </w:rPr>
            </w:pPr>
            <w:r>
              <w:rPr>
                <w:rFonts w:ascii="Arial" w:cs="Arial" w:eastAsia="Arial" w:hAnsi="Arial"/>
                <w:sz w:val="14"/>
                <w:szCs w:val="14"/>
                <w:color w:val="auto"/>
                <w:w w:val="86"/>
              </w:rPr>
              <w:t>Purchased</w:t>
            </w:r>
          </w:p>
        </w:tc>
        <w:tc>
          <w:tcPr>
            <w:tcW w:w="220" w:type="dxa"/>
            <w:vAlign w:val="bottom"/>
          </w:tcPr>
          <w:p>
            <w:pPr>
              <w:spacing w:after="0"/>
              <w:rPr>
                <w:sz w:val="11"/>
                <w:szCs w:val="11"/>
                <w:color w:val="auto"/>
              </w:rPr>
            </w:pPr>
          </w:p>
        </w:tc>
        <w:tc>
          <w:tcPr>
            <w:tcW w:w="1520" w:type="dxa"/>
            <w:vAlign w:val="bottom"/>
          </w:tcPr>
          <w:p>
            <w:pPr>
              <w:jc w:val="center"/>
              <w:ind w:right="123"/>
              <w:spacing w:after="0" w:line="137" w:lineRule="exact"/>
              <w:rPr>
                <w:sz w:val="20"/>
                <w:szCs w:val="20"/>
                <w:color w:val="auto"/>
              </w:rPr>
            </w:pPr>
            <w:r>
              <w:rPr>
                <w:rFonts w:ascii="Arial" w:cs="Arial" w:eastAsia="Arial" w:hAnsi="Arial"/>
                <w:sz w:val="14"/>
                <w:szCs w:val="14"/>
                <w:color w:val="auto"/>
                <w:w w:val="93"/>
              </w:rPr>
              <w:t>May Yet Be</w:t>
            </w:r>
          </w:p>
        </w:tc>
      </w:tr>
      <w:tr>
        <w:trPr>
          <w:trHeight w:val="138"/>
        </w:trPr>
        <w:tc>
          <w:tcPr>
            <w:tcW w:w="1940" w:type="dxa"/>
            <w:vAlign w:val="bottom"/>
          </w:tcPr>
          <w:p>
            <w:pPr>
              <w:spacing w:after="0"/>
              <w:rPr>
                <w:sz w:val="12"/>
                <w:szCs w:val="12"/>
                <w:color w:val="auto"/>
              </w:rPr>
            </w:pPr>
          </w:p>
        </w:tc>
        <w:tc>
          <w:tcPr>
            <w:tcW w:w="2060" w:type="dxa"/>
            <w:vAlign w:val="bottom"/>
          </w:tcPr>
          <w:p>
            <w:pPr>
              <w:jc w:val="center"/>
              <w:spacing w:after="0" w:line="139"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100" w:type="dxa"/>
            <w:vAlign w:val="bottom"/>
          </w:tcPr>
          <w:p>
            <w:pPr>
              <w:jc w:val="center"/>
              <w:ind w:right="282"/>
              <w:spacing w:after="0" w:line="139" w:lineRule="exact"/>
              <w:rPr>
                <w:sz w:val="20"/>
                <w:szCs w:val="20"/>
                <w:color w:val="auto"/>
              </w:rPr>
            </w:pPr>
            <w:r>
              <w:rPr>
                <w:rFonts w:ascii="Arial" w:cs="Arial" w:eastAsia="Arial" w:hAnsi="Arial"/>
                <w:sz w:val="14"/>
                <w:szCs w:val="14"/>
                <w:color w:val="auto"/>
                <w:w w:val="93"/>
              </w:rPr>
              <w:t>Price</w:t>
            </w:r>
          </w:p>
        </w:tc>
        <w:tc>
          <w:tcPr>
            <w:tcW w:w="1920" w:type="dxa"/>
            <w:vAlign w:val="bottom"/>
          </w:tcPr>
          <w:p>
            <w:pPr>
              <w:jc w:val="center"/>
              <w:ind w:right="22"/>
              <w:spacing w:after="0" w:line="139" w:lineRule="exact"/>
              <w:rPr>
                <w:sz w:val="20"/>
                <w:szCs w:val="20"/>
                <w:color w:val="auto"/>
              </w:rPr>
            </w:pPr>
            <w:r>
              <w:rPr>
                <w:rFonts w:ascii="Arial" w:cs="Arial" w:eastAsia="Arial" w:hAnsi="Arial"/>
                <w:sz w:val="14"/>
                <w:szCs w:val="14"/>
                <w:color w:val="auto"/>
                <w:w w:val="85"/>
              </w:rPr>
              <w:t>Shares Purchased</w:t>
            </w:r>
          </w:p>
        </w:tc>
        <w:tc>
          <w:tcPr>
            <w:tcW w:w="240" w:type="dxa"/>
            <w:vAlign w:val="bottom"/>
          </w:tcPr>
          <w:p>
            <w:pPr>
              <w:spacing w:after="0"/>
              <w:rPr>
                <w:sz w:val="12"/>
                <w:szCs w:val="12"/>
                <w:color w:val="auto"/>
              </w:rPr>
            </w:pPr>
          </w:p>
        </w:tc>
        <w:tc>
          <w:tcPr>
            <w:tcW w:w="1460" w:type="dxa"/>
            <w:vAlign w:val="bottom"/>
          </w:tcPr>
          <w:p>
            <w:pPr>
              <w:jc w:val="center"/>
              <w:ind w:right="123"/>
              <w:spacing w:after="0" w:line="139" w:lineRule="exact"/>
              <w:rPr>
                <w:sz w:val="20"/>
                <w:szCs w:val="20"/>
                <w:color w:val="auto"/>
              </w:rPr>
            </w:pPr>
            <w:r>
              <w:rPr>
                <w:rFonts w:ascii="Arial" w:cs="Arial" w:eastAsia="Arial" w:hAnsi="Arial"/>
                <w:sz w:val="14"/>
                <w:szCs w:val="14"/>
                <w:color w:val="auto"/>
                <w:w w:val="93"/>
              </w:rPr>
              <w:t>Under the Publicly</w:t>
            </w:r>
          </w:p>
        </w:tc>
        <w:tc>
          <w:tcPr>
            <w:tcW w:w="1740" w:type="dxa"/>
            <w:vAlign w:val="bottom"/>
            <w:gridSpan w:val="2"/>
          </w:tcPr>
          <w:p>
            <w:pPr>
              <w:ind w:left="40"/>
              <w:spacing w:after="0" w:line="139" w:lineRule="exact"/>
              <w:rPr>
                <w:sz w:val="20"/>
                <w:szCs w:val="20"/>
                <w:color w:val="auto"/>
              </w:rPr>
            </w:pPr>
            <w:r>
              <w:rPr>
                <w:rFonts w:ascii="Arial" w:cs="Arial" w:eastAsia="Arial" w:hAnsi="Arial"/>
                <w:sz w:val="14"/>
                <w:szCs w:val="14"/>
                <w:color w:val="auto"/>
                <w:w w:val="91"/>
              </w:rPr>
              <w:t>Purchased Under the Publicly</w:t>
            </w:r>
          </w:p>
        </w:tc>
      </w:tr>
      <w:tr>
        <w:trPr>
          <w:trHeight w:val="139"/>
        </w:trPr>
        <w:tc>
          <w:tcPr>
            <w:tcW w:w="1940" w:type="dxa"/>
            <w:vAlign w:val="bottom"/>
          </w:tcPr>
          <w:p>
            <w:pPr>
              <w:spacing w:after="0"/>
              <w:rPr>
                <w:sz w:val="12"/>
                <w:szCs w:val="12"/>
                <w:color w:val="auto"/>
              </w:rPr>
            </w:pPr>
          </w:p>
        </w:tc>
        <w:tc>
          <w:tcPr>
            <w:tcW w:w="2060" w:type="dxa"/>
            <w:vAlign w:val="bottom"/>
          </w:tcPr>
          <w:p>
            <w:pPr>
              <w:jc w:val="center"/>
              <w:spacing w:after="0" w:line="13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100" w:type="dxa"/>
            <w:vAlign w:val="bottom"/>
          </w:tcPr>
          <w:p>
            <w:pPr>
              <w:jc w:val="center"/>
              <w:ind w:right="282"/>
              <w:spacing w:after="0" w:line="139"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ind w:right="2"/>
              <w:spacing w:after="0" w:line="139" w:lineRule="exact"/>
              <w:rPr>
                <w:sz w:val="20"/>
                <w:szCs w:val="20"/>
                <w:color w:val="auto"/>
              </w:rPr>
            </w:pPr>
            <w:r>
              <w:rPr>
                <w:rFonts w:ascii="Arial" w:cs="Arial" w:eastAsia="Arial" w:hAnsi="Arial"/>
                <w:sz w:val="14"/>
                <w:szCs w:val="14"/>
                <w:color w:val="auto"/>
                <w:w w:val="92"/>
              </w:rPr>
              <w:t>as Part of Publicly</w:t>
            </w:r>
          </w:p>
        </w:tc>
        <w:tc>
          <w:tcPr>
            <w:tcW w:w="240" w:type="dxa"/>
            <w:vAlign w:val="bottom"/>
          </w:tcPr>
          <w:p>
            <w:pPr>
              <w:spacing w:after="0"/>
              <w:rPr>
                <w:sz w:val="12"/>
                <w:szCs w:val="12"/>
                <w:color w:val="auto"/>
              </w:rPr>
            </w:pPr>
          </w:p>
        </w:tc>
        <w:tc>
          <w:tcPr>
            <w:tcW w:w="1460" w:type="dxa"/>
            <w:vAlign w:val="bottom"/>
          </w:tcPr>
          <w:p>
            <w:pPr>
              <w:jc w:val="center"/>
              <w:ind w:right="103"/>
              <w:spacing w:after="0" w:line="139" w:lineRule="exact"/>
              <w:rPr>
                <w:sz w:val="20"/>
                <w:szCs w:val="20"/>
                <w:color w:val="auto"/>
              </w:rPr>
            </w:pPr>
            <w:r>
              <w:rPr>
                <w:rFonts w:ascii="Arial" w:cs="Arial" w:eastAsia="Arial" w:hAnsi="Arial"/>
                <w:sz w:val="14"/>
                <w:szCs w:val="14"/>
                <w:color w:val="auto"/>
                <w:w w:val="90"/>
              </w:rPr>
              <w:t>Announced</w:t>
            </w:r>
          </w:p>
        </w:tc>
        <w:tc>
          <w:tcPr>
            <w:tcW w:w="220" w:type="dxa"/>
            <w:vAlign w:val="bottom"/>
          </w:tcPr>
          <w:p>
            <w:pPr>
              <w:spacing w:after="0"/>
              <w:rPr>
                <w:sz w:val="12"/>
                <w:szCs w:val="12"/>
                <w:color w:val="auto"/>
              </w:rPr>
            </w:pPr>
          </w:p>
        </w:tc>
        <w:tc>
          <w:tcPr>
            <w:tcW w:w="1520" w:type="dxa"/>
            <w:vAlign w:val="bottom"/>
          </w:tcPr>
          <w:p>
            <w:pPr>
              <w:ind w:left="340"/>
              <w:spacing w:after="0" w:line="139" w:lineRule="exact"/>
              <w:rPr>
                <w:sz w:val="20"/>
                <w:szCs w:val="20"/>
                <w:color w:val="auto"/>
              </w:rPr>
            </w:pPr>
            <w:r>
              <w:rPr>
                <w:rFonts w:ascii="Arial" w:cs="Arial" w:eastAsia="Arial" w:hAnsi="Arial"/>
                <w:sz w:val="14"/>
                <w:szCs w:val="14"/>
                <w:color w:val="auto"/>
              </w:rPr>
              <w:t>Announced</w:t>
            </w:r>
          </w:p>
        </w:tc>
      </w:tr>
      <w:tr>
        <w:trPr>
          <w:trHeight w:val="193"/>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color w:val="auto"/>
                <w:w w:val="92"/>
              </w:rPr>
              <w:t>Announced Authorization</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5"/>
              </w:rPr>
              <w:t>Authorization</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3"/>
              <w:spacing w:after="0" w:line="194" w:lineRule="exact"/>
              <w:rPr>
                <w:sz w:val="20"/>
                <w:szCs w:val="20"/>
                <w:color w:val="auto"/>
              </w:rPr>
            </w:pPr>
            <w:r>
              <w:rPr>
                <w:rFonts w:ascii="Arial" w:cs="Arial" w:eastAsia="Arial" w:hAnsi="Arial"/>
                <w:sz w:val="14"/>
                <w:szCs w:val="14"/>
                <w:color w:val="auto"/>
                <w:w w:val="91"/>
              </w:rPr>
              <w:t>Authorization</w:t>
            </w:r>
            <w:r>
              <w:rPr>
                <w:rFonts w:ascii="Arial" w:cs="Arial" w:eastAsia="Arial" w:hAnsi="Arial"/>
                <w:sz w:val="18"/>
                <w:szCs w:val="18"/>
                <w:color w:val="auto"/>
                <w:w w:val="91"/>
                <w:vertAlign w:val="superscript"/>
              </w:rPr>
              <w:t>(a)</w:t>
            </w: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1-30, 2023</w:t>
            </w:r>
          </w:p>
        </w:tc>
        <w:tc>
          <w:tcPr>
            <w:tcW w:w="206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15,778,092</w:t>
            </w:r>
          </w:p>
        </w:tc>
        <w:tc>
          <w:tcPr>
            <w:tcW w:w="4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38.03</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15,778,092</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599,999,977</w:t>
            </w:r>
          </w:p>
        </w:tc>
        <w:tc>
          <w:tcPr>
            <w:tcW w:w="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6"/>
              </w:rPr>
              <w:t>13,400,000,878</w:t>
            </w:r>
          </w:p>
        </w:tc>
      </w:tr>
      <w:tr>
        <w:trPr>
          <w:trHeight w:val="229"/>
        </w:trPr>
        <w:tc>
          <w:tcPr>
            <w:tcW w:w="1940" w:type="dxa"/>
            <w:vAlign w:val="bottom"/>
          </w:tcPr>
          <w:p>
            <w:pPr>
              <w:ind w:left="20"/>
              <w:spacing w:after="0"/>
              <w:rPr>
                <w:sz w:val="20"/>
                <w:szCs w:val="20"/>
                <w:color w:val="auto"/>
              </w:rPr>
            </w:pPr>
            <w:r>
              <w:rPr>
                <w:rFonts w:ascii="Arial" w:cs="Arial" w:eastAsia="Arial" w:hAnsi="Arial"/>
                <w:sz w:val="17"/>
                <w:szCs w:val="17"/>
                <w:color w:val="auto"/>
              </w:rPr>
              <w:t>May 1-31, 2023</w:t>
            </w:r>
          </w:p>
        </w:tc>
        <w:tc>
          <w:tcPr>
            <w:tcW w:w="2060" w:type="dxa"/>
            <w:vAlign w:val="bottom"/>
          </w:tcPr>
          <w:p>
            <w:pPr>
              <w:jc w:val="right"/>
              <w:ind w:right="142"/>
              <w:spacing w:after="0"/>
              <w:rPr>
                <w:sz w:val="20"/>
                <w:szCs w:val="20"/>
                <w:color w:val="auto"/>
              </w:rPr>
            </w:pPr>
            <w:r>
              <w:rPr>
                <w:rFonts w:ascii="Arial" w:cs="Arial" w:eastAsia="Arial" w:hAnsi="Arial"/>
                <w:sz w:val="17"/>
                <w:szCs w:val="17"/>
                <w:color w:val="auto"/>
              </w:rPr>
              <w:t>17,268,955</w:t>
            </w:r>
          </w:p>
        </w:tc>
        <w:tc>
          <w:tcPr>
            <w:tcW w:w="4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2"/>
              <w:spacing w:after="0"/>
              <w:rPr>
                <w:sz w:val="20"/>
                <w:szCs w:val="20"/>
                <w:color w:val="auto"/>
              </w:rPr>
            </w:pPr>
            <w:r>
              <w:rPr>
                <w:rFonts w:ascii="Arial" w:cs="Arial" w:eastAsia="Arial" w:hAnsi="Arial"/>
                <w:sz w:val="17"/>
                <w:szCs w:val="17"/>
                <w:color w:val="auto"/>
              </w:rPr>
              <w:t>40.25</w:t>
            </w:r>
          </w:p>
        </w:tc>
        <w:tc>
          <w:tcPr>
            <w:tcW w:w="1920" w:type="dxa"/>
            <w:vAlign w:val="bottom"/>
          </w:tcPr>
          <w:p>
            <w:pPr>
              <w:jc w:val="right"/>
              <w:spacing w:after="0"/>
              <w:rPr>
                <w:sz w:val="20"/>
                <w:szCs w:val="20"/>
                <w:color w:val="auto"/>
              </w:rPr>
            </w:pPr>
            <w:r>
              <w:rPr>
                <w:rFonts w:ascii="Arial" w:cs="Arial" w:eastAsia="Arial" w:hAnsi="Arial"/>
                <w:sz w:val="17"/>
                <w:szCs w:val="17"/>
                <w:color w:val="auto"/>
              </w:rPr>
              <w:t>17,268,955</w:t>
            </w:r>
          </w:p>
        </w:tc>
        <w:tc>
          <w:tcPr>
            <w:tcW w:w="2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694,999,898</w:t>
            </w:r>
          </w:p>
        </w:tc>
        <w:tc>
          <w:tcPr>
            <w:tcW w:w="220" w:type="dxa"/>
            <w:vAlign w:val="bottom"/>
          </w:tcPr>
          <w:p>
            <w:pPr>
              <w:ind w:left="40"/>
              <w:spacing w:after="0"/>
              <w:rPr>
                <w:sz w:val="20"/>
                <w:szCs w:val="20"/>
                <w:color w:val="auto"/>
              </w:rPr>
            </w:pPr>
            <w:r>
              <w:rPr>
                <w:rFonts w:ascii="Arial" w:cs="Arial" w:eastAsia="Arial" w:hAnsi="Arial"/>
                <w:sz w:val="17"/>
                <w:szCs w:val="17"/>
                <w:color w:val="auto"/>
              </w:rPr>
              <w:t>$</w:t>
            </w:r>
          </w:p>
        </w:tc>
        <w:tc>
          <w:tcPr>
            <w:tcW w:w="1520" w:type="dxa"/>
            <w:vAlign w:val="bottom"/>
          </w:tcPr>
          <w:p>
            <w:pPr>
              <w:ind w:left="360"/>
              <w:spacing w:after="0"/>
              <w:rPr>
                <w:sz w:val="20"/>
                <w:szCs w:val="20"/>
                <w:color w:val="auto"/>
              </w:rPr>
            </w:pPr>
            <w:r>
              <w:rPr>
                <w:rFonts w:ascii="Arial" w:cs="Arial" w:eastAsia="Arial" w:hAnsi="Arial"/>
                <w:sz w:val="17"/>
                <w:szCs w:val="17"/>
                <w:color w:val="auto"/>
                <w:w w:val="96"/>
              </w:rPr>
              <w:t>12,705,000,980</w:t>
            </w:r>
          </w:p>
        </w:tc>
      </w:tr>
      <w:tr>
        <w:trPr>
          <w:trHeight w:val="229"/>
        </w:trPr>
        <w:tc>
          <w:tcPr>
            <w:tcW w:w="1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June 1-30, 2023</w:t>
            </w:r>
          </w:p>
        </w:tc>
        <w:tc>
          <w:tcPr>
            <w:tcW w:w="20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7"/>
                <w:szCs w:val="17"/>
                <w:color w:val="auto"/>
              </w:rPr>
              <w:t>17,462,393</w:t>
            </w:r>
          </w:p>
        </w:tc>
        <w:tc>
          <w:tcPr>
            <w:tcW w:w="4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rPr>
              <w:t>40.37</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17,462,393</w:t>
            </w:r>
          </w:p>
        </w:tc>
        <w:tc>
          <w:tcPr>
            <w:tcW w:w="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705,000,087</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6"/>
              </w:rPr>
              <w:t>12,000,000,893</w:t>
            </w:r>
          </w:p>
        </w:tc>
      </w:tr>
      <w:tr>
        <w:trPr>
          <w:trHeight w:val="222"/>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2060" w:type="dxa"/>
            <w:vAlign w:val="bottom"/>
            <w:tcBorders>
              <w:bottom w:val="single" w:sz="8" w:color="auto"/>
            </w:tcBorders>
          </w:tcPr>
          <w:p>
            <w:pPr>
              <w:jc w:val="right"/>
              <w:ind w:right="142"/>
              <w:spacing w:after="0"/>
              <w:rPr>
                <w:sz w:val="20"/>
                <w:szCs w:val="20"/>
                <w:color w:val="auto"/>
              </w:rPr>
            </w:pPr>
            <w:r>
              <w:rPr>
                <w:rFonts w:ascii="Arial" w:cs="Arial" w:eastAsia="Arial" w:hAnsi="Arial"/>
                <w:sz w:val="17"/>
                <w:szCs w:val="17"/>
                <w:b w:val="1"/>
                <w:bCs w:val="1"/>
                <w:color w:val="auto"/>
              </w:rPr>
              <w:t>50,509,440</w:t>
            </w: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b w:val="1"/>
                <w:bCs w:val="1"/>
                <w:color w:val="auto"/>
              </w:rPr>
              <w:t>39.60</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50,509,440</w:t>
            </w: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1,999,999,962</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w w:val="96"/>
              </w:rPr>
              <w:t>12,000,000,893</w:t>
            </w:r>
          </w:p>
        </w:tc>
      </w:tr>
    </w:tbl>
    <w:p>
      <w:pPr>
        <w:spacing w:after="0" w:line="86" w:lineRule="exact"/>
        <w:rPr>
          <w:sz w:val="20"/>
          <w:szCs w:val="20"/>
          <w:color w:val="auto"/>
        </w:rPr>
      </w:pPr>
    </w:p>
    <w:p>
      <w:pPr>
        <w:ind w:left="320" w:hanging="315"/>
        <w:spacing w:after="0" w:line="279" w:lineRule="auto"/>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 September 13, 2022, our Board of Directors approved a new share repurchase program authorization of $20 billion. Under the authorization, which does not have an expiration date, we expect to repurchase additional shares, which may be in the open market or in private transactions, subject to market and other conditions.</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OTHER INFORMATION</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During the period covered by this Quarterly Report on Form 10-Q, none of our directors or officers adopted or terminated a “Rule 10b5-1 trading arrangement” or “non-Rule 10b5-1 trading arrangement,” as each term is defined in Item 408 of Regulation S-K.</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Exhibit</w:t>
      </w:r>
    </w:p>
    <w:p>
      <w:pPr>
        <w:ind w:left="30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9" w:lineRule="exact"/>
        <w:rPr>
          <w:sz w:val="20"/>
          <w:szCs w:val="20"/>
          <w:color w:val="auto"/>
        </w:rPr>
      </w:pPr>
    </w:p>
    <w:p>
      <w:pPr>
        <w:ind w:left="920" w:right="20" w:hanging="900"/>
        <w:spacing w:after="0"/>
        <w:tabs>
          <w:tab w:leader="none" w:pos="900" w:val="left"/>
        </w:tabs>
        <w:rPr>
          <w:rFonts w:ascii="Arial" w:cs="Arial" w:eastAsia="Arial" w:hAnsi="Arial"/>
          <w:sz w:val="17"/>
          <w:szCs w:val="17"/>
          <w:color w:val="0000FF"/>
        </w:rPr>
      </w:pPr>
      <w:hyperlink r:id="rId54">
        <w:r>
          <w:rPr>
            <w:rFonts w:ascii="Arial" w:cs="Arial" w:eastAsia="Arial" w:hAnsi="Arial"/>
            <w:sz w:val="17"/>
            <w:szCs w:val="17"/>
            <w:u w:val="single" w:color="auto"/>
            <w:color w:val="0000FF"/>
          </w:rPr>
          <w:t>10.1*</w:t>
        </w:r>
      </w:hyperlink>
      <w:r>
        <w:rPr>
          <w:rFonts w:ascii="Arial" w:cs="Arial" w:eastAsia="Arial" w:hAnsi="Arial"/>
          <w:sz w:val="17"/>
          <w:szCs w:val="17"/>
          <w:color w:val="0000FF"/>
        </w:rPr>
        <w:tab/>
        <w:t>Comcast Corporation 2023 Omnibus Equity Incentive Plan, effective June 7, 2023 (incorporated by reference to Exhibit 10.1 to Comcast's Current Report on Form 8-K filed June 9, 2023).</w:t>
      </w:r>
    </w:p>
    <w:p>
      <w:pPr>
        <w:spacing w:after="0" w:line="3" w:lineRule="exact"/>
        <w:rPr>
          <w:sz w:val="20"/>
          <w:szCs w:val="20"/>
          <w:color w:val="auto"/>
        </w:rPr>
      </w:pPr>
    </w:p>
    <w:p>
      <w:pPr>
        <w:ind w:left="20"/>
        <w:spacing w:after="0"/>
        <w:tabs>
          <w:tab w:leader="none" w:pos="900" w:val="left"/>
        </w:tabs>
        <w:rPr>
          <w:rFonts w:ascii="Arial" w:cs="Arial" w:eastAsia="Arial" w:hAnsi="Arial"/>
          <w:sz w:val="17"/>
          <w:szCs w:val="17"/>
          <w:color w:val="0000FF"/>
        </w:rPr>
      </w:pPr>
      <w:hyperlink r:id="rId55">
        <w:r>
          <w:rPr>
            <w:rFonts w:ascii="Arial" w:cs="Arial" w:eastAsia="Arial" w:hAnsi="Arial"/>
            <w:sz w:val="17"/>
            <w:szCs w:val="17"/>
            <w:u w:val="single" w:color="auto"/>
            <w:color w:val="0000FF"/>
          </w:rPr>
          <w:t>10.2*</w:t>
        </w:r>
      </w:hyperlink>
      <w:r>
        <w:rPr>
          <w:rFonts w:ascii="Arial" w:cs="Arial" w:eastAsia="Arial" w:hAnsi="Arial"/>
          <w:sz w:val="17"/>
          <w:szCs w:val="17"/>
          <w:color w:val="0000FF"/>
        </w:rPr>
        <w:tab/>
      </w:r>
      <w:r>
        <w:rPr>
          <w:rFonts w:ascii="Arial" w:cs="Arial" w:eastAsia="Arial" w:hAnsi="Arial"/>
          <w:sz w:val="15"/>
          <w:szCs w:val="15"/>
          <w:color w:val="0000FF"/>
        </w:rPr>
        <w:t>Comcast Corporation 2002 Employee Stock Purchase Plan, as amended and restated effective June 7, 2023 (incorporated by reference to Exhibit</w:t>
      </w:r>
    </w:p>
    <w:p>
      <w:pPr>
        <w:ind w:left="920"/>
        <w:spacing w:after="0"/>
        <w:rPr>
          <w:sz w:val="20"/>
          <w:szCs w:val="20"/>
          <w:color w:val="auto"/>
        </w:rPr>
      </w:pPr>
      <w:r>
        <w:rPr>
          <w:rFonts w:ascii="Arial" w:cs="Arial" w:eastAsia="Arial" w:hAnsi="Arial"/>
          <w:sz w:val="17"/>
          <w:szCs w:val="17"/>
          <w:color w:val="auto"/>
        </w:rPr>
        <w:t>10.2 to Comcast's Current Report on Form 8-K filed June 9, 2023).</w:t>
      </w:r>
    </w:p>
    <w:p>
      <w:pPr>
        <w:spacing w:after="0" w:line="1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7"/>
          <w:szCs w:val="17"/>
          <w:u w:val="single" w:color="auto"/>
          <w:color w:val="0000FF"/>
        </w:rPr>
        <w:t>10.3*</w:t>
      </w:r>
      <w:r>
        <w:rPr>
          <w:sz w:val="20"/>
          <w:szCs w:val="20"/>
          <w:color w:val="auto"/>
        </w:rPr>
        <w:tab/>
      </w:r>
      <w:r>
        <w:rPr>
          <w:rFonts w:ascii="Arial" w:cs="Arial" w:eastAsia="Arial" w:hAnsi="Arial"/>
          <w:sz w:val="15"/>
          <w:szCs w:val="15"/>
          <w:color w:val="auto"/>
        </w:rPr>
        <w:t>Comcast Corporation Non-Employee Director Compensation Plan, as amended and restated effective July 11, 2023.</w:t>
      </w:r>
    </w:p>
    <w:p>
      <w:pPr>
        <w:spacing w:after="0" w:line="40" w:lineRule="exact"/>
        <w:rPr>
          <w:sz w:val="20"/>
          <w:szCs w:val="20"/>
          <w:color w:val="auto"/>
        </w:rPr>
      </w:pPr>
    </w:p>
    <w:p>
      <w:pPr>
        <w:ind w:left="920" w:hanging="898"/>
        <w:spacing w:after="0"/>
        <w:tabs>
          <w:tab w:leader="none" w:pos="920" w:val="left"/>
        </w:tabs>
        <w:numPr>
          <w:ilvl w:val="0"/>
          <w:numId w:val="20"/>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302 of the Sarbanes-Oxley Act of 2002.</w:t>
      </w:r>
    </w:p>
    <w:p>
      <w:pPr>
        <w:spacing w:after="0" w:line="26" w:lineRule="exact"/>
        <w:rPr>
          <w:rFonts w:ascii="Arial" w:cs="Arial" w:eastAsia="Arial" w:hAnsi="Arial"/>
          <w:sz w:val="17"/>
          <w:szCs w:val="17"/>
          <w:u w:val="single" w:color="auto"/>
          <w:color w:val="0000FF"/>
        </w:rPr>
      </w:pPr>
    </w:p>
    <w:p>
      <w:pPr>
        <w:ind w:left="920" w:hanging="898"/>
        <w:spacing w:after="0"/>
        <w:tabs>
          <w:tab w:leader="none" w:pos="920" w:val="left"/>
        </w:tabs>
        <w:numPr>
          <w:ilvl w:val="0"/>
          <w:numId w:val="20"/>
        </w:numPr>
        <w:rPr>
          <w:rFonts w:ascii="Arial" w:cs="Arial" w:eastAsia="Arial" w:hAnsi="Arial"/>
          <w:sz w:val="17"/>
          <w:szCs w:val="17"/>
          <w:u w:val="single" w:color="auto"/>
          <w:color w:val="0000FF"/>
        </w:rPr>
      </w:pPr>
      <w:r>
        <w:rPr>
          <w:rFonts w:ascii="Arial" w:cs="Arial" w:eastAsia="Arial" w:hAnsi="Arial"/>
          <w:sz w:val="17"/>
          <w:szCs w:val="17"/>
          <w:color w:val="auto"/>
        </w:rPr>
        <w:t>Certification of Chief Executive Officer and Chief Financial Officer pursuant to Section 906 of the Sarbanes-Oxley Act of 2002.</w:t>
      </w:r>
    </w:p>
    <w:p>
      <w:pPr>
        <w:spacing w:after="0" w:line="27" w:lineRule="exact"/>
        <w:rPr>
          <w:sz w:val="20"/>
          <w:szCs w:val="20"/>
          <w:color w:val="auto"/>
        </w:rPr>
      </w:pPr>
    </w:p>
    <w:p>
      <w:pPr>
        <w:jc w:val="both"/>
        <w:ind w:left="920" w:right="20" w:hanging="898"/>
        <w:spacing w:after="0" w:line="227" w:lineRule="auto"/>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six months ended June 30, 2023, filed with the Securities and Exchange Commission on July 27, 2023,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36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 w:lineRule="exact"/>
        <w:rPr>
          <w:sz w:val="20"/>
          <w:szCs w:val="20"/>
          <w:color w:val="auto"/>
        </w:rPr>
      </w:pPr>
    </w:p>
    <w:p>
      <w:pPr>
        <w:ind w:left="920" w:hanging="898"/>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9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COMCAST CORPORATION</w:t>
      </w:r>
    </w:p>
    <w:p>
      <w:pPr>
        <w:spacing w:after="0" w:line="92"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4048760</wp:posOffset>
            </wp:positionH>
            <wp:positionV relativeFrom="paragraph">
              <wp:posOffset>16510</wp:posOffset>
            </wp:positionV>
            <wp:extent cx="3090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Daniel C. Murdock</w:t>
      </w:r>
    </w:p>
    <w:p>
      <w:pPr>
        <w:ind w:left="6400"/>
        <w:spacing w:after="0"/>
        <w:rPr>
          <w:sz w:val="20"/>
          <w:szCs w:val="20"/>
          <w:color w:val="auto"/>
        </w:rPr>
      </w:pPr>
      <w:r>
        <w:rPr>
          <w:rFonts w:ascii="Arial" w:cs="Arial" w:eastAsia="Arial" w:hAnsi="Arial"/>
          <w:sz w:val="16"/>
          <w:szCs w:val="16"/>
          <w:color w:val="auto"/>
        </w:rPr>
        <w:t>Executive Vice President, Chief Accounting Officer and Controller</w:t>
      </w:r>
    </w:p>
    <w:p>
      <w:pPr>
        <w:ind w:left="6400"/>
        <w:spacing w:after="0"/>
        <w:rPr>
          <w:sz w:val="20"/>
          <w:szCs w:val="20"/>
          <w:color w:val="auto"/>
        </w:rPr>
      </w:pPr>
      <w:r>
        <w:rPr>
          <w:rFonts w:ascii="Arial" w:cs="Arial" w:eastAsia="Arial" w:hAnsi="Arial"/>
          <w:sz w:val="17"/>
          <w:szCs w:val="17"/>
          <w:color w:val="auto"/>
        </w:rPr>
        <w:t>(Principal Accounting Officer)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Date: July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7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1"/>
          <w:szCs w:val="21"/>
          <w:b w:val="1"/>
          <w:bCs w:val="1"/>
          <w:color w:val="auto"/>
        </w:rPr>
        <w:t>Exhibit 10.3</w:t>
      </w:r>
    </w:p>
    <w:p>
      <w:pPr>
        <w:spacing w:after="0" w:line="203" w:lineRule="exact"/>
        <w:rPr>
          <w:sz w:val="20"/>
          <w:szCs w:val="20"/>
          <w:color w:val="auto"/>
        </w:rPr>
      </w:pPr>
    </w:p>
    <w:p>
      <w:pPr>
        <w:ind w:left="4280"/>
        <w:spacing w:after="0"/>
        <w:rPr>
          <w:sz w:val="20"/>
          <w:szCs w:val="20"/>
          <w:color w:val="auto"/>
        </w:rPr>
      </w:pPr>
      <w:r>
        <w:rPr>
          <w:rFonts w:ascii="Arial" w:cs="Arial" w:eastAsia="Arial" w:hAnsi="Arial"/>
          <w:sz w:val="21"/>
          <w:szCs w:val="21"/>
          <w:b w:val="1"/>
          <w:bCs w:val="1"/>
          <w:color w:val="auto"/>
        </w:rPr>
        <w:t>COMCAST CORPORATION</w:t>
      </w:r>
    </w:p>
    <w:p>
      <w:pPr>
        <w:spacing w:after="0" w:line="177" w:lineRule="exact"/>
        <w:rPr>
          <w:sz w:val="20"/>
          <w:szCs w:val="20"/>
          <w:color w:val="auto"/>
        </w:rPr>
      </w:pPr>
    </w:p>
    <w:p>
      <w:pPr>
        <w:ind w:left="2980"/>
        <w:spacing w:after="0"/>
        <w:rPr>
          <w:sz w:val="20"/>
          <w:szCs w:val="20"/>
          <w:color w:val="auto"/>
        </w:rPr>
      </w:pPr>
      <w:r>
        <w:rPr>
          <w:rFonts w:ascii="Arial" w:cs="Arial" w:eastAsia="Arial" w:hAnsi="Arial"/>
          <w:sz w:val="21"/>
          <w:szCs w:val="21"/>
          <w:b w:val="1"/>
          <w:bCs w:val="1"/>
          <w:color w:val="auto"/>
        </w:rPr>
        <w:t>NON-EMPLOYEE DIRECTOR COMPENSATION PLAN</w:t>
      </w:r>
    </w:p>
    <w:p>
      <w:pPr>
        <w:spacing w:after="0" w:line="183"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(As Amended And Restated, Effective July 11, 2023)</w:t>
      </w:r>
    </w:p>
    <w:p>
      <w:pPr>
        <w:spacing w:after="0" w:line="171"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21"/>
          <w:szCs w:val="21"/>
          <w:b w:val="1"/>
          <w:bCs w:val="1"/>
          <w:color w:val="auto"/>
        </w:rPr>
        <w:t>1.</w:t>
      </w:r>
      <w:r>
        <w:rPr>
          <w:sz w:val="20"/>
          <w:szCs w:val="20"/>
          <w:color w:val="auto"/>
        </w:rPr>
        <w:tab/>
      </w:r>
      <w:r>
        <w:rPr>
          <w:rFonts w:ascii="Arial" w:cs="Arial" w:eastAsia="Arial" w:hAnsi="Arial"/>
          <w:sz w:val="20"/>
          <w:szCs w:val="20"/>
          <w:b w:val="1"/>
          <w:bCs w:val="1"/>
          <w:color w:val="auto"/>
        </w:rPr>
        <w:t>BACKGROUND AND PURPOSE</w:t>
      </w:r>
    </w:p>
    <w:p>
      <w:pPr>
        <w:spacing w:after="0" w:line="183" w:lineRule="exact"/>
        <w:rPr>
          <w:sz w:val="20"/>
          <w:szCs w:val="20"/>
          <w:color w:val="auto"/>
        </w:rPr>
      </w:pPr>
    </w:p>
    <w:p>
      <w:pPr>
        <w:ind w:right="20" w:firstLine="1884"/>
        <w:spacing w:after="0" w:line="222" w:lineRule="auto"/>
        <w:rPr>
          <w:sz w:val="20"/>
          <w:szCs w:val="20"/>
          <w:color w:val="auto"/>
        </w:rPr>
      </w:pPr>
      <w:r>
        <w:rPr>
          <w:rFonts w:ascii="Arial" w:cs="Arial" w:eastAsia="Arial" w:hAnsi="Arial"/>
          <w:sz w:val="21"/>
          <w:szCs w:val="21"/>
          <w:color w:val="auto"/>
        </w:rPr>
        <w:t>COMCAST CORPORATION, a Pennsylvania corporation, hereby amends and restates the Comcast Corporation Non-Employee Director Compensation Plan, effective July 11, 2023, except as otherwise specifically provided herein. The purpose of the Plan is to provide Non-Employee Directors of COMCAST CORPORATION (the “Company”) with compensation for services to the Company.</w:t>
      </w:r>
    </w:p>
    <w:p>
      <w:pPr>
        <w:spacing w:after="0" w:line="147" w:lineRule="exact"/>
        <w:rPr>
          <w:sz w:val="20"/>
          <w:szCs w:val="20"/>
          <w:color w:val="auto"/>
        </w:rPr>
      </w:pPr>
    </w:p>
    <w:p>
      <w:pPr>
        <w:ind w:left="780" w:hanging="357"/>
        <w:spacing w:after="0"/>
        <w:tabs>
          <w:tab w:leader="none" w:pos="780"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p>
    <w:p>
      <w:pPr>
        <w:spacing w:after="0" w:line="183" w:lineRule="exact"/>
        <w:rPr>
          <w:rFonts w:ascii="Arial" w:cs="Arial" w:eastAsia="Arial" w:hAnsi="Arial"/>
          <w:sz w:val="21"/>
          <w:szCs w:val="21"/>
          <w:b w:val="1"/>
          <w:bCs w:val="1"/>
          <w:color w:val="auto"/>
        </w:rPr>
      </w:pPr>
    </w:p>
    <w:p>
      <w:pPr>
        <w:ind w:right="60" w:firstLine="737"/>
        <w:spacing w:after="0" w:line="256" w:lineRule="auto"/>
        <w:tabs>
          <w:tab w:leader="none" w:pos="1174" w:val="left"/>
        </w:tabs>
        <w:numPr>
          <w:ilvl w:val="2"/>
          <w:numId w:val="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Retainer</w:t>
      </w:r>
      <w:r>
        <w:rPr>
          <w:rFonts w:ascii="Arial" w:cs="Arial" w:eastAsia="Arial" w:hAnsi="Arial"/>
          <w:sz w:val="20"/>
          <w:szCs w:val="20"/>
          <w:color w:val="auto"/>
        </w:rPr>
        <w:t>” means the amount payable for service as a Non-Employee Director for a calendar year, as a member of the Board, and as a member of one or more Committees as determined under Paragraph 3(a) of the Plan.</w:t>
      </w:r>
    </w:p>
    <w:p>
      <w:pPr>
        <w:spacing w:after="0" w:line="163" w:lineRule="exact"/>
        <w:rPr>
          <w:rFonts w:ascii="Arial" w:cs="Arial" w:eastAsia="Arial" w:hAnsi="Arial"/>
          <w:sz w:val="20"/>
          <w:szCs w:val="20"/>
          <w:color w:val="auto"/>
        </w:rPr>
      </w:pPr>
    </w:p>
    <w:p>
      <w:pPr>
        <w:ind w:left="1240" w:hanging="503"/>
        <w:spacing w:after="0"/>
        <w:tabs>
          <w:tab w:leader="none" w:pos="1240" w:val="left"/>
        </w:tabs>
        <w:numPr>
          <w:ilvl w:val="2"/>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203" w:lineRule="exact"/>
        <w:rPr>
          <w:rFonts w:ascii="Arial" w:cs="Arial" w:eastAsia="Arial" w:hAnsi="Arial"/>
          <w:sz w:val="21"/>
          <w:szCs w:val="21"/>
          <w:color w:val="auto"/>
        </w:rPr>
      </w:pPr>
    </w:p>
    <w:p>
      <w:pPr>
        <w:ind w:left="1240" w:hanging="503"/>
        <w:spacing w:after="0"/>
        <w:tabs>
          <w:tab w:leader="none" w:pos="1240" w:val="left"/>
        </w:tabs>
        <w:numPr>
          <w:ilvl w:val="2"/>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Meeting</w:t>
      </w:r>
      <w:r>
        <w:rPr>
          <w:rFonts w:ascii="Arial" w:cs="Arial" w:eastAsia="Arial" w:hAnsi="Arial"/>
          <w:sz w:val="21"/>
          <w:szCs w:val="21"/>
          <w:color w:val="auto"/>
        </w:rPr>
        <w:t>” means a meeting of the Board, whether in person or by telephone or video conference.</w:t>
      </w:r>
    </w:p>
    <w:p>
      <w:pPr>
        <w:spacing w:after="0" w:line="203" w:lineRule="exact"/>
        <w:rPr>
          <w:rFonts w:ascii="Arial" w:cs="Arial" w:eastAsia="Arial" w:hAnsi="Arial"/>
          <w:sz w:val="21"/>
          <w:szCs w:val="21"/>
          <w:color w:val="auto"/>
        </w:rPr>
      </w:pPr>
    </w:p>
    <w:p>
      <w:pPr>
        <w:ind w:left="1240" w:hanging="503"/>
        <w:spacing w:after="0"/>
        <w:tabs>
          <w:tab w:leader="none" w:pos="1240" w:val="left"/>
        </w:tabs>
        <w:numPr>
          <w:ilvl w:val="2"/>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means a duly-constituted committee of the Board.</w:t>
      </w:r>
    </w:p>
    <w:p>
      <w:pPr>
        <w:spacing w:after="0" w:line="203" w:lineRule="exact"/>
        <w:rPr>
          <w:rFonts w:ascii="Arial" w:cs="Arial" w:eastAsia="Arial" w:hAnsi="Arial"/>
          <w:sz w:val="21"/>
          <w:szCs w:val="21"/>
          <w:color w:val="auto"/>
        </w:rPr>
      </w:pPr>
    </w:p>
    <w:p>
      <w:pPr>
        <w:ind w:right="180" w:firstLine="737"/>
        <w:spacing w:after="0" w:line="236" w:lineRule="auto"/>
        <w:tabs>
          <w:tab w:leader="none" w:pos="1174" w:val="left"/>
        </w:tabs>
        <w:numPr>
          <w:ilvl w:val="2"/>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 Meeting</w:t>
      </w:r>
      <w:r>
        <w:rPr>
          <w:rFonts w:ascii="Arial" w:cs="Arial" w:eastAsia="Arial" w:hAnsi="Arial"/>
          <w:sz w:val="21"/>
          <w:szCs w:val="21"/>
          <w:color w:val="auto"/>
        </w:rPr>
        <w:t>” means a meeting of a Committee, whether in person or by telephone or video conference, other than a meeting of a Committee that is convened and held during a Board Meeting.</w:t>
      </w:r>
    </w:p>
    <w:p>
      <w:pPr>
        <w:spacing w:after="0" w:line="179" w:lineRule="exact"/>
        <w:rPr>
          <w:rFonts w:ascii="Arial" w:cs="Arial" w:eastAsia="Arial" w:hAnsi="Arial"/>
          <w:sz w:val="21"/>
          <w:szCs w:val="21"/>
          <w:color w:val="auto"/>
        </w:rPr>
      </w:pPr>
    </w:p>
    <w:p>
      <w:pPr>
        <w:ind w:right="580" w:firstLine="737"/>
        <w:spacing w:after="0" w:line="236" w:lineRule="auto"/>
        <w:tabs>
          <w:tab w:leader="none" w:pos="1151" w:val="left"/>
        </w:tabs>
        <w:numPr>
          <w:ilvl w:val="2"/>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spacing w:after="0" w:line="179" w:lineRule="exact"/>
        <w:rPr>
          <w:rFonts w:ascii="Arial" w:cs="Arial" w:eastAsia="Arial" w:hAnsi="Arial"/>
          <w:sz w:val="21"/>
          <w:szCs w:val="21"/>
          <w:color w:val="auto"/>
        </w:rPr>
      </w:pPr>
    </w:p>
    <w:p>
      <w:pPr>
        <w:jc w:val="both"/>
        <w:ind w:right="140" w:firstLine="737"/>
        <w:spacing w:after="0" w:line="226" w:lineRule="auto"/>
        <w:tabs>
          <w:tab w:leader="none" w:pos="1238" w:val="left"/>
        </w:tabs>
        <w:numPr>
          <w:ilvl w:val="2"/>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Deferred Compensation Plan</w:t>
      </w:r>
      <w:r>
        <w:rPr>
          <w:rFonts w:ascii="Arial" w:cs="Arial" w:eastAsia="Arial" w:hAnsi="Arial"/>
          <w:sz w:val="21"/>
          <w:szCs w:val="21"/>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181" w:lineRule="exact"/>
        <w:rPr>
          <w:rFonts w:ascii="Arial" w:cs="Arial" w:eastAsia="Arial" w:hAnsi="Arial"/>
          <w:sz w:val="21"/>
          <w:szCs w:val="21"/>
          <w:color w:val="auto"/>
        </w:rPr>
      </w:pPr>
    </w:p>
    <w:p>
      <w:pPr>
        <w:ind w:right="200" w:firstLine="633"/>
        <w:spacing w:after="0" w:line="236" w:lineRule="auto"/>
        <w:tabs>
          <w:tab w:leader="none" w:pos="1081" w:val="left"/>
        </w:tabs>
        <w:numPr>
          <w:ilvl w:val="1"/>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 Emeritus</w:t>
      </w:r>
      <w:r>
        <w:rPr>
          <w:rFonts w:ascii="Arial" w:cs="Arial" w:eastAsia="Arial" w:hAnsi="Arial"/>
          <w:sz w:val="21"/>
          <w:szCs w:val="21"/>
          <w:color w:val="auto"/>
        </w:rPr>
        <w:t>” means an individual designated by the Board, in its sole discretion, as Director Emeritus, pursuant to the Board’s Director Emeritus Policy.</w:t>
      </w:r>
    </w:p>
    <w:p>
      <w:pPr>
        <w:spacing w:after="0" w:line="179" w:lineRule="exact"/>
        <w:rPr>
          <w:rFonts w:ascii="Arial" w:cs="Arial" w:eastAsia="Arial" w:hAnsi="Arial"/>
          <w:sz w:val="21"/>
          <w:szCs w:val="21"/>
          <w:color w:val="auto"/>
        </w:rPr>
      </w:pPr>
    </w:p>
    <w:p>
      <w:pPr>
        <w:ind w:left="1040" w:hanging="407"/>
        <w:spacing w:after="0"/>
        <w:tabs>
          <w:tab w:leader="none" w:pos="1040" w:val="left"/>
        </w:tabs>
        <w:numPr>
          <w:ilvl w:val="1"/>
          <w:numId w:val="2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w:t>
      </w:r>
    </w:p>
    <w:p>
      <w:pPr>
        <w:spacing w:after="0" w:line="203" w:lineRule="exact"/>
        <w:rPr>
          <w:rFonts w:ascii="Arial" w:cs="Arial" w:eastAsia="Arial" w:hAnsi="Arial"/>
          <w:sz w:val="21"/>
          <w:szCs w:val="21"/>
          <w:color w:val="auto"/>
        </w:rPr>
      </w:pPr>
    </w:p>
    <w:p>
      <w:pPr>
        <w:ind w:right="60" w:firstLine="1365"/>
        <w:spacing w:after="0" w:line="226" w:lineRule="auto"/>
        <w:tabs>
          <w:tab w:leader="none" w:pos="1768" w:val="left"/>
        </w:tabs>
        <w:numPr>
          <w:ilvl w:val="3"/>
          <w:numId w:val="23"/>
        </w:numPr>
        <w:rPr>
          <w:rFonts w:ascii="Arial" w:cs="Arial" w:eastAsia="Arial" w:hAnsi="Arial"/>
          <w:sz w:val="21"/>
          <w:szCs w:val="21"/>
          <w:color w:val="auto"/>
        </w:rPr>
      </w:pPr>
      <w:r>
        <w:rPr>
          <w:rFonts w:ascii="Arial" w:cs="Arial" w:eastAsia="Arial" w:hAnsi="Arial"/>
          <w:sz w:val="21"/>
          <w:szCs w:val="21"/>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55" w:lineRule="exact"/>
        <w:rPr>
          <w:rFonts w:ascii="Arial" w:cs="Arial" w:eastAsia="Arial" w:hAnsi="Arial"/>
          <w:sz w:val="21"/>
          <w:szCs w:val="21"/>
          <w:color w:val="auto"/>
        </w:rPr>
      </w:pPr>
    </w:p>
    <w:p>
      <w:pPr>
        <w:ind w:right="220" w:firstLine="1313"/>
        <w:spacing w:after="0" w:line="236" w:lineRule="auto"/>
        <w:tabs>
          <w:tab w:leader="none" w:pos="1774" w:val="left"/>
        </w:tabs>
        <w:numPr>
          <w:ilvl w:val="3"/>
          <w:numId w:val="23"/>
        </w:numPr>
        <w:rPr>
          <w:rFonts w:ascii="Arial" w:cs="Arial" w:eastAsia="Arial" w:hAnsi="Arial"/>
          <w:sz w:val="21"/>
          <w:szCs w:val="21"/>
          <w:color w:val="auto"/>
        </w:rPr>
      </w:pPr>
      <w:r>
        <w:rPr>
          <w:rFonts w:ascii="Arial" w:cs="Arial" w:eastAsia="Arial" w:hAnsi="Arial"/>
          <w:sz w:val="21"/>
          <w:szCs w:val="21"/>
          <w:color w:val="auto"/>
        </w:rPr>
        <w:t>If Shares are not so listed, but trades of Shares are reported on the Nasdaq National Market, Fair Market Value shall be determined based on the last quoted</w:t>
      </w:r>
    </w:p>
    <w:p>
      <w:pPr>
        <w:sectPr>
          <w:pgSz w:w="11900" w:h="16838" w:orient="portrait"/>
          <w:cols w:equalWidth="0" w:num="1">
            <w:col w:w="11240"/>
          </w:cols>
          <w:pgMar w:left="320" w:top="1355" w:right="339" w:bottom="1440" w:gutter="0" w:footer="0" w:header="0"/>
        </w:sectPr>
      </w:pPr>
    </w:p>
    <w:bookmarkStart w:id="40" w:name="page41"/>
    <w:bookmarkEnd w:id="40"/>
    <w:p>
      <w:pPr>
        <w:ind w:right="60"/>
        <w:spacing w:after="0" w:line="236" w:lineRule="auto"/>
        <w:rPr>
          <w:sz w:val="20"/>
          <w:szCs w:val="20"/>
          <w:color w:val="auto"/>
        </w:rPr>
      </w:pPr>
      <w:r>
        <w:rPr>
          <w:rFonts w:ascii="Arial" w:cs="Arial" w:eastAsia="Arial" w:hAnsi="Arial"/>
          <w:sz w:val="21"/>
          <w:szCs w:val="21"/>
          <w:color w:val="auto"/>
        </w:rPr>
        <w:t>sale price of a Share on the Nasdaq National Market on the date of determination, or if such date is not a trading day, the next trading date.</w:t>
      </w:r>
    </w:p>
    <w:p>
      <w:pPr>
        <w:spacing w:after="0" w:line="153" w:lineRule="exact"/>
        <w:rPr>
          <w:sz w:val="20"/>
          <w:szCs w:val="20"/>
          <w:color w:val="auto"/>
        </w:rPr>
      </w:pPr>
    </w:p>
    <w:p>
      <w:pPr>
        <w:ind w:right="620" w:firstLine="1365"/>
        <w:spacing w:after="0" w:line="236" w:lineRule="auto"/>
        <w:tabs>
          <w:tab w:leader="none" w:pos="1884" w:val="left"/>
        </w:tabs>
        <w:numPr>
          <w:ilvl w:val="6"/>
          <w:numId w:val="24"/>
        </w:numPr>
        <w:rPr>
          <w:rFonts w:ascii="Arial" w:cs="Arial" w:eastAsia="Arial" w:hAnsi="Arial"/>
          <w:sz w:val="21"/>
          <w:szCs w:val="21"/>
          <w:color w:val="auto"/>
        </w:rPr>
      </w:pPr>
      <w:r>
        <w:rPr>
          <w:rFonts w:ascii="Arial" w:cs="Arial" w:eastAsia="Arial" w:hAnsi="Arial"/>
          <w:sz w:val="21"/>
          <w:szCs w:val="21"/>
          <w:color w:val="auto"/>
        </w:rPr>
        <w:t>If Shares are not so listed nor trades of Shares so reported, Fair Market Value shall be determined by the Committee in good faith.</w:t>
      </w:r>
    </w:p>
    <w:p>
      <w:pPr>
        <w:spacing w:after="0" w:line="179" w:lineRule="exact"/>
        <w:rPr>
          <w:rFonts w:ascii="Arial" w:cs="Arial" w:eastAsia="Arial" w:hAnsi="Arial"/>
          <w:sz w:val="21"/>
          <w:szCs w:val="21"/>
          <w:color w:val="auto"/>
        </w:rPr>
      </w:pPr>
    </w:p>
    <w:p>
      <w:pPr>
        <w:ind w:right="560" w:firstLine="737"/>
        <w:spacing w:after="0" w:line="282" w:lineRule="auto"/>
        <w:tabs>
          <w:tab w:leader="none" w:pos="1140" w:val="left"/>
        </w:tabs>
        <w:numPr>
          <w:ilvl w:val="3"/>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employee of the Company, including an individual who is a member of the Board and who previously was an employee of the Company.</w:t>
      </w:r>
    </w:p>
    <w:p>
      <w:pPr>
        <w:spacing w:after="0" w:line="140" w:lineRule="exact"/>
        <w:rPr>
          <w:rFonts w:ascii="Arial" w:cs="Arial" w:eastAsia="Arial" w:hAnsi="Arial"/>
          <w:sz w:val="19"/>
          <w:szCs w:val="19"/>
          <w:color w:val="auto"/>
        </w:rPr>
      </w:pPr>
    </w:p>
    <w:p>
      <w:pPr>
        <w:ind w:firstLine="737"/>
        <w:spacing w:after="0" w:line="236" w:lineRule="auto"/>
        <w:tabs>
          <w:tab w:leader="none" w:pos="1186" w:val="left"/>
        </w:tabs>
        <w:numPr>
          <w:ilvl w:val="3"/>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Omnibus Plan</w:t>
      </w:r>
      <w:r>
        <w:rPr>
          <w:rFonts w:ascii="Arial" w:cs="Arial" w:eastAsia="Arial" w:hAnsi="Arial"/>
          <w:sz w:val="21"/>
          <w:szCs w:val="21"/>
          <w:color w:val="auto"/>
        </w:rPr>
        <w:t>” means the Comcast Corporation 2023 Omnibus Equity Incentive Plan (or any successor plan, pursuant to which the Company grants restricted stock or restricted stock units).</w:t>
      </w:r>
    </w:p>
    <w:p>
      <w:pPr>
        <w:spacing w:after="0" w:line="179" w:lineRule="exact"/>
        <w:rPr>
          <w:rFonts w:ascii="Arial" w:cs="Arial" w:eastAsia="Arial" w:hAnsi="Arial"/>
          <w:sz w:val="21"/>
          <w:szCs w:val="21"/>
          <w:color w:val="auto"/>
        </w:rPr>
      </w:pPr>
    </w:p>
    <w:p>
      <w:pPr>
        <w:ind w:right="720" w:firstLine="737"/>
        <w:spacing w:after="0" w:line="236" w:lineRule="auto"/>
        <w:tabs>
          <w:tab w:leader="none" w:pos="1192" w:val="left"/>
        </w:tabs>
        <w:numPr>
          <w:ilvl w:val="3"/>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the Comcast Corporation Non-Employee Director Compensation Plan, as set forth herein, and as amended from time to time.</w:t>
      </w:r>
    </w:p>
    <w:p>
      <w:pPr>
        <w:spacing w:after="0" w:line="179" w:lineRule="exact"/>
        <w:rPr>
          <w:rFonts w:ascii="Arial" w:cs="Arial" w:eastAsia="Arial" w:hAnsi="Arial"/>
          <w:sz w:val="21"/>
          <w:szCs w:val="21"/>
          <w:color w:val="auto"/>
        </w:rPr>
      </w:pPr>
    </w:p>
    <w:p>
      <w:pPr>
        <w:ind w:left="1240" w:hanging="503"/>
        <w:spacing w:after="0"/>
        <w:tabs>
          <w:tab w:leader="none" w:pos="1240" w:val="left"/>
        </w:tabs>
        <w:numPr>
          <w:ilvl w:val="3"/>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Year</w:t>
      </w:r>
      <w:r>
        <w:rPr>
          <w:rFonts w:ascii="Arial" w:cs="Arial" w:eastAsia="Arial" w:hAnsi="Arial"/>
          <w:sz w:val="21"/>
          <w:szCs w:val="21"/>
          <w:color w:val="auto"/>
        </w:rPr>
        <w:t>” means the calendar year.</w:t>
      </w:r>
    </w:p>
    <w:p>
      <w:pPr>
        <w:spacing w:after="0" w:line="200" w:lineRule="exact"/>
        <w:rPr>
          <w:rFonts w:ascii="Arial" w:cs="Arial" w:eastAsia="Arial" w:hAnsi="Arial"/>
          <w:sz w:val="21"/>
          <w:szCs w:val="21"/>
          <w:color w:val="auto"/>
        </w:rPr>
      </w:pPr>
    </w:p>
    <w:p>
      <w:pPr>
        <w:spacing w:after="0" w:line="238" w:lineRule="exact"/>
        <w:rPr>
          <w:rFonts w:ascii="Arial" w:cs="Arial" w:eastAsia="Arial" w:hAnsi="Arial"/>
          <w:sz w:val="21"/>
          <w:szCs w:val="21"/>
          <w:color w:val="auto"/>
        </w:rPr>
      </w:pPr>
    </w:p>
    <w:p>
      <w:pPr>
        <w:ind w:left="1140" w:hanging="455"/>
        <w:spacing w:after="0"/>
        <w:tabs>
          <w:tab w:leader="none" w:pos="1140" w:val="left"/>
        </w:tabs>
        <w:numPr>
          <w:ilvl w:val="2"/>
          <w:numId w:val="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Restricted Stock Unit granted under the Omnibus Plan.</w:t>
      </w:r>
    </w:p>
    <w:p>
      <w:pPr>
        <w:spacing w:after="0" w:line="203" w:lineRule="exact"/>
        <w:rPr>
          <w:rFonts w:ascii="Arial" w:cs="Arial" w:eastAsia="Arial" w:hAnsi="Arial"/>
          <w:sz w:val="21"/>
          <w:szCs w:val="21"/>
          <w:color w:val="auto"/>
        </w:rPr>
      </w:pPr>
    </w:p>
    <w:p>
      <w:pPr>
        <w:ind w:left="1200" w:hanging="463"/>
        <w:spacing w:after="0"/>
        <w:tabs>
          <w:tab w:leader="none" w:pos="1200" w:val="left"/>
        </w:tabs>
        <w:numPr>
          <w:ilvl w:val="3"/>
          <w:numId w:val="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w:t>
      </w:r>
      <w:r>
        <w:rPr>
          <w:rFonts w:ascii="Arial" w:cs="Arial" w:eastAsia="Arial" w:hAnsi="Arial"/>
          <w:sz w:val="21"/>
          <w:szCs w:val="21"/>
          <w:color w:val="auto"/>
        </w:rPr>
        <w:t>” means a share of Comcast Corporation Class A Common Stock, par value $0.01.</w:t>
      </w:r>
    </w:p>
    <w:p>
      <w:pPr>
        <w:spacing w:after="0" w:line="197" w:lineRule="exact"/>
        <w:rPr>
          <w:rFonts w:ascii="Arial" w:cs="Arial" w:eastAsia="Arial" w:hAnsi="Arial"/>
          <w:sz w:val="21"/>
          <w:szCs w:val="21"/>
          <w:color w:val="auto"/>
        </w:rPr>
      </w:pPr>
    </w:p>
    <w:p>
      <w:pPr>
        <w:ind w:left="780" w:hanging="357"/>
        <w:spacing w:after="0"/>
        <w:tabs>
          <w:tab w:leader="none" w:pos="780"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NON-EMPLOYEE DIRECTOR COMPENSATION</w:t>
      </w:r>
    </w:p>
    <w:p>
      <w:pPr>
        <w:spacing w:after="0" w:line="209" w:lineRule="exact"/>
        <w:rPr>
          <w:rFonts w:ascii="Arial" w:cs="Arial" w:eastAsia="Arial" w:hAnsi="Arial"/>
          <w:sz w:val="21"/>
          <w:szCs w:val="21"/>
          <w:b w:val="1"/>
          <w:bCs w:val="1"/>
          <w:color w:val="auto"/>
        </w:rPr>
      </w:pPr>
    </w:p>
    <w:p>
      <w:pPr>
        <w:jc w:val="both"/>
        <w:ind w:right="80" w:firstLine="633"/>
        <w:spacing w:after="0" w:line="222" w:lineRule="auto"/>
        <w:tabs>
          <w:tab w:leader="none" w:pos="1070"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Non-Employee Director Compensation Package</w:t>
      </w:r>
      <w:r>
        <w:rPr>
          <w:rFonts w:ascii="Arial" w:cs="Arial" w:eastAsia="Arial" w:hAnsi="Arial"/>
          <w:sz w:val="21"/>
          <w:szCs w:val="21"/>
          <w:color w:val="auto"/>
        </w:rPr>
        <w:t>. Non-Employee Director compensation for service as a director before October 1, 2023 shall be governed by the terms of the 2002 Comcast Corporation Non-Employee Director Compensation Plan dated as of July 31, 2020. Effective October 1, 2023, Non-Employee Directors shall be entitled to payments, grants and awards determined as follows:</w:t>
      </w:r>
    </w:p>
    <w:p>
      <w:pPr>
        <w:spacing w:after="0" w:line="179" w:lineRule="exact"/>
        <w:rPr>
          <w:rFonts w:ascii="Arial" w:cs="Arial" w:eastAsia="Arial" w:hAnsi="Arial"/>
          <w:sz w:val="21"/>
          <w:szCs w:val="21"/>
          <w:color w:val="auto"/>
        </w:rPr>
      </w:pPr>
    </w:p>
    <w:p>
      <w:pPr>
        <w:ind w:left="1360" w:hanging="466"/>
        <w:spacing w:after="0"/>
        <w:tabs>
          <w:tab w:leader="none" w:pos="1360" w:val="left"/>
        </w:tabs>
        <w:numPr>
          <w:ilvl w:val="4"/>
          <w:numId w:val="27"/>
        </w:numPr>
        <w:rPr>
          <w:rFonts w:ascii="Arial" w:cs="Arial" w:eastAsia="Arial" w:hAnsi="Arial"/>
          <w:sz w:val="19"/>
          <w:szCs w:val="19"/>
          <w:color w:val="auto"/>
        </w:rPr>
      </w:pPr>
      <w:r>
        <w:rPr>
          <w:rFonts w:ascii="Arial" w:cs="Arial" w:eastAsia="Arial" w:hAnsi="Arial"/>
          <w:sz w:val="19"/>
          <w:szCs w:val="19"/>
          <w:u w:val="single" w:color="auto"/>
          <w:color w:val="auto"/>
        </w:rPr>
        <w:t>Annual Retainer</w:t>
      </w:r>
      <w:r>
        <w:rPr>
          <w:rFonts w:ascii="Arial" w:cs="Arial" w:eastAsia="Arial" w:hAnsi="Arial"/>
          <w:sz w:val="19"/>
          <w:szCs w:val="19"/>
          <w:color w:val="auto"/>
        </w:rPr>
        <w:t>. The Annual Retainer for service to the Company as a Non-Employee Director shall be $120,000.</w:t>
      </w:r>
    </w:p>
    <w:p>
      <w:pPr>
        <w:spacing w:after="0" w:line="226" w:lineRule="exact"/>
        <w:rPr>
          <w:rFonts w:ascii="Arial" w:cs="Arial" w:eastAsia="Arial" w:hAnsi="Arial"/>
          <w:sz w:val="19"/>
          <w:szCs w:val="19"/>
          <w:color w:val="auto"/>
        </w:rPr>
      </w:pPr>
    </w:p>
    <w:p>
      <w:pPr>
        <w:ind w:right="80" w:firstLine="842"/>
        <w:spacing w:after="0" w:line="222" w:lineRule="auto"/>
        <w:tabs>
          <w:tab w:leader="none" w:pos="1302" w:val="left"/>
        </w:tabs>
        <w:numPr>
          <w:ilvl w:val="4"/>
          <w:numId w:val="27"/>
        </w:numPr>
        <w:rPr>
          <w:rFonts w:ascii="Arial" w:cs="Arial" w:eastAsia="Arial" w:hAnsi="Arial"/>
          <w:sz w:val="21"/>
          <w:szCs w:val="21"/>
          <w:color w:val="auto"/>
        </w:rPr>
      </w:pPr>
      <w:r>
        <w:rPr>
          <w:rFonts w:ascii="Arial" w:cs="Arial" w:eastAsia="Arial" w:hAnsi="Arial"/>
          <w:sz w:val="21"/>
          <w:szCs w:val="21"/>
          <w:u w:val="single" w:color="auto"/>
          <w:color w:val="auto"/>
        </w:rPr>
        <w:t>Board Meeting Fee; Committee Meeting Fee; Other Assignments</w:t>
      </w:r>
      <w:r>
        <w:rPr>
          <w:rFonts w:ascii="Arial" w:cs="Arial" w:eastAsia="Arial" w:hAnsi="Arial"/>
          <w:sz w:val="21"/>
          <w:szCs w:val="21"/>
          <w:color w:val="auto"/>
        </w:rPr>
        <w:t>. No fee shall be payable for attendance in person or via telephone or video conference at a Board Meeting or Committee Meeting. A fee of $2,500 shall be paid when a member of the Board attends a meeting (other than a Board Meeting or Committee Meeting) or conducts business on behalf of the Company in his or her capacity as a Director.</w:t>
      </w:r>
    </w:p>
    <w:p>
      <w:pPr>
        <w:spacing w:after="0" w:line="179" w:lineRule="exact"/>
        <w:rPr>
          <w:rFonts w:ascii="Arial" w:cs="Arial" w:eastAsia="Arial" w:hAnsi="Arial"/>
          <w:sz w:val="21"/>
          <w:szCs w:val="21"/>
          <w:color w:val="auto"/>
        </w:rPr>
      </w:pPr>
    </w:p>
    <w:p>
      <w:pPr>
        <w:ind w:right="100" w:firstLine="842"/>
        <w:spacing w:after="0" w:line="222" w:lineRule="auto"/>
        <w:tabs>
          <w:tab w:leader="none" w:pos="1413" w:val="left"/>
        </w:tabs>
        <w:numPr>
          <w:ilvl w:val="5"/>
          <w:numId w:val="27"/>
        </w:numPr>
        <w:rPr>
          <w:rFonts w:ascii="Arial" w:cs="Arial" w:eastAsia="Arial" w:hAnsi="Arial"/>
          <w:sz w:val="21"/>
          <w:szCs w:val="21"/>
          <w:color w:val="auto"/>
        </w:rPr>
      </w:pPr>
      <w:r>
        <w:rPr>
          <w:rFonts w:ascii="Arial" w:cs="Arial" w:eastAsia="Arial" w:hAnsi="Arial"/>
          <w:sz w:val="21"/>
          <w:szCs w:val="21"/>
          <w:u w:val="single" w:color="auto"/>
          <w:color w:val="auto"/>
        </w:rPr>
        <w:t>Annual Retainer: Committee Chairs</w:t>
      </w:r>
      <w:r>
        <w:rPr>
          <w:rFonts w:ascii="Arial" w:cs="Arial" w:eastAsia="Arial" w:hAnsi="Arial"/>
          <w:sz w:val="21"/>
          <w:szCs w:val="21"/>
          <w:color w:val="auto"/>
        </w:rPr>
        <w:t>. The Annual Retainer for service as Chair of the Audit Committee, the Compensation and Human Capital Committee, and the Governance and Corporate Responsibility Committee shall be $40,000. If the Board establishes any other committee of the Board, the Annual Retainer for service as the Chair of such other committee shall be determined upon such committee’s establishment.</w:t>
      </w:r>
    </w:p>
    <w:p>
      <w:pPr>
        <w:spacing w:after="0" w:line="179" w:lineRule="exact"/>
        <w:rPr>
          <w:rFonts w:ascii="Arial" w:cs="Arial" w:eastAsia="Arial" w:hAnsi="Arial"/>
          <w:sz w:val="21"/>
          <w:szCs w:val="21"/>
          <w:color w:val="auto"/>
        </w:rPr>
      </w:pPr>
    </w:p>
    <w:p>
      <w:pPr>
        <w:ind w:right="100" w:firstLine="842"/>
        <w:spacing w:after="0" w:line="222" w:lineRule="auto"/>
        <w:tabs>
          <w:tab w:leader="none" w:pos="1349" w:val="left"/>
        </w:tabs>
        <w:numPr>
          <w:ilvl w:val="5"/>
          <w:numId w:val="27"/>
        </w:numPr>
        <w:rPr>
          <w:rFonts w:ascii="Arial" w:cs="Arial" w:eastAsia="Arial" w:hAnsi="Arial"/>
          <w:sz w:val="21"/>
          <w:szCs w:val="21"/>
          <w:color w:val="auto"/>
        </w:rPr>
      </w:pPr>
      <w:r>
        <w:rPr>
          <w:rFonts w:ascii="Arial" w:cs="Arial" w:eastAsia="Arial" w:hAnsi="Arial"/>
          <w:sz w:val="21"/>
          <w:szCs w:val="21"/>
          <w:u w:val="single" w:color="auto"/>
          <w:color w:val="auto"/>
        </w:rPr>
        <w:t>Annual Retainer: Committee Members</w:t>
      </w:r>
      <w:r>
        <w:rPr>
          <w:rFonts w:ascii="Arial" w:cs="Arial" w:eastAsia="Arial" w:hAnsi="Arial"/>
          <w:sz w:val="21"/>
          <w:szCs w:val="21"/>
          <w:color w:val="auto"/>
        </w:rPr>
        <w:t>. The Annual Retainer for service as a member of the Audit Committee, the Compensation and Human Capital Committee, and the Governance and Corporate Responsibility Committee shall be $15,000. If the Board establishes any other committee of the Board, the Annual Retainer for service as a member of such other committee shall be determined upon such committee’s establishment.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361" w:right="359" w:bottom="1440" w:gutter="0" w:footer="0" w:header="0"/>
        </w:sectPr>
      </w:pPr>
    </w:p>
    <w:bookmarkStart w:id="41" w:name="page42"/>
    <w:bookmarkEnd w:id="41"/>
    <w:p>
      <w:pPr>
        <w:spacing w:after="0" w:line="157" w:lineRule="exact"/>
        <w:rPr>
          <w:sz w:val="20"/>
          <w:szCs w:val="20"/>
          <w:color w:val="auto"/>
        </w:rPr>
      </w:pPr>
    </w:p>
    <w:p>
      <w:pPr>
        <w:ind w:right="160" w:firstLine="842"/>
        <w:spacing w:after="0" w:line="236" w:lineRule="auto"/>
        <w:tabs>
          <w:tab w:leader="none" w:pos="1291"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Stock Grants</w:t>
      </w:r>
      <w:r>
        <w:rPr>
          <w:rFonts w:ascii="Arial" w:cs="Arial" w:eastAsia="Arial" w:hAnsi="Arial"/>
          <w:sz w:val="21"/>
          <w:szCs w:val="21"/>
          <w:color w:val="auto"/>
        </w:rPr>
        <w:t>. Except as otherwise specifically provided below, this Paragraph 3(a)(v) shall apply as of November 20 of each Plan Year.</w:t>
      </w:r>
    </w:p>
    <w:p>
      <w:pPr>
        <w:spacing w:after="0" w:line="179" w:lineRule="exact"/>
        <w:rPr>
          <w:rFonts w:ascii="Arial" w:cs="Arial" w:eastAsia="Arial" w:hAnsi="Arial"/>
          <w:sz w:val="21"/>
          <w:szCs w:val="21"/>
          <w:color w:val="auto"/>
        </w:rPr>
      </w:pPr>
    </w:p>
    <w:p>
      <w:pPr>
        <w:ind w:right="80" w:firstLine="2726"/>
        <w:spacing w:after="0" w:line="256" w:lineRule="auto"/>
        <w:tabs>
          <w:tab w:leader="none" w:pos="3274"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Board shall grant Restricted Stock Units for Shares having a Fair Market Value on the date of grant of $225,000, rounded, if necessary, to the next higher whole Share, provided that the Fair Market Value on the date of grant with respect to each individual who first becomes a Non-Employee Director during a Plan Year, shall be determined as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640" w:type="dxa"/>
            <w:vAlign w:val="bottom"/>
            <w:tcBorders>
              <w:top w:val="single" w:sz="8" w:color="auto"/>
              <w:left w:val="single" w:sz="8" w:color="auto"/>
              <w:right w:val="single" w:sz="8" w:color="auto"/>
            </w:tcBorders>
          </w:tcPr>
          <w:p>
            <w:pPr>
              <w:ind w:left="80"/>
              <w:spacing w:after="0" w:line="210" w:lineRule="exact"/>
              <w:rPr>
                <w:sz w:val="20"/>
                <w:szCs w:val="20"/>
                <w:color w:val="auto"/>
              </w:rPr>
            </w:pPr>
            <w:r>
              <w:rPr>
                <w:rFonts w:ascii="Arial" w:cs="Arial" w:eastAsia="Arial" w:hAnsi="Arial"/>
                <w:sz w:val="21"/>
                <w:szCs w:val="21"/>
                <w:b w:val="1"/>
                <w:bCs w:val="1"/>
                <w:color w:val="auto"/>
              </w:rPr>
              <w:t>Date of Commencement of Service as a Non-Employee</w:t>
            </w:r>
          </w:p>
        </w:tc>
        <w:tc>
          <w:tcPr>
            <w:tcW w:w="5620" w:type="dxa"/>
            <w:vAlign w:val="bottom"/>
            <w:tcBorders>
              <w:top w:val="single" w:sz="8" w:color="auto"/>
              <w:right w:val="single" w:sz="8" w:color="auto"/>
            </w:tcBorders>
          </w:tcPr>
          <w:p>
            <w:pPr>
              <w:ind w:left="60"/>
              <w:spacing w:after="0" w:line="210" w:lineRule="exact"/>
              <w:rPr>
                <w:sz w:val="20"/>
                <w:szCs w:val="20"/>
                <w:color w:val="auto"/>
              </w:rPr>
            </w:pPr>
            <w:r>
              <w:rPr>
                <w:rFonts w:ascii="Arial" w:cs="Arial" w:eastAsia="Arial" w:hAnsi="Arial"/>
                <w:sz w:val="21"/>
                <w:szCs w:val="21"/>
                <w:b w:val="1"/>
                <w:bCs w:val="1"/>
                <w:color w:val="auto"/>
              </w:rPr>
              <w:t>Fair Market Value of Grant of Restricted Stock Units</w:t>
            </w:r>
          </w:p>
        </w:tc>
      </w:tr>
      <w:tr>
        <w:trPr>
          <w:trHeight w:val="27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b w:val="1"/>
                <w:bCs w:val="1"/>
                <w:color w:val="auto"/>
              </w:rPr>
              <w:t>Director</w:t>
            </w:r>
          </w:p>
        </w:tc>
        <w:tc>
          <w:tcPr>
            <w:tcW w:w="5620" w:type="dxa"/>
            <w:vAlign w:val="bottom"/>
            <w:tcBorders>
              <w:bottom w:val="single" w:sz="8" w:color="auto"/>
              <w:right w:val="single" w:sz="8" w:color="auto"/>
            </w:tcBorders>
          </w:tcPr>
          <w:p>
            <w:pPr>
              <w:spacing w:after="0"/>
              <w:rPr>
                <w:sz w:val="23"/>
                <w:szCs w:val="23"/>
                <w:color w:val="auto"/>
              </w:rPr>
            </w:pPr>
          </w:p>
        </w:tc>
      </w:tr>
      <w:tr>
        <w:trPr>
          <w:trHeight w:val="195"/>
        </w:trPr>
        <w:tc>
          <w:tcPr>
            <w:tcW w:w="564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1"/>
                <w:szCs w:val="21"/>
                <w:color w:val="auto"/>
                <w:w w:val="91"/>
              </w:rPr>
              <w:t>November 20 of a Plan Year through the next following February</w:t>
            </w:r>
          </w:p>
        </w:tc>
        <w:tc>
          <w:tcPr>
            <w:tcW w:w="562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1"/>
                <w:szCs w:val="21"/>
                <w:color w:val="auto"/>
              </w:rPr>
              <w:t>$225,000</w:t>
            </w:r>
          </w:p>
        </w:tc>
      </w:tr>
      <w:tr>
        <w:trPr>
          <w:trHeight w:val="268"/>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19</w:t>
            </w:r>
          </w:p>
        </w:tc>
        <w:tc>
          <w:tcPr>
            <w:tcW w:w="5620" w:type="dxa"/>
            <w:vAlign w:val="bottom"/>
            <w:tcBorders>
              <w:bottom w:val="single" w:sz="8" w:color="auto"/>
              <w:right w:val="single" w:sz="8" w:color="auto"/>
            </w:tcBorders>
          </w:tcPr>
          <w:p>
            <w:pPr>
              <w:spacing w:after="0"/>
              <w:rPr>
                <w:sz w:val="23"/>
                <w:szCs w:val="23"/>
                <w:color w:val="auto"/>
              </w:rPr>
            </w:pPr>
          </w:p>
        </w:tc>
      </w:tr>
      <w:tr>
        <w:trPr>
          <w:trHeight w:val="256"/>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6"/>
              </w:rPr>
              <w:t>February 20 of a Plan Year through the next following May 19</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$168,750</w:t>
            </w:r>
          </w:p>
        </w:tc>
      </w:tr>
      <w:tr>
        <w:trPr>
          <w:trHeight w:val="25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May 20 of a Plan Year through next following August 19</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$112,500</w:t>
            </w:r>
          </w:p>
        </w:tc>
      </w:tr>
      <w:tr>
        <w:trPr>
          <w:trHeight w:val="194"/>
        </w:trPr>
        <w:tc>
          <w:tcPr>
            <w:tcW w:w="5640" w:type="dxa"/>
            <w:vAlign w:val="bottom"/>
            <w:tcBorders>
              <w:left w:val="single" w:sz="8" w:color="auto"/>
              <w:right w:val="single" w:sz="8" w:color="auto"/>
            </w:tcBorders>
          </w:tcPr>
          <w:p>
            <w:pPr>
              <w:ind w:left="80"/>
              <w:spacing w:after="0" w:line="194" w:lineRule="exact"/>
              <w:rPr>
                <w:sz w:val="20"/>
                <w:szCs w:val="20"/>
                <w:color w:val="auto"/>
              </w:rPr>
            </w:pPr>
            <w:r>
              <w:rPr>
                <w:rFonts w:ascii="Arial" w:cs="Arial" w:eastAsia="Arial" w:hAnsi="Arial"/>
                <w:sz w:val="21"/>
                <w:szCs w:val="21"/>
                <w:color w:val="auto"/>
                <w:w w:val="94"/>
              </w:rPr>
              <w:t>August 20 of a Plan Year through the next following November</w:t>
            </w:r>
          </w:p>
        </w:tc>
        <w:tc>
          <w:tcPr>
            <w:tcW w:w="5620" w:type="dxa"/>
            <w:vAlign w:val="bottom"/>
            <w:tcBorders>
              <w:right w:val="single" w:sz="8" w:color="auto"/>
            </w:tcBorders>
          </w:tcPr>
          <w:p>
            <w:pPr>
              <w:ind w:left="60"/>
              <w:spacing w:after="0" w:line="194" w:lineRule="exact"/>
              <w:rPr>
                <w:sz w:val="20"/>
                <w:szCs w:val="20"/>
                <w:color w:val="auto"/>
              </w:rPr>
            </w:pPr>
            <w:r>
              <w:rPr>
                <w:rFonts w:ascii="Arial" w:cs="Arial" w:eastAsia="Arial" w:hAnsi="Arial"/>
                <w:sz w:val="21"/>
                <w:szCs w:val="21"/>
                <w:color w:val="auto"/>
              </w:rPr>
              <w:t>$56,250</w:t>
            </w:r>
          </w:p>
        </w:tc>
      </w:tr>
      <w:tr>
        <w:trPr>
          <w:trHeight w:val="268"/>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19</w:t>
            </w:r>
          </w:p>
        </w:tc>
        <w:tc>
          <w:tcPr>
            <w:tcW w:w="5620" w:type="dxa"/>
            <w:vAlign w:val="bottom"/>
            <w:tcBorders>
              <w:bottom w:val="single" w:sz="8" w:color="auto"/>
              <w:right w:val="single" w:sz="8" w:color="auto"/>
            </w:tcBorders>
          </w:tcPr>
          <w:p>
            <w:pPr>
              <w:spacing w:after="0"/>
              <w:rPr>
                <w:sz w:val="23"/>
                <w:szCs w:val="23"/>
                <w:color w:val="auto"/>
              </w:rPr>
            </w:pPr>
          </w:p>
        </w:tc>
      </w:tr>
    </w:tbl>
    <w:p>
      <w:pPr>
        <w:spacing w:after="0" w:line="293" w:lineRule="exact"/>
        <w:rPr>
          <w:sz w:val="20"/>
          <w:szCs w:val="20"/>
          <w:color w:val="auto"/>
        </w:rPr>
      </w:pPr>
    </w:p>
    <w:p>
      <w:pPr>
        <w:ind w:right="900"/>
        <w:spacing w:after="0" w:line="236" w:lineRule="auto"/>
        <w:rPr>
          <w:sz w:val="20"/>
          <w:szCs w:val="20"/>
          <w:color w:val="auto"/>
        </w:rPr>
      </w:pPr>
      <w:r>
        <w:rPr>
          <w:rFonts w:ascii="Arial" w:cs="Arial" w:eastAsia="Arial" w:hAnsi="Arial"/>
          <w:sz w:val="21"/>
          <w:szCs w:val="21"/>
          <w:color w:val="auto"/>
        </w:rPr>
        <w:t>Each Restricted Stock Unit shall (1) be fully and immediately vested on the date of grant, and (2) bear such other terms and conditions as shall be determined by the Board in its discretion.</w:t>
      </w:r>
    </w:p>
    <w:p>
      <w:pPr>
        <w:spacing w:after="0" w:line="179" w:lineRule="exact"/>
        <w:rPr>
          <w:sz w:val="20"/>
          <w:szCs w:val="20"/>
          <w:color w:val="auto"/>
        </w:rPr>
      </w:pPr>
    </w:p>
    <w:p>
      <w:pPr>
        <w:ind w:right="40" w:firstLine="2726"/>
        <w:spacing w:after="0" w:line="230" w:lineRule="auto"/>
        <w:tabs>
          <w:tab w:leader="none" w:pos="3262" w:val="left"/>
        </w:tabs>
        <w:numPr>
          <w:ilvl w:val="3"/>
          <w:numId w:val="29"/>
        </w:numPr>
        <w:rPr>
          <w:rFonts w:ascii="Arial" w:cs="Arial" w:eastAsia="Arial" w:hAnsi="Arial"/>
          <w:sz w:val="20"/>
          <w:szCs w:val="20"/>
          <w:color w:val="auto"/>
        </w:rPr>
      </w:pPr>
      <w:r>
        <w:rPr>
          <w:rFonts w:ascii="Arial" w:cs="Arial" w:eastAsia="Arial" w:hAnsi="Arial"/>
          <w:sz w:val="20"/>
          <w:szCs w:val="20"/>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Omnibus Plan, and such adjustment shall be effective and binding for all purposes of this Plan.</w:t>
      </w:r>
    </w:p>
    <w:p>
      <w:pPr>
        <w:spacing w:after="0" w:line="389" w:lineRule="exact"/>
        <w:rPr>
          <w:rFonts w:ascii="Arial" w:cs="Arial" w:eastAsia="Arial" w:hAnsi="Arial"/>
          <w:sz w:val="20"/>
          <w:szCs w:val="20"/>
          <w:color w:val="auto"/>
        </w:rPr>
      </w:pPr>
    </w:p>
    <w:p>
      <w:pPr>
        <w:ind w:right="140" w:firstLine="685"/>
        <w:spacing w:after="0" w:line="236" w:lineRule="auto"/>
        <w:tabs>
          <w:tab w:leader="none" w:pos="977"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Payment Practices</w:t>
      </w:r>
      <w:r>
        <w:rPr>
          <w:rFonts w:ascii="Arial" w:cs="Arial" w:eastAsia="Arial" w:hAnsi="Arial"/>
          <w:sz w:val="21"/>
          <w:szCs w:val="21"/>
          <w:color w:val="auto"/>
        </w:rPr>
        <w:t>. Payments, grants and awards described in Paragraph 3(a) of the Plan shall be subject to the following payment practices:</w:t>
      </w:r>
    </w:p>
    <w:p>
      <w:pPr>
        <w:spacing w:after="0" w:line="179" w:lineRule="exact"/>
        <w:rPr>
          <w:rFonts w:ascii="Arial" w:cs="Arial" w:eastAsia="Arial" w:hAnsi="Arial"/>
          <w:sz w:val="21"/>
          <w:szCs w:val="21"/>
          <w:color w:val="auto"/>
        </w:rPr>
      </w:pPr>
    </w:p>
    <w:p>
      <w:pPr>
        <w:ind w:firstLine="894"/>
        <w:spacing w:after="0" w:line="217" w:lineRule="auto"/>
        <w:tabs>
          <w:tab w:leader="none" w:pos="1297" w:val="left"/>
        </w:tabs>
        <w:numPr>
          <w:ilvl w:val="1"/>
          <w:numId w:val="30"/>
        </w:numPr>
        <w:rPr>
          <w:rFonts w:ascii="Arial" w:cs="Arial" w:eastAsia="Arial" w:hAnsi="Arial"/>
          <w:sz w:val="21"/>
          <w:szCs w:val="21"/>
          <w:color w:val="auto"/>
        </w:rPr>
      </w:pPr>
      <w:r>
        <w:rPr>
          <w:rFonts w:ascii="Arial" w:cs="Arial" w:eastAsia="Arial" w:hAnsi="Arial"/>
          <w:sz w:val="21"/>
          <w:szCs w:val="21"/>
          <w:color w:val="auto"/>
        </w:rPr>
        <w:t>Except to the extent deferred under the Deferred Compensation Plan, Annual Retainer payments described in Paragraphs 3(a)(i), 3(a)(iii) and 3(a)(iv)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81" w:lineRule="exact"/>
        <w:rPr>
          <w:rFonts w:ascii="Arial" w:cs="Arial" w:eastAsia="Arial" w:hAnsi="Arial"/>
          <w:sz w:val="21"/>
          <w:szCs w:val="21"/>
          <w:color w:val="auto"/>
        </w:rPr>
      </w:pPr>
    </w:p>
    <w:p>
      <w:pPr>
        <w:ind w:right="160" w:firstLine="999"/>
        <w:spacing w:after="0" w:line="265" w:lineRule="auto"/>
        <w:tabs>
          <w:tab w:leader="none" w:pos="14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 Non-Employee Director may elect to receive up to 100% of the Annual Retainer, Committee Retainer, and Meeting Fee amounts described in Paragraph 3(a) in the form of Shares issuable pursuant to a grant of fully-vested Restricted Stock Units under the Omnibus Plan. The number of Shares payable to a Non-Employee Director shall be determined based on the closing price of Shares on the last business day of each calendar quarter and rounded, if necessary, to the next higher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42" w:name="page43"/>
    <w:bookmarkEnd w:id="42"/>
    <w:p>
      <w:pPr>
        <w:ind w:right="300" w:firstLine="737"/>
        <w:spacing w:after="0" w:line="226" w:lineRule="auto"/>
        <w:tabs>
          <w:tab w:leader="none" w:pos="1227"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Special Rules and Payment Practices for Director Emeritus Compensation</w:t>
      </w:r>
      <w:r>
        <w:rPr>
          <w:rFonts w:ascii="Arial" w:cs="Arial" w:eastAsia="Arial" w:hAnsi="Arial"/>
          <w:sz w:val="21"/>
          <w:szCs w:val="21"/>
          <w:color w:val="auto"/>
        </w:rPr>
        <w:t>. A Director Emeritus shall be entitled to compensation in such amounts and for such time periods as set forth in the Company’s Director Emeritus Policy, as amended from time to time.</w:t>
      </w:r>
    </w:p>
    <w:p>
      <w:pPr>
        <w:spacing w:after="0" w:line="175" w:lineRule="exact"/>
        <w:rPr>
          <w:rFonts w:ascii="Arial" w:cs="Arial" w:eastAsia="Arial" w:hAnsi="Arial"/>
          <w:sz w:val="21"/>
          <w:szCs w:val="21"/>
          <w:color w:val="auto"/>
        </w:rPr>
      </w:pPr>
    </w:p>
    <w:p>
      <w:pPr>
        <w:ind w:left="780" w:hanging="357"/>
        <w:spacing w:after="0"/>
        <w:tabs>
          <w:tab w:leader="none" w:pos="78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ADMINISTRATION OF THE PLAN</w:t>
      </w:r>
    </w:p>
    <w:p>
      <w:pPr>
        <w:spacing w:after="0" w:line="209" w:lineRule="exact"/>
        <w:rPr>
          <w:sz w:val="20"/>
          <w:szCs w:val="20"/>
          <w:color w:val="auto"/>
        </w:rPr>
      </w:pPr>
    </w:p>
    <w:p>
      <w:pPr>
        <w:ind w:right="140" w:firstLine="419"/>
        <w:spacing w:after="0" w:line="222" w:lineRule="auto"/>
        <w:rPr>
          <w:sz w:val="20"/>
          <w:szCs w:val="20"/>
          <w:color w:val="auto"/>
        </w:rPr>
      </w:pPr>
      <w:r>
        <w:rPr>
          <w:rFonts w:ascii="Arial" w:cs="Arial" w:eastAsia="Arial" w:hAnsi="Arial"/>
          <w:sz w:val="21"/>
          <w:szCs w:val="21"/>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73"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21"/>
          <w:szCs w:val="21"/>
          <w:b w:val="1"/>
          <w:bCs w:val="1"/>
          <w:color w:val="auto"/>
        </w:rPr>
        <w:t>5.</w:t>
      </w:r>
      <w:r>
        <w:rPr>
          <w:sz w:val="20"/>
          <w:szCs w:val="20"/>
          <w:color w:val="auto"/>
        </w:rPr>
        <w:tab/>
      </w:r>
      <w:r>
        <w:rPr>
          <w:rFonts w:ascii="Arial" w:cs="Arial" w:eastAsia="Arial" w:hAnsi="Arial"/>
          <w:sz w:val="20"/>
          <w:szCs w:val="20"/>
          <w:b w:val="1"/>
          <w:bCs w:val="1"/>
          <w:color w:val="auto"/>
        </w:rPr>
        <w:t>TAXES</w:t>
      </w:r>
    </w:p>
    <w:p>
      <w:pPr>
        <w:spacing w:after="0" w:line="209" w:lineRule="exact"/>
        <w:rPr>
          <w:sz w:val="20"/>
          <w:szCs w:val="20"/>
          <w:color w:val="auto"/>
        </w:rPr>
      </w:pPr>
    </w:p>
    <w:p>
      <w:pPr>
        <w:ind w:right="60" w:firstLine="419"/>
        <w:spacing w:after="0" w:line="256" w:lineRule="auto"/>
        <w:rPr>
          <w:sz w:val="20"/>
          <w:szCs w:val="20"/>
          <w:color w:val="auto"/>
        </w:rPr>
      </w:pPr>
      <w:r>
        <w:rPr>
          <w:rFonts w:ascii="Arial" w:cs="Arial" w:eastAsia="Arial" w:hAnsi="Arial"/>
          <w:sz w:val="20"/>
          <w:szCs w:val="20"/>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58"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21"/>
          <w:szCs w:val="21"/>
          <w:b w:val="1"/>
          <w:bCs w:val="1"/>
          <w:color w:val="auto"/>
        </w:rPr>
        <w:t>6.</w:t>
        <w:tab/>
        <w:t>AMENDMENT AND TERMINATION</w:t>
      </w:r>
    </w:p>
    <w:p>
      <w:pPr>
        <w:spacing w:after="0" w:line="209" w:lineRule="exact"/>
        <w:rPr>
          <w:sz w:val="20"/>
          <w:szCs w:val="20"/>
          <w:color w:val="auto"/>
        </w:rPr>
      </w:pPr>
    </w:p>
    <w:p>
      <w:pPr>
        <w:ind w:firstLine="419"/>
        <w:spacing w:after="0" w:line="282" w:lineRule="auto"/>
        <w:rPr>
          <w:sz w:val="20"/>
          <w:szCs w:val="20"/>
          <w:color w:val="auto"/>
        </w:rPr>
      </w:pPr>
      <w:r>
        <w:rPr>
          <w:rFonts w:ascii="Arial" w:cs="Arial" w:eastAsia="Arial" w:hAnsi="Arial"/>
          <w:sz w:val="19"/>
          <w:szCs w:val="19"/>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135"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21"/>
          <w:szCs w:val="21"/>
          <w:b w:val="1"/>
          <w:bCs w:val="1"/>
          <w:color w:val="auto"/>
        </w:rPr>
        <w:t>7.</w:t>
        <w:tab/>
        <w:t>EFFECTIVE DATE</w:t>
      </w:r>
    </w:p>
    <w:p>
      <w:pPr>
        <w:spacing w:after="0" w:line="209" w:lineRule="exact"/>
        <w:rPr>
          <w:sz w:val="20"/>
          <w:szCs w:val="20"/>
          <w:color w:val="auto"/>
        </w:rPr>
      </w:pPr>
    </w:p>
    <w:p>
      <w:pPr>
        <w:ind w:right="540" w:firstLine="419"/>
        <w:spacing w:after="0" w:line="236" w:lineRule="auto"/>
        <w:rPr>
          <w:sz w:val="20"/>
          <w:szCs w:val="20"/>
          <w:color w:val="auto"/>
        </w:rPr>
      </w:pPr>
      <w:r>
        <w:rPr>
          <w:rFonts w:ascii="Arial" w:cs="Arial" w:eastAsia="Arial" w:hAnsi="Arial"/>
          <w:sz w:val="21"/>
          <w:szCs w:val="21"/>
          <w:color w:val="auto"/>
        </w:rPr>
        <w:t>The effective date of this amendment and restatement of the Plan is July 11, 2023. The original effective date of the Plan is November 18, 2002.</w:t>
      </w:r>
    </w:p>
    <w:p>
      <w:pPr>
        <w:spacing w:after="0" w:line="173" w:lineRule="exact"/>
        <w:rPr>
          <w:sz w:val="20"/>
          <w:szCs w:val="20"/>
          <w:color w:val="auto"/>
        </w:rPr>
      </w:pPr>
    </w:p>
    <w:p>
      <w:pPr>
        <w:ind w:left="420"/>
        <w:spacing w:after="0"/>
        <w:tabs>
          <w:tab w:leader="none" w:pos="760" w:val="left"/>
        </w:tabs>
        <w:rPr>
          <w:sz w:val="20"/>
          <w:szCs w:val="20"/>
          <w:color w:val="auto"/>
        </w:rPr>
      </w:pPr>
      <w:r>
        <w:rPr>
          <w:rFonts w:ascii="Arial" w:cs="Arial" w:eastAsia="Arial" w:hAnsi="Arial"/>
          <w:sz w:val="21"/>
          <w:szCs w:val="21"/>
          <w:b w:val="1"/>
          <w:bCs w:val="1"/>
          <w:color w:val="auto"/>
        </w:rPr>
        <w:t>8.</w:t>
        <w:tab/>
        <w:t>GOVERNING LAW</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 Brian L. Roberts, certify that:</w:t>
      </w:r>
    </w:p>
    <w:p>
      <w:pPr>
        <w:spacing w:after="0" w:line="119" w:lineRule="exact"/>
        <w:rPr>
          <w:sz w:val="20"/>
          <w:szCs w:val="20"/>
          <w:color w:val="auto"/>
        </w:rPr>
      </w:pPr>
    </w:p>
    <w:p>
      <w:pPr>
        <w:ind w:left="640" w:hanging="635"/>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60" w:hanging="635"/>
        <w:spacing w:after="0" w:line="272"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7"/>
          <w:szCs w:val="17"/>
          <w:color w:val="auto"/>
        </w:rPr>
      </w:pPr>
    </w:p>
    <w:p>
      <w:pPr>
        <w:ind w:left="640" w:right="420" w:hanging="635"/>
        <w:spacing w:after="0" w:line="288"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left="640" w:right="80" w:hanging="635"/>
        <w:spacing w:after="0" w:line="272"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7"/>
          <w:szCs w:val="17"/>
          <w:color w:val="auto"/>
        </w:rPr>
      </w:pPr>
    </w:p>
    <w:p>
      <w:pPr>
        <w:jc w:val="both"/>
        <w:ind w:left="1260" w:right="120" w:hanging="627"/>
        <w:spacing w:after="0" w:line="272" w:lineRule="auto"/>
        <w:tabs>
          <w:tab w:leader="none" w:pos="12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ind w:left="1260" w:right="400" w:hanging="627"/>
        <w:spacing w:after="0" w:line="272" w:lineRule="auto"/>
        <w:tabs>
          <w:tab w:leader="none" w:pos="12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jc w:val="both"/>
        <w:ind w:left="1260" w:right="560" w:hanging="627"/>
        <w:spacing w:after="0" w:line="359" w:lineRule="auto"/>
        <w:tabs>
          <w:tab w:leader="none" w:pos="126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120" w:hanging="627"/>
        <w:spacing w:after="0" w:line="272" w:lineRule="auto"/>
        <w:tabs>
          <w:tab w:leader="none" w:pos="12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7"/>
          <w:szCs w:val="17"/>
          <w:color w:val="auto"/>
        </w:rPr>
      </w:pPr>
    </w:p>
    <w:p>
      <w:pPr>
        <w:ind w:left="640" w:right="360" w:hanging="635"/>
        <w:spacing w:after="0" w:line="321"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260" w:right="40" w:hanging="627"/>
        <w:spacing w:after="0" w:line="288" w:lineRule="auto"/>
        <w:tabs>
          <w:tab w:leader="none" w:pos="12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1260" w:hanging="627"/>
        <w:spacing w:after="0" w:line="288" w:lineRule="auto"/>
        <w:tabs>
          <w:tab w:leader="none" w:pos="12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Date: July 27, 2023</w:t>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34728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3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1240"/>
          </w:cols>
          <w:pgMar w:left="320" w:top="35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I, Jason S. Armstrong, certify that:</w:t>
      </w:r>
    </w:p>
    <w:p>
      <w:pPr>
        <w:spacing w:after="0" w:line="66" w:lineRule="exact"/>
        <w:rPr>
          <w:sz w:val="20"/>
          <w:szCs w:val="20"/>
          <w:color w:val="auto"/>
        </w:rPr>
      </w:pPr>
    </w:p>
    <w:p>
      <w:pPr>
        <w:ind w:left="640" w:hanging="635"/>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Comcast Corporation;</w:t>
      </w:r>
    </w:p>
    <w:p>
      <w:pPr>
        <w:spacing w:after="0" w:line="118" w:lineRule="exact"/>
        <w:rPr>
          <w:rFonts w:ascii="Arial" w:cs="Arial" w:eastAsia="Arial" w:hAnsi="Arial"/>
          <w:sz w:val="17"/>
          <w:szCs w:val="17"/>
          <w:color w:val="auto"/>
        </w:rPr>
      </w:pPr>
    </w:p>
    <w:p>
      <w:pPr>
        <w:jc w:val="both"/>
        <w:ind w:left="640" w:right="460" w:hanging="635"/>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7"/>
          <w:szCs w:val="17"/>
          <w:color w:val="auto"/>
        </w:rPr>
      </w:pPr>
    </w:p>
    <w:p>
      <w:pPr>
        <w:ind w:left="640" w:right="420" w:hanging="635"/>
        <w:spacing w:after="0" w:line="288"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7"/>
          <w:szCs w:val="17"/>
          <w:color w:val="auto"/>
        </w:rPr>
      </w:pPr>
    </w:p>
    <w:p>
      <w:pPr>
        <w:ind w:left="640" w:right="80" w:hanging="635"/>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7"/>
          <w:szCs w:val="17"/>
          <w:color w:val="auto"/>
        </w:rPr>
      </w:pPr>
    </w:p>
    <w:p>
      <w:pPr>
        <w:jc w:val="both"/>
        <w:ind w:left="1260" w:right="120" w:hanging="627"/>
        <w:spacing w:after="0" w:line="272" w:lineRule="auto"/>
        <w:tabs>
          <w:tab w:leader="none" w:pos="12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ind w:left="1260" w:right="400" w:hanging="627"/>
        <w:spacing w:after="0" w:line="272" w:lineRule="auto"/>
        <w:tabs>
          <w:tab w:leader="none" w:pos="12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jc w:val="both"/>
        <w:ind w:left="1260" w:right="560" w:hanging="627"/>
        <w:spacing w:after="0" w:line="359" w:lineRule="auto"/>
        <w:tabs>
          <w:tab w:leader="none" w:pos="126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ind w:left="1260" w:right="120" w:hanging="627"/>
        <w:spacing w:after="0" w:line="272" w:lineRule="auto"/>
        <w:tabs>
          <w:tab w:leader="none" w:pos="12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7"/>
          <w:szCs w:val="17"/>
          <w:color w:val="auto"/>
        </w:rPr>
      </w:pPr>
    </w:p>
    <w:p>
      <w:pPr>
        <w:ind w:left="640" w:right="360" w:hanging="635"/>
        <w:spacing w:after="0" w:line="321"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260" w:right="40" w:hanging="627"/>
        <w:spacing w:after="0" w:line="288" w:lineRule="auto"/>
        <w:tabs>
          <w:tab w:leader="none" w:pos="12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7"/>
          <w:szCs w:val="17"/>
          <w:color w:val="auto"/>
        </w:rPr>
      </w:pPr>
    </w:p>
    <w:p>
      <w:pPr>
        <w:ind w:left="1260" w:hanging="627"/>
        <w:spacing w:after="0" w:line="288" w:lineRule="auto"/>
        <w:tabs>
          <w:tab w:leader="none" w:pos="12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Date: July 27, 2023</w:t>
      </w:r>
    </w:p>
    <w:p>
      <w:pPr>
        <w:spacing w:after="0" w:line="197"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72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20"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Name: Jason S. Armstrong</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240"/>
          </w:cols>
          <w:pgMar w:left="320" w:top="110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906 OF THE SARBANES-OXLEY ACT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July 27, 2023</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Brian L. Roberts, the Chief Executive Officer and Jason S. Armstrong, the Chief Financial Officer of Comcast Corporation, each certifies that, to the best of his knowledge:</w:t>
      </w:r>
    </w:p>
    <w:p>
      <w:pPr>
        <w:spacing w:after="0" w:line="54" w:lineRule="exact"/>
        <w:rPr>
          <w:sz w:val="20"/>
          <w:szCs w:val="20"/>
          <w:color w:val="auto"/>
        </w:rPr>
      </w:pPr>
    </w:p>
    <w:p>
      <w:pPr>
        <w:ind w:left="640" w:hanging="635"/>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18" w:lineRule="exact"/>
        <w:rPr>
          <w:rFonts w:ascii="Arial" w:cs="Arial" w:eastAsia="Arial" w:hAnsi="Arial"/>
          <w:sz w:val="17"/>
          <w:szCs w:val="17"/>
          <w:color w:val="auto"/>
        </w:rPr>
      </w:pPr>
    </w:p>
    <w:p>
      <w:pPr>
        <w:ind w:left="640" w:right="840" w:hanging="635"/>
        <w:spacing w:after="0" w:line="28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Comcast Corporation.</w:t>
      </w:r>
    </w:p>
    <w:p>
      <w:pPr>
        <w:spacing w:after="0" w:line="93"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24765</wp:posOffset>
            </wp:positionV>
            <wp:extent cx="34728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33"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Name: Brian L. Roberts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37" w:lineRule="exact"/>
        <w:rPr>
          <w:sz w:val="20"/>
          <w:szCs w:val="20"/>
          <w:color w:val="auto"/>
        </w:rPr>
      </w:pPr>
    </w:p>
    <w:p>
      <w:pPr>
        <w:ind w:left="7480"/>
        <w:spacing w:after="0"/>
        <w:rPr>
          <w:sz w:val="20"/>
          <w:szCs w:val="20"/>
          <w:color w:val="auto"/>
        </w:rPr>
      </w:pPr>
      <w:r>
        <w:rPr>
          <w:rFonts w:ascii="Arial" w:cs="Arial" w:eastAsia="Arial" w:hAnsi="Arial"/>
          <w:sz w:val="17"/>
          <w:szCs w:val="17"/>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16510</wp:posOffset>
            </wp:positionV>
            <wp:extent cx="3472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72815" cy="8255"/>
                    </a:xfrm>
                    <a:prstGeom prst="rect">
                      <a:avLst/>
                    </a:prstGeom>
                    <a:noFill/>
                  </pic:spPr>
                </pic:pic>
              </a:graphicData>
            </a:graphic>
          </wp:anchor>
        </w:drawing>
      </w:r>
    </w:p>
    <w:p>
      <w:pPr>
        <w:spacing w:after="0" w:line="20"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Name: Jason S. Armstrong</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7"/>
          <w:szCs w:val="17"/>
          <w:color w:val="auto"/>
        </w:rPr>
        <w:t>Title: Chief Financial Officer</w:t>
      </w:r>
    </w:p>
    <w:sectPr>
      <w:pgSz w:w="11900" w:h="16838" w:orient="portrait"/>
      <w:cols w:equalWidth="0" w:num="1">
        <w:col w:w="11240"/>
      </w:cols>
      <w:pgMar w:left="320" w:top="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2"/>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decimal"/>
      <w:start w:val="31"/>
    </w:lvl>
  </w:abstractNum>
  <w:abstractNum w:abstractNumId="20">
    <w:nsid w:val="2CA88611"/>
    <w:multiLevelType w:val="hybridMultilevel"/>
    <w:lvl w:ilvl="0">
      <w:lvlJc w:val="left"/>
      <w:lvlText w:val="%1"/>
      <w:numFmt w:val="decimal"/>
      <w:start w:val="10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2"/>
    </w:lvl>
    <w:lvl w:ilvl="1">
      <w:lvlJc w:val="left"/>
      <w:lvlText w:val="(%2)"/>
      <w:numFmt w:val="lowerLetter"/>
      <w:start w:val="7"/>
    </w:lvl>
    <w:lvl w:ilvl="2">
      <w:lvlJc w:val="left"/>
      <w:lvlText w:val="(%3)"/>
      <w:numFmt w:val="lowerLetter"/>
      <w:start w:val="1"/>
    </w:lvl>
    <w:lvl w:ilvl="3">
      <w:lvlJc w:val="left"/>
      <w:lvlText w:val="(%4)"/>
      <w:numFmt w:val="lowerRoman"/>
      <w:start w:val="1"/>
    </w:lvl>
  </w:abstractNum>
  <w:abstractNum w:abstractNumId="23">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lvl w:ilvl="6">
      <w:lvlJc w:val="left"/>
      <w:lvlText w:val="(%7)"/>
      <w:numFmt w:val="lowerLetter"/>
      <w:start w:val="61"/>
    </w:lvl>
  </w:abstractNum>
  <w:abstractNum w:abstractNumId="24">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0"/>
    </w:lvl>
    <w:lvl w:ilvl="4">
      <w:lvlJc w:val="left"/>
      <w:lvlText w:val="%5"/>
      <w:numFmt w:val="lowerRoman"/>
      <w:start w:val="1"/>
    </w:lvl>
    <w:lvl w:ilvl="5">
      <w:lvlJc w:val="left"/>
      <w:lvlText w:val="%6"/>
      <w:numFmt w:val="lowerRoman"/>
      <w:start w:val="1"/>
    </w:lvl>
    <w:lvl w:ilvl="6">
      <w:lvlJc w:val="left"/>
      <w:lvlText w:val="%7"/>
      <w:numFmt w:val="lowerLetter"/>
      <w:start w:val="1"/>
    </w:lvl>
  </w:abstractNum>
  <w:abstractNum w:abstractNumId="25">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4"/>
    </w:lvl>
    <w:lvl w:ilvl="3">
      <w:lvlJc w:val="left"/>
      <w:lvlText w:val="(%4)"/>
      <w:numFmt w:val="lowerLetter"/>
      <w:start w:val="15"/>
    </w:lvl>
    <w:lvl w:ilvl="4">
      <w:lvlJc w:val="left"/>
      <w:lvlText w:val="%5"/>
      <w:numFmt w:val="lowerRoman"/>
      <w:start w:val="1"/>
    </w:lvl>
    <w:lvl w:ilvl="5">
      <w:lvlJc w:val="left"/>
      <w:lvlText w:val="%6"/>
      <w:numFmt w:val="lowerRoman"/>
      <w:start w:val="1"/>
    </w:lvl>
    <w:lvl w:ilvl="6">
      <w:lvlJc w:val="left"/>
      <w:lvlText w:val="%7"/>
      <w:numFmt w:val="lowerLetter"/>
      <w:start w:val="1"/>
    </w:lvl>
  </w:abstractNum>
  <w:abstractNum w:abstractNumId="26">
    <w:nsid w:val="7C3DBD3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3"/>
    </w:lvl>
    <w:lvl w:ilvl="6">
      <w:lvlJc w:val="left"/>
      <w:lvlText w:val="%7"/>
      <w:numFmt w:val="lowerLetter"/>
      <w:start w:val="1"/>
    </w:lvl>
  </w:abstractNum>
  <w:abstractNum w:abstractNumId="27">
    <w:nsid w:val="737B8DDC"/>
    <w:multiLevelType w:val="hybridMultilevel"/>
    <w:lvl w:ilvl="0">
      <w:lvlJc w:val="left"/>
      <w:lvlText w:val="(%1)"/>
      <w:numFmt w:val="lowerRoman"/>
      <w:start w:val="5"/>
    </w:lvl>
    <w:lvl w:ilvl="1">
      <w:lvlJc w:val="left"/>
      <w:lvlText w:val="(%2)"/>
      <w:numFmt w:val="upperLetter"/>
      <w:start w:val="1"/>
    </w:lvl>
  </w:abstractNum>
  <w:abstractNum w:abstractNumId="28">
    <w:nsid w:val="6CEAF08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29">
    <w:nsid w:val="22221A70"/>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lvl w:ilvl="3">
      <w:lvlJc w:val="left"/>
      <w:lvlText w:val="%4"/>
      <w:numFmt w:val="upp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3"/>
    </w:lvl>
  </w:abstractNum>
  <w:abstractNum w:abstractNumId="31">
    <w:nsid w:val="3006C83E"/>
    <w:multiLevelType w:val="hybridMultilevel"/>
    <w:lvl w:ilvl="0">
      <w:lvlJc w:val="left"/>
      <w:lvlText w:val="%1."/>
      <w:numFmt w:val="decimal"/>
      <w:start w:val="4"/>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4" Type="http://schemas.openxmlformats.org/officeDocument/2006/relationships/hyperlink" Target="https://www.sec.gov/Archives/edgar/data/1166691/000095010323008707/dp195127_ex1001.htm" TargetMode="External"/><Relationship Id="rId55" Type="http://schemas.openxmlformats.org/officeDocument/2006/relationships/hyperlink" Target="https://www.sec.gov/Archives/edgar/data/1166691/000095010323008707/dp195127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2023-07-27T14:19:18Z</dcterms:created>
  <dcterms:modified xsi:type="dcterms:W3CDTF">2023-07-27T14:19:18Z</dcterms:modified>
</cp:coreProperties>
</file>