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6" w:lineRule="exact"/>
        <w:rPr>
          <w:sz w:val="24"/>
          <w:szCs w:val="24"/>
          <w:color w:val="auto"/>
        </w:rPr>
      </w:pPr>
    </w:p>
    <w:p>
      <w:pPr>
        <w:jc w:val="center"/>
        <w:ind w:right="-559"/>
        <w:spacing w:after="0"/>
        <w:rPr>
          <w:sz w:val="20"/>
          <w:szCs w:val="20"/>
          <w:color w:val="auto"/>
        </w:rPr>
      </w:pPr>
      <w:r>
        <w:rPr>
          <w:rFonts w:ascii="Arial" w:cs="Arial" w:eastAsia="Arial" w:hAnsi="Arial"/>
          <w:sz w:val="29"/>
          <w:szCs w:val="29"/>
          <w:b w:val="1"/>
          <w:bCs w:val="1"/>
          <w:color w:val="auto"/>
        </w:rPr>
        <w:t>SECURITIES AND EXCHANGE COMMISSION</w:t>
      </w:r>
    </w:p>
    <w:p>
      <w:pPr>
        <w:spacing w:after="0" w:line="4" w:lineRule="exact"/>
        <w:rPr>
          <w:sz w:val="24"/>
          <w:szCs w:val="24"/>
          <w:color w:val="auto"/>
        </w:rPr>
      </w:pPr>
    </w:p>
    <w:p>
      <w:pPr>
        <w:jc w:val="center"/>
        <w:ind w:right="-559"/>
        <w:spacing w:after="0"/>
        <w:rPr>
          <w:sz w:val="20"/>
          <w:szCs w:val="20"/>
          <w:color w:val="auto"/>
        </w:rPr>
      </w:pPr>
      <w:r>
        <w:rPr>
          <w:rFonts w:ascii="Arial" w:cs="Arial" w:eastAsia="Arial" w:hAnsi="Arial"/>
          <w:sz w:val="29"/>
          <w:szCs w:val="2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379730</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FORM 8-K</w:t>
      </w:r>
    </w:p>
    <w:p>
      <w:pPr>
        <w:spacing w:after="0" w:line="249" w:lineRule="exact"/>
        <w:rPr>
          <w:sz w:val="24"/>
          <w:szCs w:val="24"/>
          <w:color w:val="auto"/>
        </w:rPr>
      </w:pPr>
    </w:p>
    <w:p>
      <w:pPr>
        <w:jc w:val="center"/>
        <w:ind w:right="-559"/>
        <w:spacing w:after="0"/>
        <w:rPr>
          <w:sz w:val="20"/>
          <w:szCs w:val="20"/>
          <w:color w:val="auto"/>
        </w:rPr>
      </w:pPr>
      <w:r>
        <w:rPr>
          <w:rFonts w:ascii="Arial" w:cs="Arial" w:eastAsia="Arial" w:hAnsi="Arial"/>
          <w:sz w:val="29"/>
          <w:szCs w:val="29"/>
          <w:b w:val="1"/>
          <w:bCs w:val="1"/>
          <w:color w:val="auto"/>
        </w:rPr>
        <w:t>CURRENT REPORT</w:t>
      </w:r>
    </w:p>
    <w:p>
      <w:pPr>
        <w:spacing w:after="0" w:line="36" w:lineRule="exact"/>
        <w:rPr>
          <w:sz w:val="24"/>
          <w:szCs w:val="24"/>
          <w:color w:val="auto"/>
        </w:rPr>
      </w:pPr>
    </w:p>
    <w:p>
      <w:pPr>
        <w:jc w:val="center"/>
        <w:ind w:right="-559"/>
        <w:spacing w:after="0"/>
        <w:rPr>
          <w:sz w:val="20"/>
          <w:szCs w:val="20"/>
          <w:color w:val="auto"/>
        </w:rPr>
      </w:pPr>
      <w:r>
        <w:rPr>
          <w:rFonts w:ascii="Arial" w:cs="Arial" w:eastAsia="Arial" w:hAnsi="Arial"/>
          <w:sz w:val="29"/>
          <w:szCs w:val="29"/>
          <w:b w:val="1"/>
          <w:bCs w:val="1"/>
          <w:color w:val="auto"/>
        </w:rPr>
        <w:t>Pursuant to Section 13 or 15(d) of</w:t>
      </w:r>
    </w:p>
    <w:p>
      <w:pPr>
        <w:spacing w:after="0" w:line="4" w:lineRule="exact"/>
        <w:rPr>
          <w:sz w:val="24"/>
          <w:szCs w:val="24"/>
          <w:color w:val="auto"/>
        </w:rPr>
      </w:pPr>
    </w:p>
    <w:p>
      <w:pPr>
        <w:jc w:val="center"/>
        <w:ind w:right="-559"/>
        <w:spacing w:after="0"/>
        <w:rPr>
          <w:sz w:val="20"/>
          <w:szCs w:val="20"/>
          <w:color w:val="auto"/>
        </w:rPr>
      </w:pPr>
      <w:r>
        <w:rPr>
          <w:rFonts w:ascii="Arial" w:cs="Arial" w:eastAsia="Arial" w:hAnsi="Arial"/>
          <w:sz w:val="29"/>
          <w:szCs w:val="29"/>
          <w:b w:val="1"/>
          <w:bCs w:val="1"/>
          <w:color w:val="auto"/>
        </w:rPr>
        <w:t>The Securities Exchange Act of 1934</w:t>
      </w:r>
    </w:p>
    <w:p>
      <w:pPr>
        <w:spacing w:after="0" w:line="22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Date of report (Date of earliest event reported): February 25, 2014</w:t>
      </w:r>
    </w:p>
    <w:p>
      <w:pPr>
        <w:spacing w:after="0" w:line="173" w:lineRule="exact"/>
        <w:rPr>
          <w:sz w:val="24"/>
          <w:szCs w:val="24"/>
          <w:color w:val="auto"/>
        </w:rPr>
      </w:pPr>
    </w:p>
    <w:p>
      <w:pPr>
        <w:ind w:left="3700"/>
        <w:spacing w:after="0"/>
        <w:rPr>
          <w:sz w:val="20"/>
          <w:szCs w:val="20"/>
          <w:color w:val="auto"/>
        </w:rPr>
      </w:pPr>
      <w:r>
        <w:rPr>
          <w:rFonts w:ascii="Arial" w:cs="Arial" w:eastAsia="Arial" w:hAnsi="Arial"/>
          <w:sz w:val="43"/>
          <w:szCs w:val="43"/>
          <w:b w:val="1"/>
          <w:bCs w:val="1"/>
          <w:color w:val="auto"/>
        </w:rPr>
        <w:t>Comcast Corporation</w:t>
      </w:r>
    </w:p>
    <w:p>
      <w:pPr>
        <w:spacing w:after="0" w:line="50"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178"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Pennsylvania</w:t>
      </w:r>
    </w:p>
    <w:p>
      <w:pPr>
        <w:spacing w:after="0" w:line="27"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(State or other jurisdiction of incorporation)</w:t>
      </w:r>
    </w:p>
    <w:p>
      <w:pPr>
        <w:sectPr>
          <w:pgSz w:w="11900" w:h="16838" w:orient="portrait"/>
          <w:cols w:equalWidth="0" w:num="1">
            <w:col w:w="10880"/>
          </w:cols>
          <w:pgMar w:left="240" w:top="540" w:right="779" w:bottom="1440" w:gutter="0" w:footer="0" w:header="0"/>
        </w:sectPr>
      </w:pPr>
    </w:p>
    <w:p>
      <w:pPr>
        <w:spacing w:after="0" w:line="9"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001-32871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27-0000798</w:t>
      </w:r>
    </w:p>
    <w:p>
      <w:pPr>
        <w:spacing w:after="0" w:line="200" w:lineRule="exact"/>
        <w:rPr>
          <w:sz w:val="24"/>
          <w:szCs w:val="24"/>
          <w:color w:val="auto"/>
        </w:rPr>
      </w:pPr>
    </w:p>
    <w:p>
      <w:pPr>
        <w:sectPr>
          <w:pgSz w:w="11900" w:h="16838" w:orient="portrait"/>
          <w:cols w:equalWidth="0" w:num="2">
            <w:col w:w="8380" w:space="720"/>
            <w:col w:w="1780"/>
          </w:cols>
          <w:pgMar w:left="240" w:top="540" w:right="779" w:bottom="1440" w:gutter="0" w:footer="0" w:header="0"/>
          <w:type w:val="continuous"/>
        </w:sectPr>
      </w:pPr>
    </w:p>
    <w:p>
      <w:pPr>
        <w:spacing w:after="0" w:line="200" w:lineRule="exact"/>
        <w:rPr>
          <w:sz w:val="24"/>
          <w:szCs w:val="24"/>
          <w:color w:val="auto"/>
        </w:rPr>
      </w:pPr>
    </w:p>
    <w:p>
      <w:pPr>
        <w:spacing w:after="0" w:line="208" w:lineRule="exact"/>
        <w:rPr>
          <w:sz w:val="24"/>
          <w:szCs w:val="24"/>
          <w:color w:val="auto"/>
        </w:rPr>
      </w:pPr>
    </w:p>
    <w:p>
      <w:pPr>
        <w:jc w:val="center"/>
        <w:ind w:right="4580"/>
        <w:spacing w:after="0"/>
        <w:rPr>
          <w:sz w:val="20"/>
          <w:szCs w:val="20"/>
          <w:color w:val="auto"/>
        </w:rPr>
      </w:pPr>
      <w:r>
        <w:rPr>
          <w:rFonts w:ascii="Arial" w:cs="Arial" w:eastAsia="Arial" w:hAnsi="Arial"/>
          <w:sz w:val="18"/>
          <w:szCs w:val="18"/>
          <w:b w:val="1"/>
          <w:bCs w:val="1"/>
          <w:color w:val="auto"/>
        </w:rPr>
        <w:t>One Comcast Center</w:t>
      </w:r>
    </w:p>
    <w:p>
      <w:pPr>
        <w:spacing w:after="0" w:line="27" w:lineRule="exact"/>
        <w:rPr>
          <w:sz w:val="24"/>
          <w:szCs w:val="24"/>
          <w:color w:val="auto"/>
        </w:rPr>
      </w:pPr>
    </w:p>
    <w:p>
      <w:pPr>
        <w:jc w:val="center"/>
        <w:ind w:right="4580"/>
        <w:spacing w:after="0"/>
        <w:rPr>
          <w:sz w:val="20"/>
          <w:szCs w:val="20"/>
          <w:color w:val="auto"/>
        </w:rPr>
      </w:pPr>
      <w:r>
        <w:rPr>
          <w:rFonts w:ascii="Arial" w:cs="Arial" w:eastAsia="Arial" w:hAnsi="Arial"/>
          <w:sz w:val="18"/>
          <w:szCs w:val="18"/>
          <w:b w:val="1"/>
          <w:bCs w:val="1"/>
          <w:color w:val="auto"/>
        </w:rPr>
        <w:t>Philadelphia, PA</w:t>
      </w:r>
    </w:p>
    <w:p>
      <w:pPr>
        <w:spacing w:after="0" w:line="9" w:lineRule="exact"/>
        <w:rPr>
          <w:sz w:val="24"/>
          <w:szCs w:val="24"/>
          <w:color w:val="auto"/>
        </w:rPr>
      </w:pPr>
    </w:p>
    <w:p>
      <w:pPr>
        <w:jc w:val="center"/>
        <w:ind w:right="4580"/>
        <w:spacing w:after="0"/>
        <w:rPr>
          <w:sz w:val="20"/>
          <w:szCs w:val="20"/>
          <w:color w:val="auto"/>
        </w:rPr>
      </w:pPr>
      <w:r>
        <w:rPr>
          <w:rFonts w:ascii="Arial" w:cs="Arial" w:eastAsia="Arial" w:hAnsi="Arial"/>
          <w:sz w:val="16"/>
          <w:szCs w:val="16"/>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19103-2838</w:t>
      </w:r>
    </w:p>
    <w:p>
      <w:pPr>
        <w:spacing w:after="0" w:line="50" w:lineRule="exact"/>
        <w:rPr>
          <w:sz w:val="24"/>
          <w:szCs w:val="24"/>
          <w:color w:val="auto"/>
        </w:rPr>
      </w:pPr>
    </w:p>
    <w:p>
      <w:pPr>
        <w:ind w:left="20"/>
        <w:spacing w:after="0"/>
        <w:rPr>
          <w:sz w:val="20"/>
          <w:szCs w:val="20"/>
          <w:color w:val="auto"/>
        </w:rPr>
      </w:pPr>
      <w:r>
        <w:rPr>
          <w:rFonts w:ascii="Arial" w:cs="Arial" w:eastAsia="Arial" w:hAnsi="Arial"/>
          <w:sz w:val="17"/>
          <w:szCs w:val="17"/>
          <w:b w:val="1"/>
          <w:bCs w:val="1"/>
          <w:color w:val="auto"/>
        </w:rPr>
        <w:t>(Zip Code)</w:t>
      </w:r>
    </w:p>
    <w:p>
      <w:pPr>
        <w:spacing w:after="0" w:line="200" w:lineRule="exact"/>
        <w:rPr>
          <w:sz w:val="24"/>
          <w:szCs w:val="24"/>
          <w:color w:val="auto"/>
        </w:rPr>
      </w:pPr>
    </w:p>
    <w:p>
      <w:pPr>
        <w:sectPr>
          <w:pgSz w:w="11900" w:h="16838" w:orient="portrait"/>
          <w:cols w:equalWidth="0" w:num="2">
            <w:col w:w="8380" w:space="720"/>
            <w:col w:w="1780"/>
          </w:cols>
          <w:pgMar w:left="240" w:top="540" w:right="779" w:bottom="1440" w:gutter="0" w:footer="0" w:header="0"/>
          <w:type w:val="continuous"/>
        </w:sectPr>
      </w:pPr>
    </w:p>
    <w:p>
      <w:pPr>
        <w:spacing w:after="0" w:line="18"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(215) 286-1700</w:t>
      </w:r>
    </w:p>
    <w:p>
      <w:pPr>
        <w:spacing w:after="0" w:line="198" w:lineRule="exact"/>
        <w:rPr>
          <w:sz w:val="24"/>
          <w:szCs w:val="24"/>
          <w:color w:val="auto"/>
        </w:rPr>
      </w:pPr>
    </w:p>
    <w:p>
      <w:pPr>
        <w:ind w:left="3180"/>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206375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660" w:hanging="328"/>
        <w:spacing w:after="0"/>
        <w:tabs>
          <w:tab w:leader="none" w:pos="660" w:val="left"/>
        </w:tabs>
        <w:numPr>
          <w:ilvl w:val="0"/>
          <w:numId w:val="1"/>
        </w:numPr>
        <w:rPr>
          <w:rFonts w:ascii="Arial" w:cs="Arial" w:eastAsia="Arial" w:hAnsi="Arial"/>
          <w:sz w:val="16"/>
          <w:szCs w:val="16"/>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Arial" w:cs="Arial" w:eastAsia="Arial" w:hAnsi="Arial"/>
          <w:sz w:val="16"/>
          <w:szCs w:val="16"/>
          <w:color w:val="auto"/>
        </w:rPr>
      </w:pPr>
    </w:p>
    <w:p>
      <w:pPr>
        <w:ind w:left="660" w:hanging="328"/>
        <w:spacing w:after="0"/>
        <w:tabs>
          <w:tab w:leader="none" w:pos="660" w:val="left"/>
        </w:tabs>
        <w:numPr>
          <w:ilvl w:val="0"/>
          <w:numId w:val="1"/>
        </w:numPr>
        <w:rPr>
          <w:rFonts w:ascii="Arial" w:cs="Arial" w:eastAsia="Arial" w:hAnsi="Arial"/>
          <w:sz w:val="16"/>
          <w:szCs w:val="16"/>
          <w:color w:val="auto"/>
        </w:rPr>
      </w:pPr>
      <w:r>
        <w:rPr>
          <w:rFonts w:ascii="Arial" w:cs="Arial" w:eastAsia="Arial" w:hAnsi="Arial"/>
          <w:sz w:val="18"/>
          <w:szCs w:val="18"/>
          <w:color w:val="auto"/>
        </w:rPr>
        <w:t>Soliciting material pursuant to Rule 14a-12(b) under the Exchange Act (17 CFR 240.14a-12)</w:t>
      </w:r>
    </w:p>
    <w:p>
      <w:pPr>
        <w:spacing w:after="0" w:line="252" w:lineRule="exact"/>
        <w:rPr>
          <w:rFonts w:ascii="Arial" w:cs="Arial" w:eastAsia="Arial" w:hAnsi="Arial"/>
          <w:sz w:val="16"/>
          <w:szCs w:val="16"/>
          <w:color w:val="auto"/>
        </w:rPr>
      </w:pPr>
    </w:p>
    <w:p>
      <w:pPr>
        <w:ind w:left="660" w:hanging="328"/>
        <w:spacing w:after="0"/>
        <w:tabs>
          <w:tab w:leader="none" w:pos="660" w:val="left"/>
        </w:tabs>
        <w:numPr>
          <w:ilvl w:val="0"/>
          <w:numId w:val="1"/>
        </w:numPr>
        <w:rPr>
          <w:rFonts w:ascii="Arial" w:cs="Arial" w:eastAsia="Arial" w:hAnsi="Arial"/>
          <w:sz w:val="16"/>
          <w:szCs w:val="16"/>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Arial" w:cs="Arial" w:eastAsia="Arial" w:hAnsi="Arial"/>
          <w:sz w:val="16"/>
          <w:szCs w:val="16"/>
          <w:color w:val="auto"/>
        </w:rPr>
      </w:pPr>
    </w:p>
    <w:p>
      <w:pPr>
        <w:ind w:left="660" w:hanging="328"/>
        <w:spacing w:after="0"/>
        <w:tabs>
          <w:tab w:leader="none" w:pos="660" w:val="left"/>
        </w:tabs>
        <w:numPr>
          <w:ilvl w:val="0"/>
          <w:numId w:val="1"/>
        </w:numPr>
        <w:rPr>
          <w:rFonts w:ascii="Arial" w:cs="Arial" w:eastAsia="Arial" w:hAnsi="Arial"/>
          <w:sz w:val="16"/>
          <w:szCs w:val="16"/>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244475</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604520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240" w:top="540" w:right="779" w:bottom="1440" w:gutter="0" w:footer="0" w:header="0"/>
          <w:type w:val="continuous"/>
        </w:sectPr>
      </w:pPr>
    </w:p>
    <w:bookmarkStart w:id="1" w:name="page2"/>
    <w:bookmarkEnd w:id="1"/>
    <w:p>
      <w:pPr>
        <w:ind w:left="340"/>
        <w:spacing w:after="0"/>
        <w:rPr>
          <w:sz w:val="20"/>
          <w:szCs w:val="20"/>
          <w:color w:val="auto"/>
        </w:rPr>
      </w:pPr>
      <w:r>
        <w:rPr>
          <w:rFonts w:ascii="Arial" w:cs="Arial" w:eastAsia="Arial" w:hAnsi="Arial"/>
          <w:sz w:val="18"/>
          <w:szCs w:val="18"/>
          <w:b w:val="1"/>
          <w:bCs w:val="1"/>
          <w:color w:val="auto"/>
        </w:rPr>
        <w:t>Item 8.01 Other Events</w:t>
      </w:r>
    </w:p>
    <w:p>
      <w:pPr>
        <w:spacing w:after="0" w:line="256" w:lineRule="exact"/>
        <w:rPr>
          <w:sz w:val="20"/>
          <w:szCs w:val="20"/>
          <w:color w:val="auto"/>
        </w:rPr>
      </w:pPr>
    </w:p>
    <w:p>
      <w:pPr>
        <w:ind w:right="100" w:firstLine="324"/>
        <w:spacing w:after="0" w:line="286" w:lineRule="auto"/>
        <w:rPr>
          <w:sz w:val="20"/>
          <w:szCs w:val="20"/>
          <w:color w:val="auto"/>
        </w:rPr>
      </w:pPr>
      <w:r>
        <w:rPr>
          <w:rFonts w:ascii="Arial" w:cs="Arial" w:eastAsia="Arial" w:hAnsi="Arial"/>
          <w:sz w:val="16"/>
          <w:szCs w:val="16"/>
          <w:color w:val="auto"/>
        </w:rPr>
        <w:t>On February 26, 2014 Comcast Corporation (“Comcast”) expects to consummate the issuance and sale of $1,200,000,000 aggregate principal amount of its 3.60% Notes due 2024 and $1,000,000,000 aggregate principal amount of its 4.75% Notes due 2044 (collectively, the “Notes”), pursuant to an underwriting agreement dated February 19, 2014 among Comcast, the Guarantors (defined below) and BNP Paribas Securities Corp., Merrill Lynch, Pierce, Fenner &amp; Smith Incorporated, RBC Capital Markets, LLC and Wells Fargo Securities, LLC, as representatives of the several underwriters named</w:t>
      </w:r>
    </w:p>
    <w:p>
      <w:pPr>
        <w:spacing w:after="0" w:line="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therein. The Notes will be issued pursuant to an Indenture dated as of September 18, 2013 (the “Indenture”) among Comcast, the guarantors named therein and The Bank of New York Mellon, as trustee (the “Trustee”), and an officers’ certificate issued pursuant thereto. The Notes are guaranteed on an unsecured and unsubordinated basis by Comcast Cable Communications, LLC, Comcast Cable Holdings, LLC, Comcast MO Group, Inc., Comcast MO of Delaware, LLC and NBCUniversal Media, LLC (the “Guarantors”).</w:t>
      </w:r>
    </w:p>
    <w:p>
      <w:pPr>
        <w:spacing w:after="0" w:line="217" w:lineRule="exact"/>
        <w:rPr>
          <w:sz w:val="20"/>
          <w:szCs w:val="20"/>
          <w:color w:val="auto"/>
        </w:rPr>
      </w:pPr>
    </w:p>
    <w:p>
      <w:pPr>
        <w:ind w:right="160" w:firstLine="324"/>
        <w:spacing w:after="0" w:line="308" w:lineRule="auto"/>
        <w:rPr>
          <w:sz w:val="20"/>
          <w:szCs w:val="20"/>
          <w:color w:val="auto"/>
        </w:rPr>
      </w:pPr>
      <w:r>
        <w:rPr>
          <w:rFonts w:ascii="Arial" w:cs="Arial" w:eastAsia="Arial" w:hAnsi="Arial"/>
          <w:sz w:val="17"/>
          <w:szCs w:val="17"/>
          <w:color w:val="auto"/>
        </w:rPr>
        <w:t>The Notes are being offered pursuant to Comcast’s Registration Statement on Form S-3 filed on September 18, 2013, as amended on February 19, 2014 (Reg. No. 333-191239), including the prospectus contained therein, and a related prospectus supplement dated February 19, 2014.</w:t>
      </w:r>
    </w:p>
    <w:p>
      <w:pPr>
        <w:spacing w:after="0" w:line="174" w:lineRule="exact"/>
        <w:rPr>
          <w:sz w:val="20"/>
          <w:szCs w:val="20"/>
          <w:color w:val="auto"/>
        </w:rPr>
      </w:pPr>
    </w:p>
    <w:p>
      <w:pPr>
        <w:ind w:right="460" w:firstLine="324"/>
        <w:spacing w:after="0" w:line="264" w:lineRule="auto"/>
        <w:rPr>
          <w:sz w:val="20"/>
          <w:szCs w:val="20"/>
          <w:color w:val="auto"/>
        </w:rPr>
      </w:pPr>
      <w:r>
        <w:rPr>
          <w:rFonts w:ascii="Arial" w:cs="Arial" w:eastAsia="Arial" w:hAnsi="Arial"/>
          <w:sz w:val="18"/>
          <w:szCs w:val="18"/>
          <w:color w:val="auto"/>
        </w:rPr>
        <w:t>The material terms and conditions of the Notes are set forth in the Form of Officers’ Certificate filed herewith as Exhibit 4.1 and incorporated by reference herein and in the Indenture filed as Exhibit 4.3 to Comcast’s Registration Statement on Form S-3 filed on September 18, 2013, as amended on February 19, 2014.</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gridSpan w:val="2"/>
          </w:tcPr>
          <w:p>
            <w:pPr>
              <w:ind w:left="340"/>
              <w:spacing w:after="0"/>
              <w:rPr>
                <w:sz w:val="20"/>
                <w:szCs w:val="20"/>
                <w:color w:val="auto"/>
              </w:rPr>
            </w:pPr>
            <w:r>
              <w:rPr>
                <w:rFonts w:ascii="Arial" w:cs="Arial" w:eastAsia="Arial" w:hAnsi="Arial"/>
                <w:sz w:val="18"/>
                <w:szCs w:val="18"/>
                <w:b w:val="1"/>
                <w:bCs w:val="1"/>
                <w:color w:val="auto"/>
                <w:w w:val="93"/>
              </w:rPr>
              <w:t>Item 9.01(d)</w:t>
            </w:r>
          </w:p>
        </w:tc>
        <w:tc>
          <w:tcPr>
            <w:tcW w:w="40" w:type="dxa"/>
            <w:vAlign w:val="bottom"/>
          </w:tcPr>
          <w:p>
            <w:pPr>
              <w:spacing w:after="0"/>
              <w:rPr>
                <w:sz w:val="20"/>
                <w:szCs w:val="20"/>
                <w:color w:val="auto"/>
              </w:rPr>
            </w:pPr>
          </w:p>
        </w:tc>
        <w:tc>
          <w:tcPr>
            <w:tcW w:w="10080" w:type="dxa"/>
            <w:vAlign w:val="bottom"/>
          </w:tcPr>
          <w:p>
            <w:pPr>
              <w:ind w:left="20"/>
              <w:spacing w:after="0"/>
              <w:rPr>
                <w:sz w:val="20"/>
                <w:szCs w:val="20"/>
                <w:color w:val="auto"/>
              </w:rPr>
            </w:pPr>
            <w:r>
              <w:rPr>
                <w:rFonts w:ascii="Arial" w:cs="Arial" w:eastAsia="Arial" w:hAnsi="Arial"/>
                <w:sz w:val="18"/>
                <w:szCs w:val="18"/>
                <w:b w:val="1"/>
                <w:bCs w:val="1"/>
                <w:color w:val="auto"/>
              </w:rPr>
              <w:t>Exhibits</w:t>
            </w:r>
          </w:p>
        </w:tc>
      </w:tr>
      <w:tr>
        <w:trPr>
          <w:trHeight w:val="441"/>
        </w:trPr>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40" w:type="dxa"/>
            <w:vAlign w:val="bottom"/>
          </w:tcPr>
          <w:p>
            <w:pPr>
              <w:spacing w:after="0"/>
              <w:rPr>
                <w:sz w:val="24"/>
                <w:szCs w:val="24"/>
                <w:color w:val="auto"/>
              </w:rPr>
            </w:pPr>
          </w:p>
        </w:tc>
        <w:tc>
          <w:tcPr>
            <w:tcW w:w="10080" w:type="dxa"/>
            <w:vAlign w:val="bottom"/>
          </w:tcPr>
          <w:p>
            <w:pPr>
              <w:spacing w:after="0"/>
              <w:rPr>
                <w:sz w:val="24"/>
                <w:szCs w:val="24"/>
                <w:color w:val="auto"/>
              </w:rPr>
            </w:pPr>
          </w:p>
        </w:tc>
      </w:tr>
      <w:tr>
        <w:trPr>
          <w:trHeight w:val="234"/>
        </w:trPr>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0120" w:type="dxa"/>
            <w:vAlign w:val="bottom"/>
            <w:gridSpan w:val="2"/>
          </w:tcPr>
          <w:p>
            <w:pPr>
              <w:ind w:left="40"/>
              <w:spacing w:after="0"/>
              <w:rPr>
                <w:sz w:val="20"/>
                <w:szCs w:val="20"/>
                <w:color w:val="auto"/>
              </w:rPr>
            </w:pPr>
            <w:r>
              <w:rPr>
                <w:rFonts w:ascii="Arial" w:cs="Arial" w:eastAsia="Arial" w:hAnsi="Arial"/>
                <w:sz w:val="18"/>
                <w:szCs w:val="18"/>
                <w:b w:val="1"/>
                <w:bCs w:val="1"/>
                <w:color w:val="auto"/>
              </w:rPr>
              <w:t>Description</w:t>
            </w:r>
          </w:p>
        </w:tc>
      </w:tr>
      <w:tr>
        <w:trPr>
          <w:trHeight w:val="224"/>
        </w:trPr>
        <w:tc>
          <w:tcPr>
            <w:tcW w:w="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4.1</w:t>
            </w: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Form of Officers’ Certificate setting forth the terms of the Notes</w:t>
            </w:r>
          </w:p>
        </w:tc>
      </w:tr>
      <w:tr>
        <w:trPr>
          <w:trHeight w:val="391"/>
        </w:trPr>
        <w:tc>
          <w:tcPr>
            <w:tcW w:w="800" w:type="dxa"/>
            <w:vAlign w:val="bottom"/>
          </w:tcPr>
          <w:p>
            <w:pPr>
              <w:spacing w:after="0"/>
              <w:rPr>
                <w:sz w:val="20"/>
                <w:szCs w:val="20"/>
                <w:color w:val="auto"/>
              </w:rPr>
            </w:pPr>
            <w:r>
              <w:rPr>
                <w:rFonts w:ascii="Arial" w:cs="Arial" w:eastAsia="Arial" w:hAnsi="Arial"/>
                <w:sz w:val="18"/>
                <w:szCs w:val="18"/>
                <w:color w:val="auto"/>
              </w:rPr>
              <w:t>5.1</w:t>
            </w:r>
          </w:p>
        </w:tc>
        <w:tc>
          <w:tcPr>
            <w:tcW w:w="500" w:type="dxa"/>
            <w:vAlign w:val="bottom"/>
          </w:tcPr>
          <w:p>
            <w:pPr>
              <w:spacing w:after="0"/>
              <w:rPr>
                <w:sz w:val="24"/>
                <w:szCs w:val="24"/>
                <w:color w:val="auto"/>
              </w:rPr>
            </w:pPr>
          </w:p>
        </w:tc>
        <w:tc>
          <w:tcPr>
            <w:tcW w:w="10120" w:type="dxa"/>
            <w:vAlign w:val="bottom"/>
            <w:gridSpan w:val="2"/>
          </w:tcPr>
          <w:p>
            <w:pPr>
              <w:ind w:left="40"/>
              <w:spacing w:after="0"/>
              <w:rPr>
                <w:sz w:val="20"/>
                <w:szCs w:val="20"/>
                <w:color w:val="auto"/>
              </w:rPr>
            </w:pPr>
            <w:r>
              <w:rPr>
                <w:rFonts w:ascii="Arial" w:cs="Arial" w:eastAsia="Arial" w:hAnsi="Arial"/>
                <w:sz w:val="18"/>
                <w:szCs w:val="18"/>
                <w:color w:val="auto"/>
              </w:rPr>
              <w:t>Opinion of Arthur R. Block, Esq.</w:t>
            </w:r>
          </w:p>
        </w:tc>
      </w:tr>
      <w:tr>
        <w:trPr>
          <w:trHeight w:val="405"/>
        </w:trPr>
        <w:tc>
          <w:tcPr>
            <w:tcW w:w="800" w:type="dxa"/>
            <w:vAlign w:val="bottom"/>
          </w:tcPr>
          <w:p>
            <w:pPr>
              <w:spacing w:after="0"/>
              <w:rPr>
                <w:sz w:val="20"/>
                <w:szCs w:val="20"/>
                <w:color w:val="auto"/>
              </w:rPr>
            </w:pPr>
            <w:r>
              <w:rPr>
                <w:rFonts w:ascii="Arial" w:cs="Arial" w:eastAsia="Arial" w:hAnsi="Arial"/>
                <w:sz w:val="18"/>
                <w:szCs w:val="18"/>
                <w:color w:val="auto"/>
              </w:rPr>
              <w:t>5.2</w:t>
            </w:r>
          </w:p>
        </w:tc>
        <w:tc>
          <w:tcPr>
            <w:tcW w:w="500" w:type="dxa"/>
            <w:vAlign w:val="bottom"/>
          </w:tcPr>
          <w:p>
            <w:pPr>
              <w:spacing w:after="0"/>
              <w:rPr>
                <w:sz w:val="24"/>
                <w:szCs w:val="24"/>
                <w:color w:val="auto"/>
              </w:rPr>
            </w:pPr>
          </w:p>
        </w:tc>
        <w:tc>
          <w:tcPr>
            <w:tcW w:w="10120" w:type="dxa"/>
            <w:vAlign w:val="bottom"/>
            <w:gridSpan w:val="2"/>
          </w:tcPr>
          <w:p>
            <w:pPr>
              <w:ind w:left="40"/>
              <w:spacing w:after="0"/>
              <w:rPr>
                <w:sz w:val="20"/>
                <w:szCs w:val="20"/>
                <w:color w:val="auto"/>
              </w:rPr>
            </w:pPr>
            <w:r>
              <w:rPr>
                <w:rFonts w:ascii="Arial" w:cs="Arial" w:eastAsia="Arial" w:hAnsi="Arial"/>
                <w:sz w:val="18"/>
                <w:szCs w:val="18"/>
                <w:color w:val="auto"/>
              </w:rPr>
              <w:t>Opinion of Davis Polk &amp; Wardwell LLP</w:t>
            </w:r>
          </w:p>
        </w:tc>
      </w:tr>
      <w:tr>
        <w:trPr>
          <w:trHeight w:val="405"/>
        </w:trPr>
        <w:tc>
          <w:tcPr>
            <w:tcW w:w="800" w:type="dxa"/>
            <w:vAlign w:val="bottom"/>
          </w:tcPr>
          <w:p>
            <w:pPr>
              <w:spacing w:after="0"/>
              <w:rPr>
                <w:sz w:val="20"/>
                <w:szCs w:val="20"/>
                <w:color w:val="auto"/>
              </w:rPr>
            </w:pPr>
            <w:r>
              <w:rPr>
                <w:rFonts w:ascii="Arial" w:cs="Arial" w:eastAsia="Arial" w:hAnsi="Arial"/>
                <w:sz w:val="18"/>
                <w:szCs w:val="18"/>
                <w:color w:val="auto"/>
              </w:rPr>
              <w:t>23.1</w:t>
            </w:r>
          </w:p>
        </w:tc>
        <w:tc>
          <w:tcPr>
            <w:tcW w:w="500" w:type="dxa"/>
            <w:vAlign w:val="bottom"/>
          </w:tcPr>
          <w:p>
            <w:pPr>
              <w:spacing w:after="0"/>
              <w:rPr>
                <w:sz w:val="24"/>
                <w:szCs w:val="24"/>
                <w:color w:val="auto"/>
              </w:rPr>
            </w:pPr>
          </w:p>
        </w:tc>
        <w:tc>
          <w:tcPr>
            <w:tcW w:w="10120" w:type="dxa"/>
            <w:vAlign w:val="bottom"/>
            <w:gridSpan w:val="2"/>
          </w:tcPr>
          <w:p>
            <w:pPr>
              <w:ind w:left="40"/>
              <w:spacing w:after="0"/>
              <w:rPr>
                <w:sz w:val="20"/>
                <w:szCs w:val="20"/>
                <w:color w:val="auto"/>
              </w:rPr>
            </w:pPr>
            <w:r>
              <w:rPr>
                <w:rFonts w:ascii="Arial" w:cs="Arial" w:eastAsia="Arial" w:hAnsi="Arial"/>
                <w:sz w:val="18"/>
                <w:szCs w:val="18"/>
                <w:color w:val="auto"/>
              </w:rPr>
              <w:t>Consent of Arthur R. Block, Esq. (contained in Exhibit 5.1)</w:t>
            </w:r>
          </w:p>
        </w:tc>
      </w:tr>
      <w:tr>
        <w:trPr>
          <w:trHeight w:val="405"/>
        </w:trPr>
        <w:tc>
          <w:tcPr>
            <w:tcW w:w="800" w:type="dxa"/>
            <w:vAlign w:val="bottom"/>
          </w:tcPr>
          <w:p>
            <w:pPr>
              <w:spacing w:after="0"/>
              <w:rPr>
                <w:sz w:val="20"/>
                <w:szCs w:val="20"/>
                <w:color w:val="auto"/>
              </w:rPr>
            </w:pPr>
            <w:r>
              <w:rPr>
                <w:rFonts w:ascii="Arial" w:cs="Arial" w:eastAsia="Arial" w:hAnsi="Arial"/>
                <w:sz w:val="18"/>
                <w:szCs w:val="18"/>
                <w:color w:val="auto"/>
              </w:rPr>
              <w:t>23.2</w:t>
            </w:r>
          </w:p>
        </w:tc>
        <w:tc>
          <w:tcPr>
            <w:tcW w:w="500" w:type="dxa"/>
            <w:vAlign w:val="bottom"/>
          </w:tcPr>
          <w:p>
            <w:pPr>
              <w:spacing w:after="0"/>
              <w:rPr>
                <w:sz w:val="24"/>
                <w:szCs w:val="24"/>
                <w:color w:val="auto"/>
              </w:rPr>
            </w:pPr>
          </w:p>
        </w:tc>
        <w:tc>
          <w:tcPr>
            <w:tcW w:w="10120" w:type="dxa"/>
            <w:vAlign w:val="bottom"/>
            <w:gridSpan w:val="2"/>
          </w:tcPr>
          <w:p>
            <w:pPr>
              <w:ind w:left="40"/>
              <w:spacing w:after="0"/>
              <w:rPr>
                <w:sz w:val="20"/>
                <w:szCs w:val="20"/>
                <w:color w:val="auto"/>
              </w:rPr>
            </w:pPr>
            <w:r>
              <w:rPr>
                <w:rFonts w:ascii="Arial" w:cs="Arial" w:eastAsia="Arial" w:hAnsi="Arial"/>
                <w:sz w:val="18"/>
                <w:szCs w:val="18"/>
                <w:color w:val="auto"/>
              </w:rPr>
              <w:t>Consent of Davis Polk &amp; Wardwell LLP (contained in Exhibit 5.2)</w:t>
            </w:r>
          </w:p>
        </w:tc>
      </w:tr>
      <w:tr>
        <w:trPr>
          <w:trHeight w:val="659"/>
        </w:trPr>
        <w:tc>
          <w:tcPr>
            <w:tcW w:w="80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00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8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720" w:type="dxa"/>
            <w:vAlign w:val="bottom"/>
            <w:gridSpan w:val="2"/>
          </w:tcPr>
          <w:p>
            <w:pPr>
              <w:ind w:left="1800"/>
              <w:spacing w:after="0"/>
              <w:rPr>
                <w:sz w:val="20"/>
                <w:szCs w:val="20"/>
                <w:color w:val="auto"/>
              </w:rPr>
            </w:pPr>
            <w:r>
              <w:rPr>
                <w:rFonts w:ascii="Arial" w:cs="Arial" w:eastAsia="Arial" w:hAnsi="Arial"/>
                <w:sz w:val="18"/>
                <w:szCs w:val="18"/>
                <w:b w:val="1"/>
                <w:bCs w:val="1"/>
                <w:color w:val="auto"/>
              </w:rPr>
              <w:t>COMCAST CORPORATION</w:t>
            </w:r>
          </w:p>
        </w:tc>
        <w:tc>
          <w:tcPr>
            <w:tcW w:w="20" w:type="dxa"/>
            <w:vAlign w:val="bottom"/>
          </w:tcPr>
          <w:p>
            <w:pPr>
              <w:spacing w:after="0"/>
              <w:rPr>
                <w:sz w:val="20"/>
                <w:szCs w:val="20"/>
                <w:color w:val="auto"/>
              </w:rPr>
            </w:pPr>
          </w:p>
        </w:tc>
      </w:tr>
      <w:tr>
        <w:trPr>
          <w:trHeight w:val="648"/>
        </w:trPr>
        <w:tc>
          <w:tcPr>
            <w:tcW w:w="3700" w:type="dxa"/>
            <w:vAlign w:val="bottom"/>
          </w:tcPr>
          <w:p>
            <w:pPr>
              <w:spacing w:after="0"/>
              <w:rPr>
                <w:sz w:val="20"/>
                <w:szCs w:val="20"/>
                <w:color w:val="auto"/>
              </w:rPr>
            </w:pPr>
            <w:r>
              <w:rPr>
                <w:rFonts w:ascii="Arial" w:cs="Arial" w:eastAsia="Arial" w:hAnsi="Arial"/>
                <w:sz w:val="18"/>
                <w:szCs w:val="18"/>
                <w:color w:val="auto"/>
              </w:rPr>
              <w:t>Date:  February 25, 2014</w:t>
            </w:r>
          </w:p>
        </w:tc>
        <w:tc>
          <w:tcPr>
            <w:tcW w:w="7720" w:type="dxa"/>
            <w:vAlign w:val="bottom"/>
            <w:gridSpan w:val="2"/>
          </w:tcPr>
          <w:p>
            <w:pPr>
              <w:ind w:left="1800"/>
              <w:spacing w:after="0"/>
              <w:rPr>
                <w:sz w:val="20"/>
                <w:szCs w:val="20"/>
                <w:color w:val="auto"/>
              </w:rPr>
            </w:pPr>
            <w:r>
              <w:rPr>
                <w:rFonts w:ascii="Arial" w:cs="Arial" w:eastAsia="Arial" w:hAnsi="Arial"/>
                <w:sz w:val="18"/>
                <w:szCs w:val="18"/>
                <w:color w:val="auto"/>
              </w:rPr>
              <w:t>By:  /s/ Arthur R. Block</w:t>
            </w:r>
          </w:p>
        </w:tc>
        <w:tc>
          <w:tcPr>
            <w:tcW w:w="20" w:type="dxa"/>
            <w:vAlign w:val="bottom"/>
          </w:tcPr>
          <w:p>
            <w:pPr>
              <w:spacing w:after="0"/>
              <w:rPr>
                <w:sz w:val="24"/>
                <w:szCs w:val="24"/>
                <w:color w:val="auto"/>
              </w:rPr>
            </w:pPr>
          </w:p>
        </w:tc>
      </w:tr>
      <w:tr>
        <w:trPr>
          <w:trHeight w:val="195"/>
        </w:trPr>
        <w:tc>
          <w:tcPr>
            <w:tcW w:w="37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4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Arthur R. Block</w:t>
            </w:r>
          </w:p>
        </w:tc>
        <w:tc>
          <w:tcPr>
            <w:tcW w:w="20" w:type="dxa"/>
            <w:vAlign w:val="bottom"/>
          </w:tcPr>
          <w:p>
            <w:pPr>
              <w:spacing w:after="0"/>
              <w:rPr>
                <w:sz w:val="16"/>
                <w:szCs w:val="16"/>
                <w:color w:val="auto"/>
              </w:rPr>
            </w:pPr>
          </w:p>
        </w:tc>
      </w:tr>
      <w:tr>
        <w:trPr>
          <w:trHeight w:val="230"/>
        </w:trPr>
        <w:tc>
          <w:tcPr>
            <w:tcW w:w="37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Title:  Senior Vice President, General Counsel and Secretary</w:t>
            </w:r>
          </w:p>
        </w:tc>
        <w:tc>
          <w:tcPr>
            <w:tcW w:w="20" w:type="dxa"/>
            <w:vAlign w:val="bottom"/>
          </w:tcPr>
          <w:p>
            <w:pPr>
              <w:spacing w:after="0"/>
              <w:rPr>
                <w:sz w:val="20"/>
                <w:szCs w:val="20"/>
                <w:color w:val="auto"/>
              </w:rPr>
            </w:pPr>
          </w:p>
        </w:tc>
      </w:tr>
      <w:tr>
        <w:trPr>
          <w:trHeight w:val="605"/>
        </w:trPr>
        <w:tc>
          <w:tcPr>
            <w:tcW w:w="3700" w:type="dxa"/>
            <w:vAlign w:val="bottom"/>
            <w:tcBorders>
              <w:bottom w:val="single" w:sz="8" w:color="808080"/>
            </w:tcBorders>
          </w:tcPr>
          <w:p>
            <w:pPr>
              <w:spacing w:after="0"/>
              <w:rPr>
                <w:sz w:val="24"/>
                <w:szCs w:val="24"/>
                <w:color w:val="auto"/>
              </w:rPr>
            </w:pPr>
          </w:p>
        </w:tc>
        <w:tc>
          <w:tcPr>
            <w:tcW w:w="2260" w:type="dxa"/>
            <w:vAlign w:val="bottom"/>
            <w:tcBorders>
              <w:bottom w:val="single" w:sz="8" w:color="808080"/>
            </w:tcBorders>
          </w:tcPr>
          <w:p>
            <w:pPr>
              <w:spacing w:after="0"/>
              <w:rPr>
                <w:sz w:val="24"/>
                <w:szCs w:val="24"/>
                <w:color w:val="auto"/>
              </w:rPr>
            </w:pPr>
          </w:p>
        </w:tc>
        <w:tc>
          <w:tcPr>
            <w:tcW w:w="54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513" w:right="2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4.1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OFFICERS’ CERTIFICATE]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Officers’ Certificate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February 26, 2014</w:t>
      </w:r>
    </w:p>
    <w:p>
      <w:pPr>
        <w:spacing w:after="0" w:line="252"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Pursuant to Section 2.03 of the Indenture dated as of September 18, 2013 (the “</w:t>
      </w:r>
      <w:r>
        <w:rPr>
          <w:rFonts w:ascii="Arial" w:cs="Arial" w:eastAsia="Arial" w:hAnsi="Arial"/>
          <w:sz w:val="17"/>
          <w:szCs w:val="17"/>
          <w:b w:val="1"/>
          <w:bCs w:val="1"/>
          <w:color w:val="auto"/>
        </w:rPr>
        <w:t>Indenture</w:t>
      </w:r>
      <w:r>
        <w:rPr>
          <w:rFonts w:ascii="Arial" w:cs="Arial" w:eastAsia="Arial" w:hAnsi="Arial"/>
          <w:sz w:val="17"/>
          <w:szCs w:val="17"/>
          <w:color w:val="auto"/>
        </w:rPr>
        <w:t>”) by and among Comcast Corporation (the “</w:t>
      </w:r>
      <w:r>
        <w:rPr>
          <w:rFonts w:ascii="Arial" w:cs="Arial" w:eastAsia="Arial" w:hAnsi="Arial"/>
          <w:sz w:val="17"/>
          <w:szCs w:val="17"/>
          <w:b w:val="1"/>
          <w:bCs w:val="1"/>
          <w:color w:val="auto"/>
        </w:rPr>
        <w:t>Company</w:t>
      </w:r>
      <w:r>
        <w:rPr>
          <w:rFonts w:ascii="Arial" w:cs="Arial" w:eastAsia="Arial" w:hAnsi="Arial"/>
          <w:sz w:val="17"/>
          <w:szCs w:val="17"/>
          <w:color w:val="auto"/>
        </w:rPr>
        <w:t>”), the guarantors named therein and The Bank of New York Mellon, as trustee (the “</w:t>
      </w:r>
      <w:r>
        <w:rPr>
          <w:rFonts w:ascii="Arial" w:cs="Arial" w:eastAsia="Arial" w:hAnsi="Arial"/>
          <w:sz w:val="17"/>
          <w:szCs w:val="17"/>
          <w:b w:val="1"/>
          <w:bCs w:val="1"/>
          <w:color w:val="auto"/>
        </w:rPr>
        <w:t>Trustee</w:t>
      </w:r>
      <w:r>
        <w:rPr>
          <w:rFonts w:ascii="Arial" w:cs="Arial" w:eastAsia="Arial" w:hAnsi="Arial"/>
          <w:sz w:val="17"/>
          <w:szCs w:val="17"/>
          <w:color w:val="auto"/>
        </w:rPr>
        <w:t>”), and guaranteed on an unsecured and unsubordinated basis by Comcast Cable Communications, LLC, Comcast Cable Holdings, LLC, Comcast MO Group, Inc., Comcast MO of Delaware, LLC and NBCUniversal Media, LLC, the undersigned officers of the Company do hereby certify, in connection with the issuance of the Company’s $1,200,000,000 aggregate principal amount of 3.60% Notes Due 2024 (the “</w:t>
      </w:r>
      <w:r>
        <w:rPr>
          <w:rFonts w:ascii="Arial" w:cs="Arial" w:eastAsia="Arial" w:hAnsi="Arial"/>
          <w:sz w:val="17"/>
          <w:szCs w:val="17"/>
          <w:b w:val="1"/>
          <w:bCs w:val="1"/>
          <w:color w:val="auto"/>
        </w:rPr>
        <w:t>2024 Notes</w:t>
      </w:r>
      <w:r>
        <w:rPr>
          <w:rFonts w:ascii="Arial" w:cs="Arial" w:eastAsia="Arial" w:hAnsi="Arial"/>
          <w:sz w:val="17"/>
          <w:szCs w:val="17"/>
          <w:color w:val="auto"/>
        </w:rPr>
        <w:t>”) and $1,000,000,000 aggregate principal amount of 4.75% Notes Due 2044 (the “</w:t>
      </w:r>
      <w:r>
        <w:rPr>
          <w:rFonts w:ascii="Arial" w:cs="Arial" w:eastAsia="Arial" w:hAnsi="Arial"/>
          <w:sz w:val="17"/>
          <w:szCs w:val="17"/>
          <w:b w:val="1"/>
          <w:bCs w:val="1"/>
          <w:color w:val="auto"/>
        </w:rPr>
        <w:t>2044 Notes</w:t>
      </w:r>
      <w:r>
        <w:rPr>
          <w:rFonts w:ascii="Arial" w:cs="Arial" w:eastAsia="Arial" w:hAnsi="Arial"/>
          <w:sz w:val="17"/>
          <w:szCs w:val="17"/>
          <w:color w:val="auto"/>
        </w:rPr>
        <w:t>” and, together with the 2024 Notes, the “</w:t>
      </w:r>
      <w:r>
        <w:rPr>
          <w:rFonts w:ascii="Arial" w:cs="Arial" w:eastAsia="Arial" w:hAnsi="Arial"/>
          <w:sz w:val="17"/>
          <w:szCs w:val="17"/>
          <w:b w:val="1"/>
          <w:bCs w:val="1"/>
          <w:color w:val="auto"/>
        </w:rPr>
        <w:t>Notes</w:t>
      </w:r>
      <w:r>
        <w:rPr>
          <w:rFonts w:ascii="Arial" w:cs="Arial" w:eastAsia="Arial" w:hAnsi="Arial"/>
          <w:sz w:val="17"/>
          <w:szCs w:val="17"/>
          <w:color w:val="auto"/>
        </w:rPr>
        <w:t>”), that the terms of the Notes are as follows:</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3.</w:t>
            </w:r>
            <w:r>
              <w:rPr>
                <w:rFonts w:ascii="Arial" w:cs="Arial" w:eastAsia="Arial" w:hAnsi="Arial"/>
                <w:sz w:val="18"/>
                <w:szCs w:val="18"/>
                <w:b w:val="1"/>
                <w:bCs w:val="1"/>
                <w:u w:val="single" w:color="auto"/>
                <w:color w:val="auto"/>
                <w:w w:val="90"/>
              </w:rPr>
              <w:t>60%</w:t>
            </w:r>
            <w:r>
              <w:rPr>
                <w:rFonts w:ascii="Arial" w:cs="Arial" w:eastAsia="Arial" w:hAnsi="Arial"/>
                <w:sz w:val="18"/>
                <w:szCs w:val="18"/>
                <w:b w:val="1"/>
                <w:bCs w:val="1"/>
                <w:color w:val="auto"/>
                <w:w w:val="90"/>
              </w:rPr>
              <w:t xml:space="preserve"> Notes Due 2024</w:t>
            </w:r>
          </w:p>
        </w:tc>
        <w:tc>
          <w:tcPr>
            <w:tcW w:w="4840" w:type="dxa"/>
            <w:vAlign w:val="bottom"/>
          </w:tcPr>
          <w:p>
            <w:pPr>
              <w:spacing w:after="0"/>
              <w:rPr>
                <w:sz w:val="17"/>
                <w:szCs w:val="17"/>
                <w:color w:val="auto"/>
              </w:rPr>
            </w:pPr>
          </w:p>
        </w:tc>
      </w:tr>
      <w:tr>
        <w:trPr>
          <w:trHeight w:val="426"/>
        </w:trPr>
        <w:tc>
          <w:tcPr>
            <w:tcW w:w="3920" w:type="dxa"/>
            <w:vAlign w:val="bottom"/>
          </w:tcPr>
          <w:p>
            <w:pPr>
              <w:spacing w:after="0"/>
              <w:rPr>
                <w:sz w:val="20"/>
                <w:szCs w:val="20"/>
                <w:color w:val="auto"/>
              </w:rPr>
            </w:pPr>
            <w:r>
              <w:rPr>
                <w:rFonts w:ascii="Arial" w:cs="Arial" w:eastAsia="Arial" w:hAnsi="Arial"/>
                <w:sz w:val="18"/>
                <w:szCs w:val="18"/>
                <w:i w:val="1"/>
                <w:iCs w:val="1"/>
                <w:color w:val="auto"/>
              </w:rPr>
              <w:t>Title:</w:t>
            </w:r>
          </w:p>
        </w:tc>
        <w:tc>
          <w:tcPr>
            <w:tcW w:w="920" w:type="dxa"/>
            <w:vAlign w:val="bottom"/>
          </w:tcPr>
          <w:p>
            <w:pPr>
              <w:spacing w:after="0"/>
              <w:rPr>
                <w:sz w:val="24"/>
                <w:szCs w:val="24"/>
                <w:color w:val="auto"/>
              </w:rPr>
            </w:pPr>
          </w:p>
        </w:tc>
        <w:tc>
          <w:tcPr>
            <w:tcW w:w="6580" w:type="dxa"/>
            <w:vAlign w:val="bottom"/>
            <w:gridSpan w:val="2"/>
          </w:tcPr>
          <w:p>
            <w:pPr>
              <w:ind w:left="200"/>
              <w:spacing w:after="0"/>
              <w:rPr>
                <w:sz w:val="20"/>
                <w:szCs w:val="20"/>
                <w:color w:val="auto"/>
              </w:rPr>
            </w:pPr>
            <w:r>
              <w:rPr>
                <w:rFonts w:ascii="Arial" w:cs="Arial" w:eastAsia="Arial" w:hAnsi="Arial"/>
                <w:sz w:val="18"/>
                <w:szCs w:val="18"/>
                <w:color w:val="auto"/>
              </w:rPr>
              <w:t xml:space="preserve">3.60% Notes Due </w:t>
            </w:r>
            <w:r>
              <w:rPr>
                <w:rFonts w:ascii="Arial" w:cs="Arial" w:eastAsia="Arial" w:hAnsi="Arial"/>
                <w:sz w:val="18"/>
                <w:szCs w:val="18"/>
                <w:b w:val="1"/>
                <w:bCs w:val="1"/>
                <w:color w:val="auto"/>
              </w:rPr>
              <w:t>2024</w:t>
            </w:r>
          </w:p>
        </w:tc>
      </w:tr>
      <w:tr>
        <w:trPr>
          <w:trHeight w:val="405"/>
        </w:trPr>
        <w:tc>
          <w:tcPr>
            <w:tcW w:w="3920" w:type="dxa"/>
            <w:vAlign w:val="bottom"/>
          </w:tcPr>
          <w:p>
            <w:pPr>
              <w:spacing w:after="0"/>
              <w:rPr>
                <w:sz w:val="20"/>
                <w:szCs w:val="20"/>
                <w:color w:val="auto"/>
              </w:rPr>
            </w:pPr>
            <w:r>
              <w:rPr>
                <w:rFonts w:ascii="Arial" w:cs="Arial" w:eastAsia="Arial" w:hAnsi="Arial"/>
                <w:sz w:val="18"/>
                <w:szCs w:val="18"/>
                <w:i w:val="1"/>
                <w:iCs w:val="1"/>
                <w:color w:val="auto"/>
              </w:rPr>
              <w:t>Aggregate Principal Amount at Maturity:</w:t>
            </w:r>
          </w:p>
        </w:tc>
        <w:tc>
          <w:tcPr>
            <w:tcW w:w="2660" w:type="dxa"/>
            <w:vAlign w:val="bottom"/>
            <w:gridSpan w:val="2"/>
          </w:tcPr>
          <w:p>
            <w:pPr>
              <w:ind w:left="1120"/>
              <w:spacing w:after="0"/>
              <w:rPr>
                <w:sz w:val="20"/>
                <w:szCs w:val="20"/>
                <w:color w:val="auto"/>
              </w:rPr>
            </w:pPr>
            <w:r>
              <w:rPr>
                <w:rFonts w:ascii="Arial" w:cs="Arial" w:eastAsia="Arial" w:hAnsi="Arial"/>
                <w:sz w:val="18"/>
                <w:szCs w:val="18"/>
                <w:color w:val="auto"/>
              </w:rPr>
              <w:t>$1,200,000,000</w:t>
            </w:r>
          </w:p>
        </w:tc>
        <w:tc>
          <w:tcPr>
            <w:tcW w:w="4840" w:type="dxa"/>
            <w:vAlign w:val="bottom"/>
          </w:tcPr>
          <w:p>
            <w:pPr>
              <w:spacing w:after="0"/>
              <w:rPr>
                <w:sz w:val="24"/>
                <w:szCs w:val="24"/>
                <w:color w:val="auto"/>
              </w:rPr>
            </w:pPr>
          </w:p>
        </w:tc>
      </w:tr>
      <w:tr>
        <w:trPr>
          <w:trHeight w:val="621"/>
        </w:trPr>
        <w:tc>
          <w:tcPr>
            <w:tcW w:w="3920" w:type="dxa"/>
            <w:vAlign w:val="bottom"/>
          </w:tcPr>
          <w:p>
            <w:pPr>
              <w:spacing w:after="0"/>
              <w:rPr>
                <w:sz w:val="20"/>
                <w:szCs w:val="20"/>
                <w:color w:val="auto"/>
              </w:rPr>
            </w:pPr>
            <w:r>
              <w:rPr>
                <w:rFonts w:ascii="Arial" w:cs="Arial" w:eastAsia="Arial" w:hAnsi="Arial"/>
                <w:sz w:val="18"/>
                <w:szCs w:val="18"/>
                <w:i w:val="1"/>
                <w:iCs w:val="1"/>
                <w:color w:val="auto"/>
              </w:rPr>
              <w:t>Principal Payment Date:</w:t>
            </w:r>
          </w:p>
        </w:tc>
        <w:tc>
          <w:tcPr>
            <w:tcW w:w="920" w:type="dxa"/>
            <w:vAlign w:val="bottom"/>
          </w:tcPr>
          <w:p>
            <w:pPr>
              <w:spacing w:after="0"/>
              <w:rPr>
                <w:sz w:val="24"/>
                <w:szCs w:val="24"/>
                <w:color w:val="auto"/>
              </w:rPr>
            </w:pPr>
          </w:p>
        </w:tc>
        <w:tc>
          <w:tcPr>
            <w:tcW w:w="6580" w:type="dxa"/>
            <w:vAlign w:val="bottom"/>
            <w:gridSpan w:val="2"/>
          </w:tcPr>
          <w:p>
            <w:pPr>
              <w:ind w:left="200"/>
              <w:spacing w:after="0"/>
              <w:rPr>
                <w:sz w:val="20"/>
                <w:szCs w:val="20"/>
                <w:color w:val="auto"/>
              </w:rPr>
            </w:pPr>
            <w:r>
              <w:rPr>
                <w:rFonts w:ascii="Arial" w:cs="Arial" w:eastAsia="Arial" w:hAnsi="Arial"/>
                <w:sz w:val="18"/>
                <w:szCs w:val="18"/>
                <w:color w:val="auto"/>
              </w:rPr>
              <w:t>March 1, 2024</w:t>
            </w:r>
          </w:p>
        </w:tc>
      </w:tr>
      <w:tr>
        <w:trPr>
          <w:trHeight w:val="405"/>
        </w:trPr>
        <w:tc>
          <w:tcPr>
            <w:tcW w:w="3920" w:type="dxa"/>
            <w:vAlign w:val="bottom"/>
          </w:tcPr>
          <w:p>
            <w:pPr>
              <w:spacing w:after="0"/>
              <w:rPr>
                <w:sz w:val="20"/>
                <w:szCs w:val="20"/>
                <w:color w:val="auto"/>
              </w:rPr>
            </w:pPr>
            <w:r>
              <w:rPr>
                <w:rFonts w:ascii="Arial" w:cs="Arial" w:eastAsia="Arial" w:hAnsi="Arial"/>
                <w:sz w:val="18"/>
                <w:szCs w:val="18"/>
                <w:i w:val="1"/>
                <w:iCs w:val="1"/>
                <w:color w:val="auto"/>
              </w:rPr>
              <w:t>Interest:</w:t>
            </w:r>
          </w:p>
        </w:tc>
        <w:tc>
          <w:tcPr>
            <w:tcW w:w="2660" w:type="dxa"/>
            <w:vAlign w:val="bottom"/>
            <w:gridSpan w:val="2"/>
          </w:tcPr>
          <w:p>
            <w:pPr>
              <w:ind w:left="1120"/>
              <w:spacing w:after="0"/>
              <w:rPr>
                <w:sz w:val="20"/>
                <w:szCs w:val="20"/>
                <w:color w:val="auto"/>
              </w:rPr>
            </w:pPr>
            <w:r>
              <w:rPr>
                <w:rFonts w:ascii="Arial" w:cs="Arial" w:eastAsia="Arial" w:hAnsi="Arial"/>
                <w:sz w:val="18"/>
                <w:szCs w:val="18"/>
                <w:color w:val="auto"/>
              </w:rPr>
              <w:t>3.60%</w:t>
            </w:r>
          </w:p>
        </w:tc>
        <w:tc>
          <w:tcPr>
            <w:tcW w:w="4840" w:type="dxa"/>
            <w:vAlign w:val="bottom"/>
          </w:tcPr>
          <w:p>
            <w:pPr>
              <w:spacing w:after="0"/>
              <w:rPr>
                <w:sz w:val="24"/>
                <w:szCs w:val="24"/>
                <w:color w:val="auto"/>
              </w:rPr>
            </w:pPr>
          </w:p>
        </w:tc>
      </w:tr>
      <w:tr>
        <w:trPr>
          <w:trHeight w:val="391"/>
        </w:trPr>
        <w:tc>
          <w:tcPr>
            <w:tcW w:w="3920" w:type="dxa"/>
            <w:vAlign w:val="bottom"/>
          </w:tcPr>
          <w:p>
            <w:pPr>
              <w:spacing w:after="0"/>
              <w:rPr>
                <w:sz w:val="20"/>
                <w:szCs w:val="20"/>
                <w:color w:val="auto"/>
              </w:rPr>
            </w:pPr>
            <w:r>
              <w:rPr>
                <w:rFonts w:ascii="Arial" w:cs="Arial" w:eastAsia="Arial" w:hAnsi="Arial"/>
                <w:sz w:val="18"/>
                <w:szCs w:val="18"/>
                <w:i w:val="1"/>
                <w:iCs w:val="1"/>
                <w:color w:val="auto"/>
              </w:rPr>
              <w:t>Redemption:</w:t>
            </w:r>
          </w:p>
        </w:tc>
        <w:tc>
          <w:tcPr>
            <w:tcW w:w="920" w:type="dxa"/>
            <w:vAlign w:val="bottom"/>
          </w:tcPr>
          <w:p>
            <w:pPr>
              <w:spacing w:after="0"/>
              <w:rPr>
                <w:sz w:val="24"/>
                <w:szCs w:val="24"/>
                <w:color w:val="auto"/>
              </w:rPr>
            </w:pPr>
          </w:p>
        </w:tc>
        <w:tc>
          <w:tcPr>
            <w:tcW w:w="6580" w:type="dxa"/>
            <w:vAlign w:val="bottom"/>
            <w:gridSpan w:val="2"/>
          </w:tcPr>
          <w:p>
            <w:pPr>
              <w:ind w:left="200"/>
              <w:spacing w:after="0"/>
              <w:rPr>
                <w:sz w:val="20"/>
                <w:szCs w:val="20"/>
                <w:color w:val="auto"/>
              </w:rPr>
            </w:pPr>
            <w:r>
              <w:rPr>
                <w:rFonts w:ascii="Arial" w:cs="Arial" w:eastAsia="Arial" w:hAnsi="Arial"/>
                <w:sz w:val="18"/>
                <w:szCs w:val="18"/>
                <w:color w:val="auto"/>
                <w:w w:val="92"/>
              </w:rPr>
              <w:t>The Company may at its option redeem the 2024 Notes in whole or in part, at any time</w:t>
            </w:r>
          </w:p>
        </w:tc>
      </w:tr>
      <w:tr>
        <w:trPr>
          <w:trHeight w:val="216"/>
        </w:trPr>
        <w:tc>
          <w:tcPr>
            <w:tcW w:w="3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580" w:type="dxa"/>
            <w:vAlign w:val="bottom"/>
            <w:gridSpan w:val="2"/>
          </w:tcPr>
          <w:p>
            <w:pPr>
              <w:ind w:left="200"/>
              <w:spacing w:after="0"/>
              <w:rPr>
                <w:sz w:val="20"/>
                <w:szCs w:val="20"/>
                <w:color w:val="auto"/>
              </w:rPr>
            </w:pPr>
            <w:r>
              <w:rPr>
                <w:rFonts w:ascii="Arial" w:cs="Arial" w:eastAsia="Arial" w:hAnsi="Arial"/>
                <w:sz w:val="18"/>
                <w:szCs w:val="18"/>
                <w:color w:val="auto"/>
                <w:w w:val="96"/>
              </w:rPr>
              <w:t>or from time to time prior to their maturity, on at least 30 days, but not more than 60</w:t>
            </w:r>
          </w:p>
        </w:tc>
      </w:tr>
      <w:tr>
        <w:trPr>
          <w:trHeight w:val="216"/>
        </w:trPr>
        <w:tc>
          <w:tcPr>
            <w:tcW w:w="3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580" w:type="dxa"/>
            <w:vAlign w:val="bottom"/>
            <w:gridSpan w:val="2"/>
          </w:tcPr>
          <w:p>
            <w:pPr>
              <w:ind w:left="200"/>
              <w:spacing w:after="0"/>
              <w:rPr>
                <w:sz w:val="20"/>
                <w:szCs w:val="20"/>
                <w:color w:val="auto"/>
              </w:rPr>
            </w:pPr>
            <w:r>
              <w:rPr>
                <w:rFonts w:ascii="Arial" w:cs="Arial" w:eastAsia="Arial" w:hAnsi="Arial"/>
                <w:sz w:val="18"/>
                <w:szCs w:val="18"/>
                <w:color w:val="auto"/>
                <w:w w:val="90"/>
              </w:rPr>
              <w:t>days, prior notice mailed to the registered address of each holder of the 2024 Notes, at a</w:t>
            </w:r>
          </w:p>
        </w:tc>
      </w:tr>
      <w:tr>
        <w:trPr>
          <w:trHeight w:val="216"/>
        </w:trPr>
        <w:tc>
          <w:tcPr>
            <w:tcW w:w="3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580" w:type="dxa"/>
            <w:vAlign w:val="bottom"/>
            <w:gridSpan w:val="2"/>
          </w:tcPr>
          <w:p>
            <w:pPr>
              <w:ind w:left="200"/>
              <w:spacing w:after="0"/>
              <w:rPr>
                <w:sz w:val="20"/>
                <w:szCs w:val="20"/>
                <w:color w:val="auto"/>
              </w:rPr>
            </w:pPr>
            <w:r>
              <w:rPr>
                <w:rFonts w:ascii="Arial" w:cs="Arial" w:eastAsia="Arial" w:hAnsi="Arial"/>
                <w:sz w:val="18"/>
                <w:szCs w:val="18"/>
                <w:color w:val="auto"/>
                <w:w w:val="95"/>
              </w:rPr>
              <w:t>redemption price equal to the greater of (i) 100% of the principal amount of the 2024</w:t>
            </w:r>
          </w:p>
        </w:tc>
      </w:tr>
      <w:tr>
        <w:trPr>
          <w:trHeight w:val="216"/>
        </w:trPr>
        <w:tc>
          <w:tcPr>
            <w:tcW w:w="3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580" w:type="dxa"/>
            <w:vAlign w:val="bottom"/>
            <w:gridSpan w:val="2"/>
          </w:tcPr>
          <w:p>
            <w:pPr>
              <w:ind w:left="200"/>
              <w:spacing w:after="0"/>
              <w:rPr>
                <w:sz w:val="20"/>
                <w:szCs w:val="20"/>
                <w:color w:val="auto"/>
              </w:rPr>
            </w:pPr>
            <w:r>
              <w:rPr>
                <w:rFonts w:ascii="Arial" w:cs="Arial" w:eastAsia="Arial" w:hAnsi="Arial"/>
                <w:sz w:val="18"/>
                <w:szCs w:val="18"/>
                <w:color w:val="auto"/>
                <w:w w:val="94"/>
              </w:rPr>
              <w:t>Notes and (ii) the sum of the present values of the remaining scheduled payments of</w:t>
            </w:r>
          </w:p>
        </w:tc>
      </w:tr>
      <w:tr>
        <w:trPr>
          <w:trHeight w:val="230"/>
        </w:trPr>
        <w:tc>
          <w:tcPr>
            <w:tcW w:w="39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580" w:type="dxa"/>
            <w:vAlign w:val="bottom"/>
            <w:gridSpan w:val="2"/>
          </w:tcPr>
          <w:p>
            <w:pPr>
              <w:ind w:left="200"/>
              <w:spacing w:after="0"/>
              <w:rPr>
                <w:sz w:val="20"/>
                <w:szCs w:val="20"/>
                <w:color w:val="auto"/>
              </w:rPr>
            </w:pPr>
            <w:r>
              <w:rPr>
                <w:rFonts w:ascii="Arial" w:cs="Arial" w:eastAsia="Arial" w:hAnsi="Arial"/>
                <w:sz w:val="18"/>
                <w:szCs w:val="18"/>
                <w:color w:val="auto"/>
              </w:rPr>
              <w:t>principal and interest thereon (exclusive of interest accrued to the date of</w:t>
            </w:r>
          </w:p>
        </w:tc>
      </w:tr>
      <w:tr>
        <w:trPr>
          <w:trHeight w:val="659"/>
        </w:trPr>
        <w:tc>
          <w:tcPr>
            <w:tcW w:w="392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1740" w:type="dxa"/>
            <w:vAlign w:val="bottom"/>
            <w:tcBorders>
              <w:bottom w:val="single" w:sz="8" w:color="808080"/>
            </w:tcBorders>
          </w:tcPr>
          <w:p>
            <w:pPr>
              <w:spacing w:after="0"/>
              <w:rPr>
                <w:sz w:val="24"/>
                <w:szCs w:val="24"/>
                <w:color w:val="auto"/>
              </w:rPr>
            </w:pPr>
          </w:p>
        </w:tc>
        <w:tc>
          <w:tcPr>
            <w:tcW w:w="48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580" w:type="dxa"/>
            <w:vAlign w:val="bottom"/>
            <w:gridSpan w:val="4"/>
          </w:tcPr>
          <w:p>
            <w:pPr>
              <w:ind w:left="200"/>
              <w:spacing w:after="0"/>
              <w:rPr>
                <w:sz w:val="20"/>
                <w:szCs w:val="20"/>
                <w:color w:val="auto"/>
              </w:rPr>
            </w:pPr>
            <w:r>
              <w:rPr>
                <w:rFonts w:ascii="Arial" w:cs="Arial" w:eastAsia="Arial" w:hAnsi="Arial"/>
                <w:sz w:val="18"/>
                <w:szCs w:val="18"/>
                <w:color w:val="auto"/>
                <w:w w:val="90"/>
              </w:rPr>
              <w:t>redemption) discounted to the redemption date on a semiannual basis (assuming a 360-</w:t>
            </w:r>
          </w:p>
        </w:tc>
      </w:tr>
      <w:tr>
        <w:trPr>
          <w:trHeight w:val="216"/>
        </w:trPr>
        <w:tc>
          <w:tcPr>
            <w:tcW w:w="3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580" w:type="dxa"/>
            <w:vAlign w:val="bottom"/>
            <w:gridSpan w:val="4"/>
          </w:tcPr>
          <w:p>
            <w:pPr>
              <w:ind w:left="200"/>
              <w:spacing w:after="0"/>
              <w:rPr>
                <w:sz w:val="20"/>
                <w:szCs w:val="20"/>
                <w:color w:val="auto"/>
              </w:rPr>
            </w:pPr>
            <w:r>
              <w:rPr>
                <w:rFonts w:ascii="Arial" w:cs="Arial" w:eastAsia="Arial" w:hAnsi="Arial"/>
                <w:sz w:val="18"/>
                <w:szCs w:val="18"/>
                <w:color w:val="auto"/>
                <w:w w:val="94"/>
              </w:rPr>
              <w:t>day year consisting of twelve 30-day months) at the Treasury Rate (as defined in the</w:t>
            </w:r>
          </w:p>
        </w:tc>
      </w:tr>
      <w:tr>
        <w:trPr>
          <w:trHeight w:val="216"/>
        </w:trPr>
        <w:tc>
          <w:tcPr>
            <w:tcW w:w="3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580" w:type="dxa"/>
            <w:vAlign w:val="bottom"/>
            <w:gridSpan w:val="4"/>
          </w:tcPr>
          <w:p>
            <w:pPr>
              <w:ind w:left="200"/>
              <w:spacing w:after="0"/>
              <w:rPr>
                <w:sz w:val="20"/>
                <w:szCs w:val="20"/>
                <w:color w:val="auto"/>
              </w:rPr>
            </w:pPr>
            <w:r>
              <w:rPr>
                <w:rFonts w:ascii="Arial" w:cs="Arial" w:eastAsia="Arial" w:hAnsi="Arial"/>
                <w:sz w:val="18"/>
                <w:szCs w:val="18"/>
                <w:color w:val="auto"/>
                <w:w w:val="89"/>
              </w:rPr>
              <w:t>2024 Notes) plus 15 basis points, plus, in each case, accrued and unpaid interest thereon</w:t>
            </w:r>
          </w:p>
        </w:tc>
      </w:tr>
      <w:tr>
        <w:trPr>
          <w:trHeight w:val="216"/>
        </w:trPr>
        <w:tc>
          <w:tcPr>
            <w:tcW w:w="3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580" w:type="dxa"/>
            <w:vAlign w:val="bottom"/>
            <w:gridSpan w:val="4"/>
          </w:tcPr>
          <w:p>
            <w:pPr>
              <w:ind w:left="200"/>
              <w:spacing w:after="0"/>
              <w:rPr>
                <w:sz w:val="20"/>
                <w:szCs w:val="20"/>
                <w:color w:val="auto"/>
              </w:rPr>
            </w:pPr>
            <w:r>
              <w:rPr>
                <w:rFonts w:ascii="Arial" w:cs="Arial" w:eastAsia="Arial" w:hAnsi="Arial"/>
                <w:sz w:val="18"/>
                <w:szCs w:val="18"/>
                <w:color w:val="auto"/>
                <w:w w:val="90"/>
              </w:rPr>
              <w:t>to the date of redemption, and as further described in the Prospectus Supplement dated</w:t>
            </w:r>
          </w:p>
        </w:tc>
      </w:tr>
      <w:tr>
        <w:trPr>
          <w:trHeight w:val="230"/>
        </w:trPr>
        <w:tc>
          <w:tcPr>
            <w:tcW w:w="39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580" w:type="dxa"/>
            <w:vAlign w:val="bottom"/>
            <w:gridSpan w:val="4"/>
          </w:tcPr>
          <w:p>
            <w:pPr>
              <w:ind w:left="200"/>
              <w:spacing w:after="0"/>
              <w:rPr>
                <w:sz w:val="20"/>
                <w:szCs w:val="20"/>
                <w:color w:val="auto"/>
              </w:rPr>
            </w:pPr>
            <w:r>
              <w:rPr>
                <w:rFonts w:ascii="Arial" w:cs="Arial" w:eastAsia="Arial" w:hAnsi="Arial"/>
                <w:sz w:val="18"/>
                <w:szCs w:val="18"/>
                <w:color w:val="auto"/>
              </w:rPr>
              <w:t>February 19, 2014.</w:t>
            </w:r>
          </w:p>
        </w:tc>
      </w:tr>
      <w:tr>
        <w:trPr>
          <w:trHeight w:val="418"/>
        </w:trPr>
        <w:tc>
          <w:tcPr>
            <w:tcW w:w="3920" w:type="dxa"/>
            <w:vAlign w:val="bottom"/>
          </w:tcPr>
          <w:p>
            <w:pPr>
              <w:spacing w:after="0"/>
              <w:rPr>
                <w:sz w:val="20"/>
                <w:szCs w:val="20"/>
                <w:color w:val="auto"/>
              </w:rPr>
            </w:pPr>
            <w:r>
              <w:rPr>
                <w:rFonts w:ascii="Arial" w:cs="Arial" w:eastAsia="Arial" w:hAnsi="Arial"/>
                <w:sz w:val="18"/>
                <w:szCs w:val="18"/>
                <w:i w:val="1"/>
                <w:iCs w:val="1"/>
                <w:color w:val="auto"/>
              </w:rPr>
              <w:t>Additional Issuances:</w:t>
            </w:r>
          </w:p>
        </w:tc>
        <w:tc>
          <w:tcPr>
            <w:tcW w:w="920" w:type="dxa"/>
            <w:vAlign w:val="bottom"/>
          </w:tcPr>
          <w:p>
            <w:pPr>
              <w:spacing w:after="0"/>
              <w:rPr>
                <w:sz w:val="24"/>
                <w:szCs w:val="24"/>
                <w:color w:val="auto"/>
              </w:rPr>
            </w:pPr>
          </w:p>
        </w:tc>
        <w:tc>
          <w:tcPr>
            <w:tcW w:w="6580" w:type="dxa"/>
            <w:vAlign w:val="bottom"/>
            <w:gridSpan w:val="4"/>
          </w:tcPr>
          <w:p>
            <w:pPr>
              <w:ind w:left="200"/>
              <w:spacing w:after="0"/>
              <w:rPr>
                <w:sz w:val="20"/>
                <w:szCs w:val="20"/>
                <w:color w:val="auto"/>
              </w:rPr>
            </w:pPr>
            <w:r>
              <w:rPr>
                <w:rFonts w:ascii="Arial" w:cs="Arial" w:eastAsia="Arial" w:hAnsi="Arial"/>
                <w:sz w:val="18"/>
                <w:szCs w:val="18"/>
                <w:color w:val="auto"/>
                <w:w w:val="89"/>
              </w:rPr>
              <w:t>The 2024 Notes need not be issued at the same time and the series may be reopened for</w:t>
            </w:r>
          </w:p>
        </w:tc>
      </w:tr>
      <w:tr>
        <w:trPr>
          <w:trHeight w:val="216"/>
        </w:trPr>
        <w:tc>
          <w:tcPr>
            <w:tcW w:w="3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580" w:type="dxa"/>
            <w:vAlign w:val="bottom"/>
            <w:gridSpan w:val="4"/>
          </w:tcPr>
          <w:p>
            <w:pPr>
              <w:ind w:left="200"/>
              <w:spacing w:after="0"/>
              <w:rPr>
                <w:sz w:val="20"/>
                <w:szCs w:val="20"/>
                <w:color w:val="auto"/>
              </w:rPr>
            </w:pPr>
            <w:r>
              <w:rPr>
                <w:rFonts w:ascii="Arial" w:cs="Arial" w:eastAsia="Arial" w:hAnsi="Arial"/>
                <w:sz w:val="18"/>
                <w:szCs w:val="18"/>
                <w:color w:val="auto"/>
              </w:rPr>
              <w:t>issuance of an unlimited principal amount of additional 2024 Notes under this</w:t>
            </w:r>
          </w:p>
        </w:tc>
      </w:tr>
      <w:tr>
        <w:trPr>
          <w:trHeight w:val="216"/>
        </w:trPr>
        <w:tc>
          <w:tcPr>
            <w:tcW w:w="3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580" w:type="dxa"/>
            <w:vAlign w:val="bottom"/>
            <w:gridSpan w:val="4"/>
          </w:tcPr>
          <w:p>
            <w:pPr>
              <w:ind w:left="200"/>
              <w:spacing w:after="0"/>
              <w:rPr>
                <w:sz w:val="20"/>
                <w:szCs w:val="20"/>
                <w:color w:val="auto"/>
              </w:rPr>
            </w:pPr>
            <w:r>
              <w:rPr>
                <w:rFonts w:ascii="Arial" w:cs="Arial" w:eastAsia="Arial" w:hAnsi="Arial"/>
                <w:sz w:val="18"/>
                <w:szCs w:val="18"/>
                <w:color w:val="auto"/>
                <w:w w:val="92"/>
              </w:rPr>
              <w:t>series. Additional 2024 Notes of this series will be consolidated with, and form a single</w:t>
            </w:r>
          </w:p>
        </w:tc>
      </w:tr>
      <w:tr>
        <w:trPr>
          <w:trHeight w:val="216"/>
        </w:trPr>
        <w:tc>
          <w:tcPr>
            <w:tcW w:w="3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580" w:type="dxa"/>
            <w:vAlign w:val="bottom"/>
            <w:gridSpan w:val="4"/>
          </w:tcPr>
          <w:p>
            <w:pPr>
              <w:ind w:left="200"/>
              <w:spacing w:after="0"/>
              <w:rPr>
                <w:sz w:val="20"/>
                <w:szCs w:val="20"/>
                <w:color w:val="auto"/>
              </w:rPr>
            </w:pPr>
            <w:r>
              <w:rPr>
                <w:rFonts w:ascii="Arial" w:cs="Arial" w:eastAsia="Arial" w:hAnsi="Arial"/>
                <w:sz w:val="18"/>
                <w:szCs w:val="18"/>
                <w:color w:val="auto"/>
                <w:w w:val="90"/>
              </w:rPr>
              <w:t>series with, 2024 Notes then outstanding, including for purposes of determining whether</w:t>
            </w:r>
          </w:p>
        </w:tc>
      </w:tr>
      <w:tr>
        <w:trPr>
          <w:trHeight w:val="216"/>
        </w:trPr>
        <w:tc>
          <w:tcPr>
            <w:tcW w:w="3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580" w:type="dxa"/>
            <w:vAlign w:val="bottom"/>
            <w:gridSpan w:val="4"/>
          </w:tcPr>
          <w:p>
            <w:pPr>
              <w:ind w:left="200"/>
              <w:spacing w:after="0"/>
              <w:rPr>
                <w:sz w:val="20"/>
                <w:szCs w:val="20"/>
                <w:color w:val="auto"/>
              </w:rPr>
            </w:pPr>
            <w:r>
              <w:rPr>
                <w:rFonts w:ascii="Arial" w:cs="Arial" w:eastAsia="Arial" w:hAnsi="Arial"/>
                <w:sz w:val="18"/>
                <w:szCs w:val="18"/>
                <w:color w:val="auto"/>
                <w:w w:val="94"/>
              </w:rPr>
              <w:t>the required percentage of the holders of record has given approval or consent to an</w:t>
            </w:r>
          </w:p>
        </w:tc>
      </w:tr>
      <w:tr>
        <w:trPr>
          <w:trHeight w:val="216"/>
        </w:trPr>
        <w:tc>
          <w:tcPr>
            <w:tcW w:w="3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580" w:type="dxa"/>
            <w:vAlign w:val="bottom"/>
            <w:gridSpan w:val="4"/>
          </w:tcPr>
          <w:p>
            <w:pPr>
              <w:ind w:left="200"/>
              <w:spacing w:after="0"/>
              <w:rPr>
                <w:sz w:val="20"/>
                <w:szCs w:val="20"/>
                <w:color w:val="auto"/>
              </w:rPr>
            </w:pPr>
            <w:r>
              <w:rPr>
                <w:rFonts w:ascii="Arial" w:cs="Arial" w:eastAsia="Arial" w:hAnsi="Arial"/>
                <w:sz w:val="18"/>
                <w:szCs w:val="18"/>
                <w:color w:val="auto"/>
                <w:w w:val="91"/>
              </w:rPr>
              <w:t>amendment or waiver or joined in directing the Trustee to take certain actions on behalf</w:t>
            </w:r>
          </w:p>
        </w:tc>
      </w:tr>
      <w:tr>
        <w:trPr>
          <w:trHeight w:val="230"/>
        </w:trPr>
        <w:tc>
          <w:tcPr>
            <w:tcW w:w="39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580" w:type="dxa"/>
            <w:vAlign w:val="bottom"/>
            <w:gridSpan w:val="4"/>
          </w:tcPr>
          <w:p>
            <w:pPr>
              <w:ind w:left="200"/>
              <w:spacing w:after="0"/>
              <w:rPr>
                <w:sz w:val="20"/>
                <w:szCs w:val="20"/>
                <w:color w:val="auto"/>
              </w:rPr>
            </w:pPr>
            <w:r>
              <w:rPr>
                <w:rFonts w:ascii="Arial" w:cs="Arial" w:eastAsia="Arial" w:hAnsi="Arial"/>
                <w:sz w:val="18"/>
                <w:szCs w:val="18"/>
                <w:color w:val="auto"/>
              </w:rPr>
              <w:t>of all holders.</w:t>
            </w:r>
          </w:p>
        </w:tc>
      </w:tr>
      <w:tr>
        <w:trPr>
          <w:trHeight w:val="405"/>
        </w:trPr>
        <w:tc>
          <w:tcPr>
            <w:tcW w:w="3920" w:type="dxa"/>
            <w:vAlign w:val="bottom"/>
          </w:tcPr>
          <w:p>
            <w:pPr>
              <w:spacing w:after="0"/>
              <w:rPr>
                <w:sz w:val="20"/>
                <w:szCs w:val="20"/>
                <w:color w:val="auto"/>
              </w:rPr>
            </w:pPr>
            <w:r>
              <w:rPr>
                <w:rFonts w:ascii="Arial" w:cs="Arial" w:eastAsia="Arial" w:hAnsi="Arial"/>
                <w:sz w:val="18"/>
                <w:szCs w:val="18"/>
                <w:i w:val="1"/>
                <w:iCs w:val="1"/>
                <w:color w:val="auto"/>
              </w:rPr>
              <w:t>Conversion:</w:t>
            </w:r>
          </w:p>
        </w:tc>
        <w:tc>
          <w:tcPr>
            <w:tcW w:w="920" w:type="dxa"/>
            <w:vAlign w:val="bottom"/>
          </w:tcPr>
          <w:p>
            <w:pPr>
              <w:spacing w:after="0"/>
              <w:rPr>
                <w:sz w:val="24"/>
                <w:szCs w:val="24"/>
                <w:color w:val="auto"/>
              </w:rPr>
            </w:pPr>
          </w:p>
        </w:tc>
        <w:tc>
          <w:tcPr>
            <w:tcW w:w="6580" w:type="dxa"/>
            <w:vAlign w:val="bottom"/>
            <w:gridSpan w:val="4"/>
          </w:tcPr>
          <w:p>
            <w:pPr>
              <w:ind w:left="200"/>
              <w:spacing w:after="0"/>
              <w:rPr>
                <w:sz w:val="20"/>
                <w:szCs w:val="20"/>
                <w:color w:val="auto"/>
              </w:rPr>
            </w:pPr>
            <w:r>
              <w:rPr>
                <w:rFonts w:ascii="Arial" w:cs="Arial" w:eastAsia="Arial" w:hAnsi="Arial"/>
                <w:sz w:val="18"/>
                <w:szCs w:val="18"/>
                <w:color w:val="auto"/>
              </w:rPr>
              <w:t>None</w:t>
            </w:r>
          </w:p>
        </w:tc>
      </w:tr>
      <w:tr>
        <w:trPr>
          <w:trHeight w:val="405"/>
        </w:trPr>
        <w:tc>
          <w:tcPr>
            <w:tcW w:w="3920" w:type="dxa"/>
            <w:vAlign w:val="bottom"/>
          </w:tcPr>
          <w:p>
            <w:pPr>
              <w:spacing w:after="0"/>
              <w:rPr>
                <w:sz w:val="20"/>
                <w:szCs w:val="20"/>
                <w:color w:val="auto"/>
              </w:rPr>
            </w:pPr>
            <w:r>
              <w:rPr>
                <w:rFonts w:ascii="Arial" w:cs="Arial" w:eastAsia="Arial" w:hAnsi="Arial"/>
                <w:sz w:val="18"/>
                <w:szCs w:val="18"/>
                <w:i w:val="1"/>
                <w:iCs w:val="1"/>
                <w:color w:val="auto"/>
              </w:rPr>
              <w:t>Sinking Fund:</w:t>
            </w:r>
          </w:p>
        </w:tc>
        <w:tc>
          <w:tcPr>
            <w:tcW w:w="920" w:type="dxa"/>
            <w:vAlign w:val="bottom"/>
          </w:tcPr>
          <w:p>
            <w:pPr>
              <w:spacing w:after="0"/>
              <w:rPr>
                <w:sz w:val="24"/>
                <w:szCs w:val="24"/>
                <w:color w:val="auto"/>
              </w:rPr>
            </w:pPr>
          </w:p>
        </w:tc>
        <w:tc>
          <w:tcPr>
            <w:tcW w:w="6580" w:type="dxa"/>
            <w:vAlign w:val="bottom"/>
            <w:gridSpan w:val="4"/>
          </w:tcPr>
          <w:p>
            <w:pPr>
              <w:ind w:left="200"/>
              <w:spacing w:after="0"/>
              <w:rPr>
                <w:sz w:val="20"/>
                <w:szCs w:val="20"/>
                <w:color w:val="auto"/>
              </w:rPr>
            </w:pPr>
            <w:r>
              <w:rPr>
                <w:rFonts w:ascii="Arial" w:cs="Arial" w:eastAsia="Arial" w:hAnsi="Arial"/>
                <w:sz w:val="18"/>
                <w:szCs w:val="18"/>
                <w:color w:val="auto"/>
              </w:rPr>
              <w:t>None</w:t>
            </w:r>
          </w:p>
        </w:tc>
      </w:tr>
      <w:tr>
        <w:trPr>
          <w:trHeight w:val="387"/>
        </w:trPr>
        <w:tc>
          <w:tcPr>
            <w:tcW w:w="3920" w:type="dxa"/>
            <w:vAlign w:val="bottom"/>
          </w:tcPr>
          <w:p>
            <w:pPr>
              <w:spacing w:after="0"/>
              <w:rPr>
                <w:sz w:val="20"/>
                <w:szCs w:val="20"/>
                <w:color w:val="auto"/>
              </w:rPr>
            </w:pPr>
            <w:r>
              <w:rPr>
                <w:rFonts w:ascii="Arial" w:cs="Arial" w:eastAsia="Arial" w:hAnsi="Arial"/>
                <w:sz w:val="18"/>
                <w:szCs w:val="18"/>
                <w:i w:val="1"/>
                <w:iCs w:val="1"/>
                <w:color w:val="auto"/>
              </w:rPr>
              <w:t>Miscellaneous:</w:t>
            </w:r>
          </w:p>
        </w:tc>
        <w:tc>
          <w:tcPr>
            <w:tcW w:w="920" w:type="dxa"/>
            <w:vAlign w:val="bottom"/>
          </w:tcPr>
          <w:p>
            <w:pPr>
              <w:spacing w:after="0"/>
              <w:rPr>
                <w:sz w:val="24"/>
                <w:szCs w:val="24"/>
                <w:color w:val="auto"/>
              </w:rPr>
            </w:pPr>
          </w:p>
        </w:tc>
        <w:tc>
          <w:tcPr>
            <w:tcW w:w="6580" w:type="dxa"/>
            <w:vAlign w:val="bottom"/>
            <w:gridSpan w:val="4"/>
          </w:tcPr>
          <w:p>
            <w:pPr>
              <w:ind w:left="200"/>
              <w:spacing w:after="0"/>
              <w:rPr>
                <w:sz w:val="20"/>
                <w:szCs w:val="20"/>
                <w:color w:val="auto"/>
              </w:rPr>
            </w:pPr>
            <w:r>
              <w:rPr>
                <w:rFonts w:ascii="Arial" w:cs="Arial" w:eastAsia="Arial" w:hAnsi="Arial"/>
                <w:sz w:val="18"/>
                <w:szCs w:val="18"/>
                <w:color w:val="auto"/>
                <w:w w:val="91"/>
              </w:rPr>
              <w:t>The terms of the 2024 Notes shall include such other terms as are set forth in the Form</w:t>
            </w:r>
          </w:p>
        </w:tc>
      </w:tr>
      <w:tr>
        <w:trPr>
          <w:trHeight w:val="194"/>
        </w:trPr>
        <w:tc>
          <w:tcPr>
            <w:tcW w:w="3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580" w:type="dxa"/>
            <w:vAlign w:val="bottom"/>
            <w:gridSpan w:val="4"/>
          </w:tcPr>
          <w:p>
            <w:pPr>
              <w:ind w:left="200"/>
              <w:spacing w:after="0" w:line="194" w:lineRule="exact"/>
              <w:rPr>
                <w:sz w:val="20"/>
                <w:szCs w:val="20"/>
                <w:color w:val="auto"/>
              </w:rPr>
            </w:pPr>
            <w:r>
              <w:rPr>
                <w:rFonts w:ascii="Arial" w:cs="Arial" w:eastAsia="Arial" w:hAnsi="Arial"/>
                <w:sz w:val="18"/>
                <w:szCs w:val="18"/>
                <w:color w:val="auto"/>
              </w:rPr>
              <w:t xml:space="preserve">of Notes Due 2024 attached hereto as </w:t>
            </w:r>
            <w:r>
              <w:rPr>
                <w:rFonts w:ascii="Arial" w:cs="Arial" w:eastAsia="Arial" w:hAnsi="Arial"/>
                <w:sz w:val="18"/>
                <w:szCs w:val="18"/>
                <w:b w:val="1"/>
                <w:bCs w:val="1"/>
                <w:color w:val="auto"/>
              </w:rPr>
              <w:t>Exhibit A</w:t>
            </w:r>
            <w:r>
              <w:rPr>
                <w:rFonts w:ascii="Arial" w:cs="Arial" w:eastAsia="Arial" w:hAnsi="Arial"/>
                <w:sz w:val="18"/>
                <w:szCs w:val="18"/>
                <w:color w:val="auto"/>
              </w:rPr>
              <w:t>.</w:t>
            </w:r>
          </w:p>
        </w:tc>
      </w:tr>
      <w:tr>
        <w:trPr>
          <w:trHeight w:val="682"/>
        </w:trPr>
        <w:tc>
          <w:tcPr>
            <w:tcW w:w="3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4.</w:t>
            </w:r>
            <w:r>
              <w:rPr>
                <w:rFonts w:ascii="Arial" w:cs="Arial" w:eastAsia="Arial" w:hAnsi="Arial"/>
                <w:sz w:val="18"/>
                <w:szCs w:val="18"/>
                <w:b w:val="1"/>
                <w:bCs w:val="1"/>
                <w:u w:val="single" w:color="auto"/>
                <w:color w:val="auto"/>
                <w:w w:val="91"/>
              </w:rPr>
              <w:t>75%</w:t>
            </w:r>
            <w:r>
              <w:rPr>
                <w:rFonts w:ascii="Arial" w:cs="Arial" w:eastAsia="Arial" w:hAnsi="Arial"/>
                <w:sz w:val="18"/>
                <w:szCs w:val="18"/>
                <w:b w:val="1"/>
                <w:bCs w:val="1"/>
                <w:color w:val="auto"/>
                <w:w w:val="91"/>
              </w:rPr>
              <w:t xml:space="preserve"> Notes Due 2044</w:t>
            </w:r>
          </w:p>
        </w:tc>
        <w:tc>
          <w:tcPr>
            <w:tcW w:w="120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900" w:type="dxa"/>
            <w:vAlign w:val="bottom"/>
          </w:tcPr>
          <w:p>
            <w:pPr>
              <w:spacing w:after="0"/>
              <w:rPr>
                <w:sz w:val="24"/>
                <w:szCs w:val="24"/>
                <w:color w:val="auto"/>
              </w:rPr>
            </w:pPr>
          </w:p>
        </w:tc>
      </w:tr>
      <w:tr>
        <w:trPr>
          <w:trHeight w:val="426"/>
        </w:trPr>
        <w:tc>
          <w:tcPr>
            <w:tcW w:w="3920" w:type="dxa"/>
            <w:vAlign w:val="bottom"/>
          </w:tcPr>
          <w:p>
            <w:pPr>
              <w:spacing w:after="0"/>
              <w:rPr>
                <w:sz w:val="20"/>
                <w:szCs w:val="20"/>
                <w:color w:val="auto"/>
              </w:rPr>
            </w:pPr>
            <w:r>
              <w:rPr>
                <w:rFonts w:ascii="Arial" w:cs="Arial" w:eastAsia="Arial" w:hAnsi="Arial"/>
                <w:sz w:val="18"/>
                <w:szCs w:val="18"/>
                <w:i w:val="1"/>
                <w:iCs w:val="1"/>
                <w:color w:val="auto"/>
              </w:rPr>
              <w:t>Title:</w:t>
            </w:r>
          </w:p>
        </w:tc>
        <w:tc>
          <w:tcPr>
            <w:tcW w:w="920" w:type="dxa"/>
            <w:vAlign w:val="bottom"/>
          </w:tcPr>
          <w:p>
            <w:pPr>
              <w:spacing w:after="0"/>
              <w:rPr>
                <w:sz w:val="24"/>
                <w:szCs w:val="24"/>
                <w:color w:val="auto"/>
              </w:rPr>
            </w:pPr>
          </w:p>
        </w:tc>
        <w:tc>
          <w:tcPr>
            <w:tcW w:w="6580" w:type="dxa"/>
            <w:vAlign w:val="bottom"/>
            <w:gridSpan w:val="4"/>
          </w:tcPr>
          <w:p>
            <w:pPr>
              <w:ind w:left="200"/>
              <w:spacing w:after="0"/>
              <w:rPr>
                <w:sz w:val="20"/>
                <w:szCs w:val="20"/>
                <w:color w:val="auto"/>
              </w:rPr>
            </w:pPr>
            <w:r>
              <w:rPr>
                <w:rFonts w:ascii="Arial" w:cs="Arial" w:eastAsia="Arial" w:hAnsi="Arial"/>
                <w:sz w:val="18"/>
                <w:szCs w:val="18"/>
                <w:color w:val="auto"/>
              </w:rPr>
              <w:t>4.75% Notes Due 2044</w:t>
            </w:r>
          </w:p>
        </w:tc>
      </w:tr>
      <w:tr>
        <w:trPr>
          <w:trHeight w:val="405"/>
        </w:trPr>
        <w:tc>
          <w:tcPr>
            <w:tcW w:w="3920" w:type="dxa"/>
            <w:vAlign w:val="bottom"/>
          </w:tcPr>
          <w:p>
            <w:pPr>
              <w:spacing w:after="0"/>
              <w:rPr>
                <w:sz w:val="20"/>
                <w:szCs w:val="20"/>
                <w:color w:val="auto"/>
              </w:rPr>
            </w:pPr>
            <w:r>
              <w:rPr>
                <w:rFonts w:ascii="Arial" w:cs="Arial" w:eastAsia="Arial" w:hAnsi="Arial"/>
                <w:sz w:val="18"/>
                <w:szCs w:val="18"/>
                <w:i w:val="1"/>
                <w:iCs w:val="1"/>
                <w:color w:val="auto"/>
              </w:rPr>
              <w:t>Aggregate Principal Amount at Maturity:</w:t>
            </w:r>
          </w:p>
        </w:tc>
        <w:tc>
          <w:tcPr>
            <w:tcW w:w="2660" w:type="dxa"/>
            <w:vAlign w:val="bottom"/>
            <w:gridSpan w:val="2"/>
          </w:tcPr>
          <w:p>
            <w:pPr>
              <w:ind w:left="1120"/>
              <w:spacing w:after="0"/>
              <w:rPr>
                <w:sz w:val="20"/>
                <w:szCs w:val="20"/>
                <w:color w:val="auto"/>
              </w:rPr>
            </w:pPr>
            <w:r>
              <w:rPr>
                <w:rFonts w:ascii="Arial" w:cs="Arial" w:eastAsia="Arial" w:hAnsi="Arial"/>
                <w:sz w:val="18"/>
                <w:szCs w:val="18"/>
                <w:color w:val="auto"/>
              </w:rPr>
              <w:t>$1,000,000,000</w:t>
            </w:r>
          </w:p>
        </w:tc>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621"/>
        </w:trPr>
        <w:tc>
          <w:tcPr>
            <w:tcW w:w="3920" w:type="dxa"/>
            <w:vAlign w:val="bottom"/>
          </w:tcPr>
          <w:p>
            <w:pPr>
              <w:spacing w:after="0"/>
              <w:rPr>
                <w:sz w:val="20"/>
                <w:szCs w:val="20"/>
                <w:color w:val="auto"/>
              </w:rPr>
            </w:pPr>
            <w:r>
              <w:rPr>
                <w:rFonts w:ascii="Arial" w:cs="Arial" w:eastAsia="Arial" w:hAnsi="Arial"/>
                <w:sz w:val="18"/>
                <w:szCs w:val="18"/>
                <w:i w:val="1"/>
                <w:iCs w:val="1"/>
                <w:color w:val="auto"/>
              </w:rPr>
              <w:t>Principal Payment Date:</w:t>
            </w:r>
          </w:p>
        </w:tc>
        <w:tc>
          <w:tcPr>
            <w:tcW w:w="920" w:type="dxa"/>
            <w:vAlign w:val="bottom"/>
          </w:tcPr>
          <w:p>
            <w:pPr>
              <w:spacing w:after="0"/>
              <w:rPr>
                <w:sz w:val="24"/>
                <w:szCs w:val="24"/>
                <w:color w:val="auto"/>
              </w:rPr>
            </w:pPr>
          </w:p>
        </w:tc>
        <w:tc>
          <w:tcPr>
            <w:tcW w:w="6580" w:type="dxa"/>
            <w:vAlign w:val="bottom"/>
            <w:gridSpan w:val="4"/>
          </w:tcPr>
          <w:p>
            <w:pPr>
              <w:ind w:left="200"/>
              <w:spacing w:after="0"/>
              <w:rPr>
                <w:sz w:val="20"/>
                <w:szCs w:val="20"/>
                <w:color w:val="auto"/>
              </w:rPr>
            </w:pPr>
            <w:r>
              <w:rPr>
                <w:rFonts w:ascii="Arial" w:cs="Arial" w:eastAsia="Arial" w:hAnsi="Arial"/>
                <w:sz w:val="18"/>
                <w:szCs w:val="18"/>
                <w:color w:val="auto"/>
              </w:rPr>
              <w:t>March 1, 2044</w:t>
            </w:r>
          </w:p>
        </w:tc>
      </w:tr>
      <w:tr>
        <w:trPr>
          <w:trHeight w:val="405"/>
        </w:trPr>
        <w:tc>
          <w:tcPr>
            <w:tcW w:w="3920" w:type="dxa"/>
            <w:vAlign w:val="bottom"/>
          </w:tcPr>
          <w:p>
            <w:pPr>
              <w:spacing w:after="0"/>
              <w:rPr>
                <w:sz w:val="20"/>
                <w:szCs w:val="20"/>
                <w:color w:val="auto"/>
              </w:rPr>
            </w:pPr>
            <w:r>
              <w:rPr>
                <w:rFonts w:ascii="Arial" w:cs="Arial" w:eastAsia="Arial" w:hAnsi="Arial"/>
                <w:sz w:val="18"/>
                <w:szCs w:val="18"/>
                <w:i w:val="1"/>
                <w:iCs w:val="1"/>
                <w:color w:val="auto"/>
              </w:rPr>
              <w:t>Interest:</w:t>
            </w:r>
          </w:p>
        </w:tc>
        <w:tc>
          <w:tcPr>
            <w:tcW w:w="2660" w:type="dxa"/>
            <w:vAlign w:val="bottom"/>
            <w:gridSpan w:val="2"/>
          </w:tcPr>
          <w:p>
            <w:pPr>
              <w:ind w:left="1120"/>
              <w:spacing w:after="0"/>
              <w:rPr>
                <w:sz w:val="20"/>
                <w:szCs w:val="20"/>
                <w:color w:val="auto"/>
              </w:rPr>
            </w:pPr>
            <w:r>
              <w:rPr>
                <w:rFonts w:ascii="Arial" w:cs="Arial" w:eastAsia="Arial" w:hAnsi="Arial"/>
                <w:sz w:val="18"/>
                <w:szCs w:val="18"/>
                <w:color w:val="auto"/>
              </w:rPr>
              <w:t>4.75%</w:t>
            </w:r>
          </w:p>
        </w:tc>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391"/>
        </w:trPr>
        <w:tc>
          <w:tcPr>
            <w:tcW w:w="3920" w:type="dxa"/>
            <w:vAlign w:val="bottom"/>
          </w:tcPr>
          <w:p>
            <w:pPr>
              <w:spacing w:after="0"/>
              <w:rPr>
                <w:sz w:val="20"/>
                <w:szCs w:val="20"/>
                <w:color w:val="auto"/>
              </w:rPr>
            </w:pPr>
            <w:r>
              <w:rPr>
                <w:rFonts w:ascii="Arial" w:cs="Arial" w:eastAsia="Arial" w:hAnsi="Arial"/>
                <w:sz w:val="18"/>
                <w:szCs w:val="18"/>
                <w:i w:val="1"/>
                <w:iCs w:val="1"/>
                <w:color w:val="auto"/>
              </w:rPr>
              <w:t>Redemption:</w:t>
            </w:r>
          </w:p>
        </w:tc>
        <w:tc>
          <w:tcPr>
            <w:tcW w:w="920" w:type="dxa"/>
            <w:vAlign w:val="bottom"/>
          </w:tcPr>
          <w:p>
            <w:pPr>
              <w:spacing w:after="0"/>
              <w:rPr>
                <w:sz w:val="24"/>
                <w:szCs w:val="24"/>
                <w:color w:val="auto"/>
              </w:rPr>
            </w:pPr>
          </w:p>
        </w:tc>
        <w:tc>
          <w:tcPr>
            <w:tcW w:w="6580" w:type="dxa"/>
            <w:vAlign w:val="bottom"/>
            <w:gridSpan w:val="4"/>
          </w:tcPr>
          <w:p>
            <w:pPr>
              <w:ind w:left="200"/>
              <w:spacing w:after="0"/>
              <w:rPr>
                <w:sz w:val="20"/>
                <w:szCs w:val="20"/>
                <w:color w:val="auto"/>
              </w:rPr>
            </w:pPr>
            <w:r>
              <w:rPr>
                <w:rFonts w:ascii="Arial" w:cs="Arial" w:eastAsia="Arial" w:hAnsi="Arial"/>
                <w:sz w:val="18"/>
                <w:szCs w:val="18"/>
                <w:color w:val="auto"/>
                <w:w w:val="92"/>
              </w:rPr>
              <w:t>The Company may at its option redeem the 2044 Notes in whole or in part, at any time</w:t>
            </w:r>
          </w:p>
        </w:tc>
      </w:tr>
      <w:tr>
        <w:trPr>
          <w:trHeight w:val="230"/>
        </w:trPr>
        <w:tc>
          <w:tcPr>
            <w:tcW w:w="39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580" w:type="dxa"/>
            <w:vAlign w:val="bottom"/>
            <w:gridSpan w:val="4"/>
          </w:tcPr>
          <w:p>
            <w:pPr>
              <w:ind w:left="200"/>
              <w:spacing w:after="0"/>
              <w:rPr>
                <w:sz w:val="20"/>
                <w:szCs w:val="20"/>
                <w:color w:val="auto"/>
              </w:rPr>
            </w:pPr>
            <w:r>
              <w:rPr>
                <w:rFonts w:ascii="Arial" w:cs="Arial" w:eastAsia="Arial" w:hAnsi="Arial"/>
                <w:sz w:val="18"/>
                <w:szCs w:val="18"/>
                <w:color w:val="auto"/>
              </w:rPr>
              <w:t>or from time to time prior to their maturity, on at</w:t>
            </w:r>
          </w:p>
        </w:tc>
      </w:tr>
      <w:tr>
        <w:trPr>
          <w:trHeight w:val="608"/>
        </w:trPr>
        <w:tc>
          <w:tcPr>
            <w:tcW w:w="3920" w:type="dxa"/>
            <w:vAlign w:val="bottom"/>
          </w:tcPr>
          <w:p>
            <w:pPr>
              <w:spacing w:after="0"/>
              <w:rPr>
                <w:sz w:val="24"/>
                <w:szCs w:val="24"/>
                <w:color w:val="auto"/>
              </w:rPr>
            </w:pPr>
          </w:p>
        </w:tc>
        <w:tc>
          <w:tcPr>
            <w:tcW w:w="2660" w:type="dxa"/>
            <w:vAlign w:val="bottom"/>
            <w:gridSpan w:val="2"/>
          </w:tcPr>
          <w:p>
            <w:pPr>
              <w:jc w:val="right"/>
              <w:ind w:right="730"/>
              <w:spacing w:after="0"/>
              <w:rPr>
                <w:sz w:val="20"/>
                <w:szCs w:val="20"/>
                <w:color w:val="auto"/>
              </w:rPr>
            </w:pPr>
            <w:r>
              <w:rPr>
                <w:rFonts w:ascii="Arial" w:cs="Arial" w:eastAsia="Arial" w:hAnsi="Arial"/>
                <w:sz w:val="18"/>
                <w:szCs w:val="18"/>
                <w:color w:val="auto"/>
              </w:rPr>
              <w:t>2</w:t>
            </w:r>
          </w:p>
        </w:tc>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118"/>
        </w:trPr>
        <w:tc>
          <w:tcPr>
            <w:tcW w:w="39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74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9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8100" w:type="dxa"/>
            <w:vAlign w:val="bottom"/>
            <w:gridSpan w:val="3"/>
          </w:tcPr>
          <w:p>
            <w:pPr>
              <w:ind w:left="1740"/>
              <w:spacing w:after="0"/>
              <w:rPr>
                <w:sz w:val="20"/>
                <w:szCs w:val="20"/>
                <w:color w:val="auto"/>
              </w:rPr>
            </w:pPr>
            <w:r>
              <w:rPr>
                <w:rFonts w:ascii="Arial" w:cs="Arial" w:eastAsia="Arial" w:hAnsi="Arial"/>
                <w:sz w:val="18"/>
                <w:szCs w:val="18"/>
                <w:color w:val="auto"/>
                <w:w w:val="89"/>
              </w:rPr>
              <w:t>least 30 days, but not more than 60 days, prior notice mailed to the registered address of</w:t>
            </w:r>
          </w:p>
        </w:tc>
      </w:tr>
      <w:tr>
        <w:trPr>
          <w:trHeight w:val="216"/>
        </w:trPr>
        <w:tc>
          <w:tcPr>
            <w:tcW w:w="3300" w:type="dxa"/>
            <w:vAlign w:val="bottom"/>
          </w:tcPr>
          <w:p>
            <w:pPr>
              <w:spacing w:after="0"/>
              <w:rPr>
                <w:sz w:val="18"/>
                <w:szCs w:val="18"/>
                <w:color w:val="auto"/>
              </w:rPr>
            </w:pPr>
          </w:p>
        </w:tc>
        <w:tc>
          <w:tcPr>
            <w:tcW w:w="8100" w:type="dxa"/>
            <w:vAlign w:val="bottom"/>
            <w:gridSpan w:val="3"/>
          </w:tcPr>
          <w:p>
            <w:pPr>
              <w:ind w:left="1740"/>
              <w:spacing w:after="0"/>
              <w:rPr>
                <w:sz w:val="20"/>
                <w:szCs w:val="20"/>
                <w:color w:val="auto"/>
              </w:rPr>
            </w:pPr>
            <w:r>
              <w:rPr>
                <w:rFonts w:ascii="Arial" w:cs="Arial" w:eastAsia="Arial" w:hAnsi="Arial"/>
                <w:sz w:val="18"/>
                <w:szCs w:val="18"/>
                <w:color w:val="auto"/>
                <w:w w:val="91"/>
              </w:rPr>
              <w:t>each holder of the 2044 Notes, at a redemption price equal to the greater of (i) 100% of</w:t>
            </w:r>
          </w:p>
        </w:tc>
      </w:tr>
      <w:tr>
        <w:trPr>
          <w:trHeight w:val="216"/>
        </w:trPr>
        <w:tc>
          <w:tcPr>
            <w:tcW w:w="3300" w:type="dxa"/>
            <w:vAlign w:val="bottom"/>
          </w:tcPr>
          <w:p>
            <w:pPr>
              <w:spacing w:after="0"/>
              <w:rPr>
                <w:sz w:val="18"/>
                <w:szCs w:val="18"/>
                <w:color w:val="auto"/>
              </w:rPr>
            </w:pPr>
          </w:p>
        </w:tc>
        <w:tc>
          <w:tcPr>
            <w:tcW w:w="8100" w:type="dxa"/>
            <w:vAlign w:val="bottom"/>
            <w:gridSpan w:val="3"/>
          </w:tcPr>
          <w:p>
            <w:pPr>
              <w:ind w:left="1740"/>
              <w:spacing w:after="0"/>
              <w:rPr>
                <w:sz w:val="20"/>
                <w:szCs w:val="20"/>
                <w:color w:val="auto"/>
              </w:rPr>
            </w:pPr>
            <w:r>
              <w:rPr>
                <w:rFonts w:ascii="Arial" w:cs="Arial" w:eastAsia="Arial" w:hAnsi="Arial"/>
                <w:sz w:val="18"/>
                <w:szCs w:val="18"/>
                <w:color w:val="auto"/>
                <w:w w:val="96"/>
              </w:rPr>
              <w:t>the principal amount of the 2044 Notes and (ii) the sum of the present values of the</w:t>
            </w:r>
          </w:p>
        </w:tc>
      </w:tr>
      <w:tr>
        <w:trPr>
          <w:trHeight w:val="216"/>
        </w:trPr>
        <w:tc>
          <w:tcPr>
            <w:tcW w:w="3300" w:type="dxa"/>
            <w:vAlign w:val="bottom"/>
          </w:tcPr>
          <w:p>
            <w:pPr>
              <w:spacing w:after="0"/>
              <w:rPr>
                <w:sz w:val="18"/>
                <w:szCs w:val="18"/>
                <w:color w:val="auto"/>
              </w:rPr>
            </w:pPr>
          </w:p>
        </w:tc>
        <w:tc>
          <w:tcPr>
            <w:tcW w:w="8100" w:type="dxa"/>
            <w:vAlign w:val="bottom"/>
            <w:gridSpan w:val="3"/>
          </w:tcPr>
          <w:p>
            <w:pPr>
              <w:ind w:left="1740"/>
              <w:spacing w:after="0"/>
              <w:rPr>
                <w:sz w:val="20"/>
                <w:szCs w:val="20"/>
                <w:color w:val="auto"/>
              </w:rPr>
            </w:pPr>
            <w:r>
              <w:rPr>
                <w:rFonts w:ascii="Arial" w:cs="Arial" w:eastAsia="Arial" w:hAnsi="Arial"/>
                <w:sz w:val="18"/>
                <w:szCs w:val="18"/>
                <w:color w:val="auto"/>
                <w:w w:val="93"/>
              </w:rPr>
              <w:t>remaining scheduled payments of principal and interest thereon (exclusive of interest</w:t>
            </w:r>
          </w:p>
        </w:tc>
      </w:tr>
      <w:tr>
        <w:trPr>
          <w:trHeight w:val="216"/>
        </w:trPr>
        <w:tc>
          <w:tcPr>
            <w:tcW w:w="3300" w:type="dxa"/>
            <w:vAlign w:val="bottom"/>
          </w:tcPr>
          <w:p>
            <w:pPr>
              <w:spacing w:after="0"/>
              <w:rPr>
                <w:sz w:val="18"/>
                <w:szCs w:val="18"/>
                <w:color w:val="auto"/>
              </w:rPr>
            </w:pPr>
          </w:p>
        </w:tc>
        <w:tc>
          <w:tcPr>
            <w:tcW w:w="8100" w:type="dxa"/>
            <w:vAlign w:val="bottom"/>
            <w:gridSpan w:val="3"/>
          </w:tcPr>
          <w:p>
            <w:pPr>
              <w:ind w:left="1740"/>
              <w:spacing w:after="0"/>
              <w:rPr>
                <w:sz w:val="20"/>
                <w:szCs w:val="20"/>
                <w:color w:val="auto"/>
              </w:rPr>
            </w:pPr>
            <w:r>
              <w:rPr>
                <w:rFonts w:ascii="Arial" w:cs="Arial" w:eastAsia="Arial" w:hAnsi="Arial"/>
                <w:sz w:val="18"/>
                <w:szCs w:val="18"/>
                <w:color w:val="auto"/>
                <w:w w:val="91"/>
              </w:rPr>
              <w:t>accrued to the date of redemption) discounted to the redemption date on a semiannual</w:t>
            </w:r>
          </w:p>
        </w:tc>
      </w:tr>
      <w:tr>
        <w:trPr>
          <w:trHeight w:val="216"/>
        </w:trPr>
        <w:tc>
          <w:tcPr>
            <w:tcW w:w="3300" w:type="dxa"/>
            <w:vAlign w:val="bottom"/>
          </w:tcPr>
          <w:p>
            <w:pPr>
              <w:spacing w:after="0"/>
              <w:rPr>
                <w:sz w:val="18"/>
                <w:szCs w:val="18"/>
                <w:color w:val="auto"/>
              </w:rPr>
            </w:pPr>
          </w:p>
        </w:tc>
        <w:tc>
          <w:tcPr>
            <w:tcW w:w="8100" w:type="dxa"/>
            <w:vAlign w:val="bottom"/>
            <w:gridSpan w:val="3"/>
          </w:tcPr>
          <w:p>
            <w:pPr>
              <w:ind w:left="1740"/>
              <w:spacing w:after="0"/>
              <w:rPr>
                <w:sz w:val="20"/>
                <w:szCs w:val="20"/>
                <w:color w:val="auto"/>
              </w:rPr>
            </w:pPr>
            <w:r>
              <w:rPr>
                <w:rFonts w:ascii="Arial" w:cs="Arial" w:eastAsia="Arial" w:hAnsi="Arial"/>
                <w:sz w:val="18"/>
                <w:szCs w:val="18"/>
                <w:color w:val="auto"/>
                <w:w w:val="94"/>
              </w:rPr>
              <w:t>basis (assuming a 360-day year consisting of twelve 30-day months) at the Treasury</w:t>
            </w:r>
          </w:p>
        </w:tc>
      </w:tr>
      <w:tr>
        <w:trPr>
          <w:trHeight w:val="216"/>
        </w:trPr>
        <w:tc>
          <w:tcPr>
            <w:tcW w:w="3300" w:type="dxa"/>
            <w:vAlign w:val="bottom"/>
          </w:tcPr>
          <w:p>
            <w:pPr>
              <w:spacing w:after="0"/>
              <w:rPr>
                <w:sz w:val="18"/>
                <w:szCs w:val="18"/>
                <w:color w:val="auto"/>
              </w:rPr>
            </w:pPr>
          </w:p>
        </w:tc>
        <w:tc>
          <w:tcPr>
            <w:tcW w:w="8100" w:type="dxa"/>
            <w:vAlign w:val="bottom"/>
            <w:gridSpan w:val="3"/>
          </w:tcPr>
          <w:p>
            <w:pPr>
              <w:ind w:left="1740"/>
              <w:spacing w:after="0"/>
              <w:rPr>
                <w:sz w:val="20"/>
                <w:szCs w:val="20"/>
                <w:color w:val="auto"/>
              </w:rPr>
            </w:pPr>
            <w:r>
              <w:rPr>
                <w:rFonts w:ascii="Arial" w:cs="Arial" w:eastAsia="Arial" w:hAnsi="Arial"/>
                <w:sz w:val="18"/>
                <w:szCs w:val="18"/>
                <w:color w:val="auto"/>
                <w:w w:val="89"/>
              </w:rPr>
              <w:t>Rate (as defined in the 2044 Notes) plus 20 basis points, plus, in each case, accrued and</w:t>
            </w:r>
          </w:p>
        </w:tc>
      </w:tr>
      <w:tr>
        <w:trPr>
          <w:trHeight w:val="216"/>
        </w:trPr>
        <w:tc>
          <w:tcPr>
            <w:tcW w:w="3300" w:type="dxa"/>
            <w:vAlign w:val="bottom"/>
          </w:tcPr>
          <w:p>
            <w:pPr>
              <w:spacing w:after="0"/>
              <w:rPr>
                <w:sz w:val="18"/>
                <w:szCs w:val="18"/>
                <w:color w:val="auto"/>
              </w:rPr>
            </w:pPr>
          </w:p>
        </w:tc>
        <w:tc>
          <w:tcPr>
            <w:tcW w:w="8100" w:type="dxa"/>
            <w:vAlign w:val="bottom"/>
            <w:gridSpan w:val="3"/>
          </w:tcPr>
          <w:p>
            <w:pPr>
              <w:ind w:left="1740"/>
              <w:spacing w:after="0"/>
              <w:rPr>
                <w:sz w:val="20"/>
                <w:szCs w:val="20"/>
                <w:color w:val="auto"/>
              </w:rPr>
            </w:pPr>
            <w:r>
              <w:rPr>
                <w:rFonts w:ascii="Arial" w:cs="Arial" w:eastAsia="Arial" w:hAnsi="Arial"/>
                <w:sz w:val="18"/>
                <w:szCs w:val="18"/>
                <w:color w:val="auto"/>
                <w:w w:val="98"/>
              </w:rPr>
              <w:t>unpaid interest thereon to the date of redemption, and as further described in the</w:t>
            </w:r>
          </w:p>
        </w:tc>
      </w:tr>
      <w:tr>
        <w:trPr>
          <w:trHeight w:val="230"/>
        </w:trPr>
        <w:tc>
          <w:tcPr>
            <w:tcW w:w="3300" w:type="dxa"/>
            <w:vAlign w:val="bottom"/>
          </w:tcPr>
          <w:p>
            <w:pPr>
              <w:spacing w:after="0"/>
              <w:rPr>
                <w:sz w:val="20"/>
                <w:szCs w:val="20"/>
                <w:color w:val="auto"/>
              </w:rPr>
            </w:pPr>
          </w:p>
        </w:tc>
        <w:tc>
          <w:tcPr>
            <w:tcW w:w="8100" w:type="dxa"/>
            <w:vAlign w:val="bottom"/>
            <w:gridSpan w:val="3"/>
          </w:tcPr>
          <w:p>
            <w:pPr>
              <w:ind w:left="1740"/>
              <w:spacing w:after="0"/>
              <w:rPr>
                <w:sz w:val="20"/>
                <w:szCs w:val="20"/>
                <w:color w:val="auto"/>
              </w:rPr>
            </w:pPr>
            <w:r>
              <w:rPr>
                <w:rFonts w:ascii="Arial" w:cs="Arial" w:eastAsia="Arial" w:hAnsi="Arial"/>
                <w:sz w:val="18"/>
                <w:szCs w:val="18"/>
                <w:color w:val="auto"/>
              </w:rPr>
              <w:t>Prospectus Supplement dated February 19, 2014.</w:t>
            </w:r>
          </w:p>
        </w:tc>
      </w:tr>
      <w:tr>
        <w:trPr>
          <w:trHeight w:val="418"/>
        </w:trPr>
        <w:tc>
          <w:tcPr>
            <w:tcW w:w="3300" w:type="dxa"/>
            <w:vAlign w:val="bottom"/>
          </w:tcPr>
          <w:p>
            <w:pPr>
              <w:spacing w:after="0"/>
              <w:rPr>
                <w:sz w:val="20"/>
                <w:szCs w:val="20"/>
                <w:color w:val="auto"/>
              </w:rPr>
            </w:pPr>
            <w:r>
              <w:rPr>
                <w:rFonts w:ascii="Arial" w:cs="Arial" w:eastAsia="Arial" w:hAnsi="Arial"/>
                <w:sz w:val="18"/>
                <w:szCs w:val="18"/>
                <w:i w:val="1"/>
                <w:iCs w:val="1"/>
                <w:color w:val="auto"/>
              </w:rPr>
              <w:t>Additional Issuances:</w:t>
            </w:r>
          </w:p>
        </w:tc>
        <w:tc>
          <w:tcPr>
            <w:tcW w:w="8100" w:type="dxa"/>
            <w:vAlign w:val="bottom"/>
            <w:gridSpan w:val="3"/>
          </w:tcPr>
          <w:p>
            <w:pPr>
              <w:ind w:left="1740"/>
              <w:spacing w:after="0"/>
              <w:rPr>
                <w:sz w:val="20"/>
                <w:szCs w:val="20"/>
                <w:color w:val="auto"/>
              </w:rPr>
            </w:pPr>
            <w:r>
              <w:rPr>
                <w:rFonts w:ascii="Arial" w:cs="Arial" w:eastAsia="Arial" w:hAnsi="Arial"/>
                <w:sz w:val="18"/>
                <w:szCs w:val="18"/>
                <w:color w:val="auto"/>
                <w:w w:val="88"/>
              </w:rPr>
              <w:t>The 2044 Notes need not be issued at the same time and the series may be reopened for</w:t>
            </w:r>
          </w:p>
        </w:tc>
      </w:tr>
      <w:tr>
        <w:trPr>
          <w:trHeight w:val="216"/>
        </w:trPr>
        <w:tc>
          <w:tcPr>
            <w:tcW w:w="3300" w:type="dxa"/>
            <w:vAlign w:val="bottom"/>
          </w:tcPr>
          <w:p>
            <w:pPr>
              <w:spacing w:after="0"/>
              <w:rPr>
                <w:sz w:val="18"/>
                <w:szCs w:val="18"/>
                <w:color w:val="auto"/>
              </w:rPr>
            </w:pPr>
          </w:p>
        </w:tc>
        <w:tc>
          <w:tcPr>
            <w:tcW w:w="8100" w:type="dxa"/>
            <w:vAlign w:val="bottom"/>
            <w:gridSpan w:val="3"/>
          </w:tcPr>
          <w:p>
            <w:pPr>
              <w:ind w:left="1740"/>
              <w:spacing w:after="0"/>
              <w:rPr>
                <w:sz w:val="20"/>
                <w:szCs w:val="20"/>
                <w:color w:val="auto"/>
              </w:rPr>
            </w:pPr>
            <w:r>
              <w:rPr>
                <w:rFonts w:ascii="Arial" w:cs="Arial" w:eastAsia="Arial" w:hAnsi="Arial"/>
                <w:sz w:val="18"/>
                <w:szCs w:val="18"/>
                <w:color w:val="auto"/>
              </w:rPr>
              <w:t>issuance of an unlimited principal amount of additional 2044 Notes under this</w:t>
            </w:r>
          </w:p>
        </w:tc>
      </w:tr>
      <w:tr>
        <w:trPr>
          <w:trHeight w:val="216"/>
        </w:trPr>
        <w:tc>
          <w:tcPr>
            <w:tcW w:w="3300" w:type="dxa"/>
            <w:vAlign w:val="bottom"/>
          </w:tcPr>
          <w:p>
            <w:pPr>
              <w:spacing w:after="0"/>
              <w:rPr>
                <w:sz w:val="18"/>
                <w:szCs w:val="18"/>
                <w:color w:val="auto"/>
              </w:rPr>
            </w:pPr>
          </w:p>
        </w:tc>
        <w:tc>
          <w:tcPr>
            <w:tcW w:w="8100" w:type="dxa"/>
            <w:vAlign w:val="bottom"/>
            <w:gridSpan w:val="3"/>
          </w:tcPr>
          <w:p>
            <w:pPr>
              <w:ind w:left="1740"/>
              <w:spacing w:after="0"/>
              <w:rPr>
                <w:sz w:val="20"/>
                <w:szCs w:val="20"/>
                <w:color w:val="auto"/>
              </w:rPr>
            </w:pPr>
            <w:r>
              <w:rPr>
                <w:rFonts w:ascii="Arial" w:cs="Arial" w:eastAsia="Arial" w:hAnsi="Arial"/>
                <w:sz w:val="18"/>
                <w:szCs w:val="18"/>
                <w:color w:val="auto"/>
                <w:w w:val="92"/>
              </w:rPr>
              <w:t>series. Additional 2044 Notes of this series will be consolidated with, and form a single</w:t>
            </w:r>
          </w:p>
        </w:tc>
      </w:tr>
      <w:tr>
        <w:trPr>
          <w:trHeight w:val="216"/>
        </w:trPr>
        <w:tc>
          <w:tcPr>
            <w:tcW w:w="3300" w:type="dxa"/>
            <w:vAlign w:val="bottom"/>
          </w:tcPr>
          <w:p>
            <w:pPr>
              <w:spacing w:after="0"/>
              <w:rPr>
                <w:sz w:val="18"/>
                <w:szCs w:val="18"/>
                <w:color w:val="auto"/>
              </w:rPr>
            </w:pPr>
          </w:p>
        </w:tc>
        <w:tc>
          <w:tcPr>
            <w:tcW w:w="8100" w:type="dxa"/>
            <w:vAlign w:val="bottom"/>
            <w:gridSpan w:val="3"/>
          </w:tcPr>
          <w:p>
            <w:pPr>
              <w:ind w:left="1740"/>
              <w:spacing w:after="0"/>
              <w:rPr>
                <w:sz w:val="20"/>
                <w:szCs w:val="20"/>
                <w:color w:val="auto"/>
              </w:rPr>
            </w:pPr>
            <w:r>
              <w:rPr>
                <w:rFonts w:ascii="Arial" w:cs="Arial" w:eastAsia="Arial" w:hAnsi="Arial"/>
                <w:sz w:val="18"/>
                <w:szCs w:val="18"/>
                <w:color w:val="auto"/>
                <w:w w:val="90"/>
              </w:rPr>
              <w:t>series with, 2044 Notes then outstanding, including for purposes of determining whether</w:t>
            </w:r>
          </w:p>
        </w:tc>
      </w:tr>
      <w:tr>
        <w:trPr>
          <w:trHeight w:val="216"/>
        </w:trPr>
        <w:tc>
          <w:tcPr>
            <w:tcW w:w="3300" w:type="dxa"/>
            <w:vAlign w:val="bottom"/>
          </w:tcPr>
          <w:p>
            <w:pPr>
              <w:spacing w:after="0"/>
              <w:rPr>
                <w:sz w:val="18"/>
                <w:szCs w:val="18"/>
                <w:color w:val="auto"/>
              </w:rPr>
            </w:pPr>
          </w:p>
        </w:tc>
        <w:tc>
          <w:tcPr>
            <w:tcW w:w="8100" w:type="dxa"/>
            <w:vAlign w:val="bottom"/>
            <w:gridSpan w:val="3"/>
          </w:tcPr>
          <w:p>
            <w:pPr>
              <w:ind w:left="1740"/>
              <w:spacing w:after="0"/>
              <w:rPr>
                <w:sz w:val="20"/>
                <w:szCs w:val="20"/>
                <w:color w:val="auto"/>
              </w:rPr>
            </w:pPr>
            <w:r>
              <w:rPr>
                <w:rFonts w:ascii="Arial" w:cs="Arial" w:eastAsia="Arial" w:hAnsi="Arial"/>
                <w:sz w:val="18"/>
                <w:szCs w:val="18"/>
                <w:color w:val="auto"/>
                <w:w w:val="94"/>
              </w:rPr>
              <w:t>the required percentage of the holders of record has given approval or consent to an</w:t>
            </w:r>
          </w:p>
        </w:tc>
      </w:tr>
      <w:tr>
        <w:trPr>
          <w:trHeight w:val="216"/>
        </w:trPr>
        <w:tc>
          <w:tcPr>
            <w:tcW w:w="3300" w:type="dxa"/>
            <w:vAlign w:val="bottom"/>
          </w:tcPr>
          <w:p>
            <w:pPr>
              <w:spacing w:after="0"/>
              <w:rPr>
                <w:sz w:val="18"/>
                <w:szCs w:val="18"/>
                <w:color w:val="auto"/>
              </w:rPr>
            </w:pPr>
          </w:p>
        </w:tc>
        <w:tc>
          <w:tcPr>
            <w:tcW w:w="8100" w:type="dxa"/>
            <w:vAlign w:val="bottom"/>
            <w:gridSpan w:val="3"/>
          </w:tcPr>
          <w:p>
            <w:pPr>
              <w:ind w:left="1740"/>
              <w:spacing w:after="0"/>
              <w:rPr>
                <w:sz w:val="20"/>
                <w:szCs w:val="20"/>
                <w:color w:val="auto"/>
              </w:rPr>
            </w:pPr>
            <w:r>
              <w:rPr>
                <w:rFonts w:ascii="Arial" w:cs="Arial" w:eastAsia="Arial" w:hAnsi="Arial"/>
                <w:sz w:val="18"/>
                <w:szCs w:val="18"/>
                <w:color w:val="auto"/>
                <w:w w:val="91"/>
              </w:rPr>
              <w:t>amendment or waiver or joined in directing the Trustee to take certain actions on behalf</w:t>
            </w:r>
          </w:p>
        </w:tc>
      </w:tr>
      <w:tr>
        <w:trPr>
          <w:trHeight w:val="230"/>
        </w:trPr>
        <w:tc>
          <w:tcPr>
            <w:tcW w:w="3300" w:type="dxa"/>
            <w:vAlign w:val="bottom"/>
          </w:tcPr>
          <w:p>
            <w:pPr>
              <w:spacing w:after="0"/>
              <w:rPr>
                <w:sz w:val="20"/>
                <w:szCs w:val="20"/>
                <w:color w:val="auto"/>
              </w:rPr>
            </w:pPr>
          </w:p>
        </w:tc>
        <w:tc>
          <w:tcPr>
            <w:tcW w:w="8100" w:type="dxa"/>
            <w:vAlign w:val="bottom"/>
            <w:gridSpan w:val="3"/>
          </w:tcPr>
          <w:p>
            <w:pPr>
              <w:ind w:left="1740"/>
              <w:spacing w:after="0"/>
              <w:rPr>
                <w:sz w:val="20"/>
                <w:szCs w:val="20"/>
                <w:color w:val="auto"/>
              </w:rPr>
            </w:pPr>
            <w:r>
              <w:rPr>
                <w:rFonts w:ascii="Arial" w:cs="Arial" w:eastAsia="Arial" w:hAnsi="Arial"/>
                <w:sz w:val="18"/>
                <w:szCs w:val="18"/>
                <w:color w:val="auto"/>
              </w:rPr>
              <w:t>of all holders.</w:t>
            </w:r>
          </w:p>
        </w:tc>
      </w:tr>
      <w:tr>
        <w:trPr>
          <w:trHeight w:val="405"/>
        </w:trPr>
        <w:tc>
          <w:tcPr>
            <w:tcW w:w="3300" w:type="dxa"/>
            <w:vAlign w:val="bottom"/>
          </w:tcPr>
          <w:p>
            <w:pPr>
              <w:spacing w:after="0"/>
              <w:rPr>
                <w:sz w:val="20"/>
                <w:szCs w:val="20"/>
                <w:color w:val="auto"/>
              </w:rPr>
            </w:pPr>
            <w:r>
              <w:rPr>
                <w:rFonts w:ascii="Arial" w:cs="Arial" w:eastAsia="Arial" w:hAnsi="Arial"/>
                <w:sz w:val="18"/>
                <w:szCs w:val="18"/>
                <w:i w:val="1"/>
                <w:iCs w:val="1"/>
                <w:color w:val="auto"/>
              </w:rPr>
              <w:t>Conversion:</w:t>
            </w:r>
          </w:p>
        </w:tc>
        <w:tc>
          <w:tcPr>
            <w:tcW w:w="8100" w:type="dxa"/>
            <w:vAlign w:val="bottom"/>
            <w:gridSpan w:val="3"/>
          </w:tcPr>
          <w:p>
            <w:pPr>
              <w:ind w:left="1740"/>
              <w:spacing w:after="0"/>
              <w:rPr>
                <w:sz w:val="20"/>
                <w:szCs w:val="20"/>
                <w:color w:val="auto"/>
              </w:rPr>
            </w:pPr>
            <w:r>
              <w:rPr>
                <w:rFonts w:ascii="Arial" w:cs="Arial" w:eastAsia="Arial" w:hAnsi="Arial"/>
                <w:sz w:val="18"/>
                <w:szCs w:val="18"/>
                <w:color w:val="auto"/>
              </w:rPr>
              <w:t>None</w:t>
            </w:r>
          </w:p>
        </w:tc>
      </w:tr>
      <w:tr>
        <w:trPr>
          <w:trHeight w:val="405"/>
        </w:trPr>
        <w:tc>
          <w:tcPr>
            <w:tcW w:w="3300" w:type="dxa"/>
            <w:vAlign w:val="bottom"/>
          </w:tcPr>
          <w:p>
            <w:pPr>
              <w:spacing w:after="0"/>
              <w:rPr>
                <w:sz w:val="20"/>
                <w:szCs w:val="20"/>
                <w:color w:val="auto"/>
              </w:rPr>
            </w:pPr>
            <w:r>
              <w:rPr>
                <w:rFonts w:ascii="Arial" w:cs="Arial" w:eastAsia="Arial" w:hAnsi="Arial"/>
                <w:sz w:val="18"/>
                <w:szCs w:val="18"/>
                <w:i w:val="1"/>
                <w:iCs w:val="1"/>
                <w:color w:val="auto"/>
              </w:rPr>
              <w:t>Sinking Fund:</w:t>
            </w:r>
          </w:p>
        </w:tc>
        <w:tc>
          <w:tcPr>
            <w:tcW w:w="8100" w:type="dxa"/>
            <w:vAlign w:val="bottom"/>
            <w:gridSpan w:val="3"/>
          </w:tcPr>
          <w:p>
            <w:pPr>
              <w:ind w:left="1740"/>
              <w:spacing w:after="0"/>
              <w:rPr>
                <w:sz w:val="20"/>
                <w:szCs w:val="20"/>
                <w:color w:val="auto"/>
              </w:rPr>
            </w:pPr>
            <w:r>
              <w:rPr>
                <w:rFonts w:ascii="Arial" w:cs="Arial" w:eastAsia="Arial" w:hAnsi="Arial"/>
                <w:sz w:val="18"/>
                <w:szCs w:val="18"/>
                <w:color w:val="auto"/>
              </w:rPr>
              <w:t>None</w:t>
            </w:r>
          </w:p>
        </w:tc>
      </w:tr>
      <w:tr>
        <w:trPr>
          <w:trHeight w:val="387"/>
        </w:trPr>
        <w:tc>
          <w:tcPr>
            <w:tcW w:w="3300" w:type="dxa"/>
            <w:vAlign w:val="bottom"/>
          </w:tcPr>
          <w:p>
            <w:pPr>
              <w:spacing w:after="0"/>
              <w:rPr>
                <w:sz w:val="20"/>
                <w:szCs w:val="20"/>
                <w:color w:val="auto"/>
              </w:rPr>
            </w:pPr>
            <w:r>
              <w:rPr>
                <w:rFonts w:ascii="Arial" w:cs="Arial" w:eastAsia="Arial" w:hAnsi="Arial"/>
                <w:sz w:val="18"/>
                <w:szCs w:val="18"/>
                <w:i w:val="1"/>
                <w:iCs w:val="1"/>
                <w:color w:val="auto"/>
              </w:rPr>
              <w:t>Miscellaneous:</w:t>
            </w:r>
          </w:p>
        </w:tc>
        <w:tc>
          <w:tcPr>
            <w:tcW w:w="8100" w:type="dxa"/>
            <w:vAlign w:val="bottom"/>
            <w:gridSpan w:val="3"/>
          </w:tcPr>
          <w:p>
            <w:pPr>
              <w:ind w:left="1740"/>
              <w:spacing w:after="0"/>
              <w:rPr>
                <w:sz w:val="20"/>
                <w:szCs w:val="20"/>
                <w:color w:val="auto"/>
              </w:rPr>
            </w:pPr>
            <w:r>
              <w:rPr>
                <w:rFonts w:ascii="Arial" w:cs="Arial" w:eastAsia="Arial" w:hAnsi="Arial"/>
                <w:sz w:val="18"/>
                <w:szCs w:val="18"/>
                <w:color w:val="auto"/>
                <w:w w:val="91"/>
              </w:rPr>
              <w:t>The terms of the 2044 Notes shall include such other terms as are set forth in the Form</w:t>
            </w:r>
          </w:p>
        </w:tc>
      </w:tr>
      <w:tr>
        <w:trPr>
          <w:trHeight w:val="194"/>
        </w:trPr>
        <w:tc>
          <w:tcPr>
            <w:tcW w:w="3300" w:type="dxa"/>
            <w:vAlign w:val="bottom"/>
          </w:tcPr>
          <w:p>
            <w:pPr>
              <w:spacing w:after="0"/>
              <w:rPr>
                <w:sz w:val="16"/>
                <w:szCs w:val="16"/>
                <w:color w:val="auto"/>
              </w:rPr>
            </w:pPr>
          </w:p>
        </w:tc>
        <w:tc>
          <w:tcPr>
            <w:tcW w:w="8100" w:type="dxa"/>
            <w:vAlign w:val="bottom"/>
            <w:gridSpan w:val="3"/>
          </w:tcPr>
          <w:p>
            <w:pPr>
              <w:ind w:left="1740"/>
              <w:spacing w:after="0" w:line="194" w:lineRule="exact"/>
              <w:rPr>
                <w:sz w:val="20"/>
                <w:szCs w:val="20"/>
                <w:color w:val="auto"/>
              </w:rPr>
            </w:pPr>
            <w:r>
              <w:rPr>
                <w:rFonts w:ascii="Arial" w:cs="Arial" w:eastAsia="Arial" w:hAnsi="Arial"/>
                <w:sz w:val="18"/>
                <w:szCs w:val="18"/>
                <w:color w:val="auto"/>
              </w:rPr>
              <w:t xml:space="preserve">of Notes Due 2044 attached hereto as </w:t>
            </w:r>
            <w:r>
              <w:rPr>
                <w:rFonts w:ascii="Arial" w:cs="Arial" w:eastAsia="Arial" w:hAnsi="Arial"/>
                <w:sz w:val="18"/>
                <w:szCs w:val="18"/>
                <w:b w:val="1"/>
                <w:bCs w:val="1"/>
                <w:color w:val="auto"/>
              </w:rPr>
              <w:t>Exhibit B</w:t>
            </w:r>
            <w:r>
              <w:rPr>
                <w:rFonts w:ascii="Arial" w:cs="Arial" w:eastAsia="Arial" w:hAnsi="Arial"/>
                <w:sz w:val="18"/>
                <w:szCs w:val="18"/>
                <w:color w:val="auto"/>
              </w:rPr>
              <w:t>.</w:t>
            </w:r>
          </w:p>
        </w:tc>
      </w:tr>
      <w:tr>
        <w:trPr>
          <w:trHeight w:val="20"/>
        </w:trPr>
        <w:tc>
          <w:tcPr>
            <w:tcW w:w="33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bl>
    <w:p>
      <w:pPr>
        <w:spacing w:after="0" w:line="256"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Each such officer has read and understands the provisions of the Indenture and the definitions relating thereto. The statements made in this Officers’ Certificate are based upon the examination of the provisions of the Indenture and upon the relevant books and records of the Company. In such officer’s opinion, he has made such examination or investigation as is necessary to enable such officer to express an informed opinion as to whether or not the covenants and conditions of such Indenture relating to the issuance and authentication of the</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6" w:name="page7"/>
    <w:bookmarkEnd w:id="6"/>
    <w:p>
      <w:pPr>
        <w:spacing w:after="0"/>
        <w:rPr>
          <w:sz w:val="20"/>
          <w:szCs w:val="20"/>
          <w:color w:val="auto"/>
        </w:rPr>
      </w:pPr>
      <w:r>
        <w:rPr>
          <w:rFonts w:ascii="Arial" w:cs="Arial" w:eastAsia="Arial" w:hAnsi="Arial"/>
          <w:sz w:val="16"/>
          <w:szCs w:val="16"/>
          <w:color w:val="auto"/>
        </w:rPr>
        <w:t>Notes have been complied with. In such officer’s opinion, such covenants and conditions have been complied with.</w:t>
      </w:r>
    </w:p>
    <w:p>
      <w:pPr>
        <w:sectPr>
          <w:pgSz w:w="11900" w:h="16838" w:orient="portrait"/>
          <w:cols w:equalWidth="0" w:num="1">
            <w:col w:w="10219"/>
          </w:cols>
          <w:pgMar w:left="240" w:top="490" w:right="1440" w:bottom="1440" w:gutter="0" w:footer="0" w:header="0"/>
        </w:sectPr>
      </w:pPr>
    </w:p>
    <w:p>
      <w:pPr>
        <w:spacing w:after="0" w:line="200" w:lineRule="exact"/>
        <w:rPr>
          <w:sz w:val="20"/>
          <w:szCs w:val="20"/>
          <w:color w:val="auto"/>
        </w:rPr>
      </w:pPr>
    </w:p>
    <w:p>
      <w:pPr>
        <w:spacing w:after="0" w:line="224"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90" w:right="1440" w:bottom="1440" w:gutter="0" w:footer="0" w:header="0"/>
          <w:type w:val="continuous"/>
        </w:sectPr>
      </w:pPr>
    </w:p>
    <w:bookmarkStart w:id="7" w:name="page8"/>
    <w:bookmarkEnd w:id="7"/>
    <w:p>
      <w:pPr>
        <w:spacing w:after="0"/>
        <w:rPr>
          <w:sz w:val="20"/>
          <w:szCs w:val="20"/>
          <w:color w:val="auto"/>
        </w:rPr>
      </w:pPr>
      <w:r>
        <w:rPr>
          <w:rFonts w:ascii="Arial" w:cs="Arial" w:eastAsia="Arial" w:hAnsi="Arial"/>
          <w:sz w:val="17"/>
          <w:szCs w:val="17"/>
          <w:color w:val="auto"/>
        </w:rPr>
        <w:t>IN WITNESS WHEREOF, the undersigned officers of the Company have duly executed this certificate as of the date first set forth above.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6350</wp:posOffset>
            </wp:positionV>
            <wp:extent cx="34734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William E. Dordelman</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Senior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6350</wp:posOffset>
            </wp:positionV>
            <wp:extent cx="34734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Arthur R. Block</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Title:  Senior Vice President,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610235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60"/>
          </w:cols>
          <w:pgMar w:left="240" w:top="517" w:right="129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u w:val="single" w:color="auto"/>
          <w:color w:val="auto"/>
        </w:rPr>
        <w:t>EXHIBIT A</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 DUE 2024]</w:t>
      </w:r>
    </w:p>
    <w:p>
      <w:pPr>
        <w:spacing w:after="0" w:line="252"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Arial" w:cs="Arial" w:eastAsia="Arial" w:hAnsi="Arial"/>
          <w:sz w:val="17"/>
          <w:szCs w:val="17"/>
          <w:b w:val="1"/>
          <w:bCs w:val="1"/>
          <w:color w:val="auto"/>
        </w:rPr>
        <w:t>DTC</w:t>
      </w:r>
      <w:r>
        <w:rPr>
          <w:rFonts w:ascii="Arial" w:cs="Arial" w:eastAsia="Arial" w:hAnsi="Arial"/>
          <w:sz w:val="17"/>
          <w:szCs w:val="17"/>
          <w:color w:val="auto"/>
        </w:rPr>
        <w:t>”),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3.60% Note Due 2024</w:t>
      </w:r>
    </w:p>
    <w:p>
      <w:pPr>
        <w:sectPr>
          <w:pgSz w:w="11900" w:h="16838" w:orient="portrait"/>
          <w:cols w:equalWidth="0" w:num="1">
            <w:col w:w="11420"/>
          </w:cols>
          <w:pgMar w:left="240" w:top="513" w:right="2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No. [</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CUSIP No.: 20030N BJ9</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ISIN No.: US20030NBJ90</w:t>
      </w:r>
    </w:p>
    <w:p>
      <w:pPr>
        <w:spacing w:after="0" w:line="32"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3">
            <w:col w:w="380" w:space="180"/>
            <w:col w:w="8200" w:space="720"/>
            <w:col w:w="1940"/>
          </w:cols>
          <w:pgMar w:left="240" w:top="513" w:right="239" w:bottom="1440" w:gutter="0" w:footer="0" w:header="0"/>
          <w:type w:val="continuous"/>
        </w:sectPr>
      </w:pPr>
    </w:p>
    <w:p>
      <w:pPr>
        <w:spacing w:after="0" w:line="34" w:lineRule="exact"/>
        <w:rPr>
          <w:sz w:val="20"/>
          <w:szCs w:val="20"/>
          <w:color w:val="auto"/>
        </w:rPr>
      </w:pPr>
    </w:p>
    <w:p>
      <w:pPr>
        <w:ind w:right="620" w:firstLine="648"/>
        <w:spacing w:after="0" w:line="282"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which term includes any successor corporation), for value received promises to pay to CEDE &amp; CO. or registered assigns, the principal sum of $[ ] ([ ] Million Dollars) on March 1, 2024.</w:t>
      </w:r>
    </w:p>
    <w:p>
      <w:pPr>
        <w:sectPr>
          <w:pgSz w:w="11900" w:h="16838" w:orient="portrait"/>
          <w:cols w:equalWidth="0" w:num="1">
            <w:col w:w="11420"/>
          </w:cols>
          <w:pgMar w:left="240" w:top="513" w:right="239" w:bottom="1440" w:gutter="0" w:footer="0" w:header="0"/>
          <w:type w:val="continuous"/>
        </w:sectPr>
      </w:pP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Payment Dates: March 1 and September 1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September 1, 2014.</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Record Dates: February 15 and August 15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Reference is made to the further provisions of this Security contained herein, which will for all purposes have the same effect as if set forth at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type w:val="continuous"/>
        </w:sectPr>
      </w:pPr>
    </w:p>
    <w:bookmarkStart w:id="9" w:name="page10"/>
    <w:bookmarkEnd w:id="9"/>
    <w:p>
      <w:pPr>
        <w:ind w:left="660"/>
        <w:spacing w:after="0"/>
        <w:rPr>
          <w:sz w:val="20"/>
          <w:szCs w:val="20"/>
          <w:color w:val="auto"/>
        </w:rPr>
      </w:pPr>
      <w:r>
        <w:rPr>
          <w:rFonts w:ascii="Arial" w:cs="Arial" w:eastAsia="Arial" w:hAnsi="Arial"/>
          <w:sz w:val="16"/>
          <w:szCs w:val="16"/>
          <w:color w:val="auto"/>
        </w:rPr>
        <w:t>IN WITNESS WHEREOF, the Issuer has caused this Security to be signed manually or by facsimile by its duly authorized officer under its corporate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3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COMCAST CORPORATION</w:t>
      </w:r>
    </w:p>
    <w:p>
      <w:pPr>
        <w:spacing w:after="0" w:line="202"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William E. Dordelman</w:t>
      </w:r>
    </w:p>
    <w:p>
      <w:pPr>
        <w:spacing w:after="0" w:line="23" w:lineRule="exact"/>
        <w:rPr>
          <w:sz w:val="20"/>
          <w:szCs w:val="20"/>
          <w:color w:val="auto"/>
        </w:rPr>
      </w:pPr>
    </w:p>
    <w:p>
      <w:pPr>
        <w:ind w:left="6180"/>
        <w:spacing w:after="0"/>
        <w:tabs>
          <w:tab w:leader="none" w:pos="67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and Treasurer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[Seal of Comcast Corporation]</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33629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3629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Arthur R. Block</w:t>
      </w:r>
    </w:p>
    <w:p>
      <w:pPr>
        <w:spacing w:after="0" w:line="23"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8"/>
          <w:szCs w:val="18"/>
          <w:color w:val="auto"/>
        </w:rPr>
        <w:t>Title:</w:t>
        <w:tab/>
        <w:t>Senior Vice President, General Counsel and Secretary</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0" w:name="page11"/>
    <w:bookmarkEnd w:id="10"/>
    <w:p>
      <w:pPr>
        <w:ind w:left="660"/>
        <w:spacing w:after="0"/>
        <w:rPr>
          <w:sz w:val="20"/>
          <w:szCs w:val="20"/>
          <w:color w:val="auto"/>
        </w:rPr>
      </w:pPr>
      <w:r>
        <w:rPr>
          <w:rFonts w:ascii="Arial" w:cs="Arial" w:eastAsia="Arial" w:hAnsi="Arial"/>
          <w:sz w:val="18"/>
          <w:szCs w:val="18"/>
          <w:color w:val="auto"/>
        </w:rPr>
        <w:t>This is one of the series designated herein and referred to in the within-mentioned Indenture.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26, 2014</w:t>
      </w:r>
    </w:p>
    <w:p>
      <w:pPr>
        <w:spacing w:after="0" w:line="252"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THE BANK OF NEW YORK MELLON,</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Trustee</w:t>
      </w:r>
    </w:p>
    <w:p>
      <w:pPr>
        <w:spacing w:after="0" w:line="37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34734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7345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0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90" w:right="1440"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color w:val="auto"/>
        </w:rPr>
        <w:t>(REVERSE OF SECURITY)</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COMCAST CORPORATION</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3.60% Note Due 2024</w:t>
      </w:r>
    </w:p>
    <w:p>
      <w:pPr>
        <w:spacing w:after="0" w:line="200" w:lineRule="exact"/>
        <w:rPr>
          <w:sz w:val="20"/>
          <w:szCs w:val="20"/>
          <w:color w:val="auto"/>
        </w:rPr>
      </w:pPr>
    </w:p>
    <w:p>
      <w:pPr>
        <w:spacing w:after="0" w:line="295" w:lineRule="exact"/>
        <w:rPr>
          <w:sz w:val="20"/>
          <w:szCs w:val="20"/>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Interest.</w:t>
      </w:r>
    </w:p>
    <w:p>
      <w:pPr>
        <w:spacing w:after="0" w:line="248"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promises to pay interest on the principal amount of this Security at the rate per annum shown above. Cash interest on the Securities will accrue from the most recent date to which interest has been paid or, if no interest has been paid, from February 26, 2014. The Issuer will pay interest semi-annually in arrears on each Interest Payment Date, commencing September 1, 2014. Interest will be computed on the basis of a 360-day year of twelve 30-day months.</w:t>
      </w:r>
    </w:p>
    <w:p>
      <w:pPr>
        <w:spacing w:after="0" w:line="211"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197" w:lineRule="exact"/>
        <w:rPr>
          <w:sz w:val="20"/>
          <w:szCs w:val="20"/>
          <w:color w:val="auto"/>
        </w:rPr>
      </w:pPr>
    </w:p>
    <w:p>
      <w:pPr>
        <w:ind w:left="1140" w:hanging="484"/>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Method of Payment.</w:t>
      </w:r>
    </w:p>
    <w:p>
      <w:pPr>
        <w:spacing w:after="0" w:line="252"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Bank of New York Mellon (the “</w:t>
      </w:r>
      <w:r>
        <w:rPr>
          <w:rFonts w:ascii="Arial" w:cs="Arial" w:eastAsia="Arial" w:hAnsi="Arial"/>
          <w:sz w:val="17"/>
          <w:szCs w:val="17"/>
          <w:b w:val="1"/>
          <w:bCs w:val="1"/>
          <w:color w:val="auto"/>
        </w:rPr>
        <w:t>Trustee</w:t>
      </w:r>
      <w:r>
        <w:rPr>
          <w:rFonts w:ascii="Arial" w:cs="Arial" w:eastAsia="Arial" w:hAnsi="Arial"/>
          <w:sz w:val="17"/>
          <w:szCs w:val="17"/>
          <w:color w:val="auto"/>
        </w:rPr>
        <w:t>”) to collect principal payments. The Issuer shall pay principal and interest in money of the United States that at the time of payment is legal tender for payment of public and private debts (“</w:t>
      </w:r>
      <w:r>
        <w:rPr>
          <w:rFonts w:ascii="Arial" w:cs="Arial" w:eastAsia="Arial" w:hAnsi="Arial"/>
          <w:sz w:val="17"/>
          <w:szCs w:val="17"/>
          <w:b w:val="1"/>
          <w:bCs w:val="1"/>
          <w:color w:val="auto"/>
        </w:rPr>
        <w:t>U.S. Legal Tender</w:t>
      </w:r>
      <w:r>
        <w:rPr>
          <w:rFonts w:ascii="Arial" w:cs="Arial" w:eastAsia="Arial" w:hAnsi="Arial"/>
          <w:sz w:val="17"/>
          <w:szCs w:val="17"/>
          <w:color w:val="auto"/>
        </w:rPr>
        <w:t>”).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210" w:lineRule="exact"/>
        <w:rPr>
          <w:sz w:val="20"/>
          <w:szCs w:val="20"/>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Paying Agent.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Initially, the Trustee will act as Paying Agent. The Issuer may change any Paying Agent without notice to the Holders.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2" w:name="page13"/>
    <w:bookmarkEnd w:id="12"/>
    <w:p>
      <w:pPr>
        <w:ind w:left="1140" w:hanging="484"/>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Indenture.</w:t>
      </w:r>
    </w:p>
    <w:p>
      <w:pPr>
        <w:spacing w:after="0" w:line="24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Issuer issued the Securities under an Indenture dated as of September 18, 2013 (the “</w:t>
      </w:r>
      <w:r>
        <w:rPr>
          <w:rFonts w:ascii="Arial" w:cs="Arial" w:eastAsia="Arial" w:hAnsi="Arial"/>
          <w:sz w:val="18"/>
          <w:szCs w:val="18"/>
          <w:b w:val="1"/>
          <w:bCs w:val="1"/>
          <w:color w:val="auto"/>
        </w:rPr>
        <w:t>Indenture</w:t>
      </w:r>
      <w:r>
        <w:rPr>
          <w:rFonts w:ascii="Arial" w:cs="Arial" w:eastAsia="Arial" w:hAnsi="Arial"/>
          <w:sz w:val="18"/>
          <w:szCs w:val="18"/>
          <w:color w:val="auto"/>
        </w:rPr>
        <w:t>”) by and among the Issuer, the guarantors named therein (the “</w:t>
      </w:r>
      <w:r>
        <w:rPr>
          <w:rFonts w:ascii="Arial" w:cs="Arial" w:eastAsia="Arial" w:hAnsi="Arial"/>
          <w:sz w:val="18"/>
          <w:szCs w:val="18"/>
          <w:b w:val="1"/>
          <w:bCs w:val="1"/>
          <w:color w:val="auto"/>
        </w:rPr>
        <w:t>Guarantors</w:t>
      </w:r>
      <w:r>
        <w:rPr>
          <w:rFonts w:ascii="Arial" w:cs="Arial" w:eastAsia="Arial" w:hAnsi="Arial"/>
          <w:sz w:val="18"/>
          <w:szCs w:val="18"/>
          <w:color w:val="auto"/>
        </w:rPr>
        <w:t>”) and the Trustee. Capitalized terms herein are used as defined in the Indenture unless otherwise defined herein. The terms of the Securities include those stated in the Indenture and those made part of the Indenture by reference to the Trust Indenture Act of 1939 (15 U.S.C. Sections 77aaa-77bbbb) (the “</w:t>
      </w:r>
      <w:r>
        <w:rPr>
          <w:rFonts w:ascii="Arial" w:cs="Arial" w:eastAsia="Arial" w:hAnsi="Arial"/>
          <w:sz w:val="18"/>
          <w:szCs w:val="18"/>
          <w:b w:val="1"/>
          <w:bCs w:val="1"/>
          <w:color w:val="auto"/>
        </w:rPr>
        <w:t>TIA</w:t>
      </w:r>
      <w:r>
        <w:rPr>
          <w:rFonts w:ascii="Arial" w:cs="Arial" w:eastAsia="Arial" w:hAnsi="Arial"/>
          <w:sz w:val="18"/>
          <w:szCs w:val="18"/>
          <w:color w:val="auto"/>
        </w:rPr>
        <w:t>”), as in effect on the date of the Indenture until such time as the Indenture is qualified under the TIA, and thereafter as in effect on the date on which the Indenture is qualified under the TIA. Notwithstanding anything to the contrary herein, the Securities are subject to all such terms, and Holders of Securities are referred to the Indenture and the TIA for a statement of them. To the extent the terms of the Indenture and this Security are inconsistent, the terms of the Indenture shall govern.</w:t>
      </w:r>
    </w:p>
    <w:p>
      <w:pPr>
        <w:spacing w:after="0" w:line="220" w:lineRule="exact"/>
        <w:rPr>
          <w:sz w:val="20"/>
          <w:szCs w:val="20"/>
          <w:color w:val="auto"/>
        </w:rPr>
      </w:pPr>
    </w:p>
    <w:p>
      <w:pPr>
        <w:ind w:left="1140" w:hanging="484"/>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Guarantees.</w:t>
      </w:r>
    </w:p>
    <w:p>
      <w:pPr>
        <w:spacing w:after="0" w:line="252" w:lineRule="exact"/>
        <w:rPr>
          <w:sz w:val="20"/>
          <w:szCs w:val="20"/>
          <w:color w:val="auto"/>
        </w:rPr>
      </w:pPr>
    </w:p>
    <w:p>
      <w:pPr>
        <w:jc w:val="both"/>
        <w:ind w:right="140" w:firstLine="648"/>
        <w:spacing w:after="0" w:line="312" w:lineRule="auto"/>
        <w:rPr>
          <w:sz w:val="20"/>
          <w:szCs w:val="20"/>
          <w:color w:val="auto"/>
        </w:rPr>
      </w:pPr>
      <w:r>
        <w:rPr>
          <w:rFonts w:ascii="Arial" w:cs="Arial" w:eastAsia="Arial" w:hAnsi="Arial"/>
          <w:sz w:val="16"/>
          <w:szCs w:val="16"/>
          <w:color w:val="auto"/>
        </w:rPr>
        <w:t>Each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174" w:lineRule="exact"/>
        <w:rPr>
          <w:sz w:val="20"/>
          <w:szCs w:val="20"/>
          <w:color w:val="auto"/>
        </w:rPr>
      </w:pPr>
    </w:p>
    <w:p>
      <w:pPr>
        <w:ind w:left="1140" w:hanging="484"/>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Denominations; Transfer; Exchange.</w:t>
      </w:r>
    </w:p>
    <w:p>
      <w:pPr>
        <w:spacing w:after="0" w:line="252"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The Securities are in registered form, without coupons, in denominations of $2,000 and multiples of $1,000 in excess thereof.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mailing of a notice of redemption, nor need the Issuer register the transfer or exchange any security selected for redemption in whole or in part.</w:t>
      </w:r>
    </w:p>
    <w:p>
      <w:pPr>
        <w:spacing w:after="0" w:line="185" w:lineRule="exact"/>
        <w:rPr>
          <w:sz w:val="20"/>
          <w:szCs w:val="20"/>
          <w:color w:val="auto"/>
        </w:rPr>
      </w:pPr>
    </w:p>
    <w:p>
      <w:pPr>
        <w:ind w:left="1140" w:hanging="484"/>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Persons Deemed Owners.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registered Holder of a Security shall be treated as the owner of it for all purposes.</w:t>
      </w:r>
    </w:p>
    <w:p>
      <w:pPr>
        <w:spacing w:after="0" w:line="252" w:lineRule="exact"/>
        <w:rPr>
          <w:sz w:val="20"/>
          <w:szCs w:val="20"/>
          <w:color w:val="auto"/>
        </w:rPr>
      </w:pPr>
    </w:p>
    <w:p>
      <w:pPr>
        <w:ind w:left="1140" w:hanging="484"/>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Unclaimed Funds.</w:t>
      </w:r>
    </w:p>
    <w:p>
      <w:pPr>
        <w:spacing w:after="0" w:line="25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If funds for the payment of principal or interest remain unclaimed for two years, the Trustee and the Paying Agent will repay the funds to the Issuer at its written request. After that, all liability of the Trustee and such Paying Agent with respect to such funds shall cease.</w:t>
      </w:r>
    </w:p>
    <w:p>
      <w:pPr>
        <w:spacing w:after="0" w:line="3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17" w:right="319" w:bottom="1440" w:gutter="0" w:footer="0" w:header="0"/>
        </w:sectPr>
      </w:pPr>
    </w:p>
    <w:bookmarkStart w:id="13" w:name="page14"/>
    <w:bookmarkEnd w:id="13"/>
    <w:p>
      <w:pPr>
        <w:ind w:left="1140" w:hanging="484"/>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Legal Defeasance and Covenant Defeasance.</w:t>
      </w:r>
    </w:p>
    <w:p>
      <w:pPr>
        <w:spacing w:after="0" w:line="252" w:lineRule="exact"/>
        <w:rPr>
          <w:sz w:val="20"/>
          <w:szCs w:val="20"/>
          <w:color w:val="auto"/>
        </w:rPr>
      </w:pPr>
    </w:p>
    <w:p>
      <w:pPr>
        <w:jc w:val="both"/>
        <w:ind w:right="180" w:firstLine="648"/>
        <w:spacing w:after="0" w:line="286" w:lineRule="auto"/>
        <w:rPr>
          <w:sz w:val="20"/>
          <w:szCs w:val="20"/>
          <w:color w:val="auto"/>
        </w:rPr>
      </w:pPr>
      <w:r>
        <w:rPr>
          <w:rFonts w:ascii="Arial" w:cs="Arial" w:eastAsia="Arial" w:hAnsi="Arial"/>
          <w:sz w:val="17"/>
          <w:szCs w:val="17"/>
          <w:color w:val="auto"/>
        </w:rPr>
        <w:t>The Issuer and the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193" w:lineRule="exact"/>
        <w:rPr>
          <w:sz w:val="20"/>
          <w:szCs w:val="20"/>
          <w:color w:val="auto"/>
        </w:rPr>
      </w:pPr>
    </w:p>
    <w:p>
      <w:pPr>
        <w:ind w:left="1140" w:hanging="484"/>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Amendment; Supplement; Waiver.</w:t>
      </w:r>
    </w:p>
    <w:p>
      <w:pPr>
        <w:spacing w:after="0" w:line="25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216" w:lineRule="exact"/>
        <w:rPr>
          <w:sz w:val="20"/>
          <w:szCs w:val="20"/>
          <w:color w:val="auto"/>
        </w:rPr>
      </w:pPr>
    </w:p>
    <w:p>
      <w:pPr>
        <w:ind w:left="1140" w:hanging="484"/>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Restrictive Covenants.</w:t>
      </w:r>
    </w:p>
    <w:p>
      <w:pPr>
        <w:spacing w:after="0" w:line="252"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The Indenture contains certain covenants that, among other things, limit the ability of the Issuer and the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193" w:lineRule="exact"/>
        <w:rPr>
          <w:sz w:val="20"/>
          <w:szCs w:val="20"/>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Redemption.</w:t>
      </w:r>
    </w:p>
    <w:p>
      <w:pPr>
        <w:spacing w:after="0" w:line="252"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The Issuer will have the right at its option to redeem any of the Securities in whole or in part, at any time or from time to time prior to their maturity, on at least 30 days, but not more than 60 days, prior notice mailed to the registered address of each Holder of the Securities, at a redemption price equal to the greater of (i) 100% of the principal amount of such Securities and (ii) the sum of the present values of the remaining scheduled payments of principal and interest thereon (exclusive of interest accrued to the date of redemption) discounted to the redemption date on a semiannual basis (assuming a 360-day year consisting of twelve 30-day months) at the Treasury Rate, plus, in each case, 15 basis points plus accrued interest thereon to the date of redemption.</w:t>
      </w:r>
    </w:p>
    <w:p>
      <w:pPr>
        <w:spacing w:after="0" w:line="181"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or interpolated (on a day count basis) of the Comparable Treasury Issue, assuming a price for the Comparable Treasury Issue</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(expressed as a percentage of its principal amount) equal to the Comparable Treasury Price for such redemption date.</w:t>
      </w:r>
    </w:p>
    <w:p>
      <w:pPr>
        <w:spacing w:after="0" w:line="248" w:lineRule="exact"/>
        <w:rPr>
          <w:sz w:val="20"/>
          <w:szCs w:val="20"/>
          <w:color w:val="auto"/>
        </w:rPr>
      </w:pPr>
    </w:p>
    <w:p>
      <w:pPr>
        <w:ind w:right="10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Issue</w:t>
      </w:r>
      <w:r>
        <w:rPr>
          <w:rFonts w:ascii="Arial" w:cs="Arial" w:eastAsia="Arial" w:hAnsi="Arial"/>
          <w:sz w:val="18"/>
          <w:szCs w:val="18"/>
          <w:color w:val="auto"/>
        </w:rPr>
        <w:t>” means the United States Treasury security or securities selected by an Independent Investment Banker as having an actual or interpolated maturity comparable to the remaining term of the Securities to be redeemed that would be utilized, at the time of selection and in accordance with customary financial practice, in pricing new issues of corporate debt securities of a comparable maturity to the remaining term of such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Investment Banker</w:t>
      </w:r>
      <w:r>
        <w:rPr>
          <w:rFonts w:ascii="Arial" w:cs="Arial" w:eastAsia="Arial" w:hAnsi="Arial"/>
          <w:sz w:val="18"/>
          <w:szCs w:val="18"/>
          <w:color w:val="auto"/>
        </w:rPr>
        <w:t>” means one of the Reference Treasury Dealers appointed by the Issuer.</w:t>
      </w:r>
    </w:p>
    <w:p>
      <w:pPr>
        <w:spacing w:after="0" w:line="252"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Price</w:t>
      </w:r>
      <w:r>
        <w:rPr>
          <w:rFonts w:ascii="Arial" w:cs="Arial" w:eastAsia="Arial" w:hAnsi="Arial"/>
          <w:sz w:val="18"/>
          <w:szCs w:val="18"/>
          <w:color w:val="auto"/>
        </w:rPr>
        <w:t>” means, with respect to any redemption date, (i) the average of the Reference Treasury Dealer Quotations for such redemption date, after excluding the highest and lowest such Reference Treasury Dealer Quotation or (ii) if the Independent Investment Banker obtains fewer than four such Reference Treasury Dealer Quotations, the average of all such quotations.</w:t>
      </w:r>
    </w:p>
    <w:p>
      <w:pPr>
        <w:spacing w:after="0" w:line="20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w:t>
      </w:r>
      <w:r>
        <w:rPr>
          <w:rFonts w:ascii="Arial" w:cs="Arial" w:eastAsia="Arial" w:hAnsi="Arial"/>
          <w:sz w:val="18"/>
          <w:szCs w:val="18"/>
          <w:color w:val="auto"/>
        </w:rPr>
        <w:t xml:space="preserve">” means each of BNP Paribas Securities Corp., Merrill Lynch, Pierce, Fenner &amp; Smith Incorporated, RBC Capital Markets, LLC and Wells Fargo Securities, LLC or their affiliates which are primary United States Government Securities dealers, and their respective successors;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any of the foregoing shall cease to be a primary United States government securities dealer in the United States (a “</w:t>
      </w:r>
      <w:r>
        <w:rPr>
          <w:rFonts w:ascii="Arial" w:cs="Arial" w:eastAsia="Arial" w:hAnsi="Arial"/>
          <w:sz w:val="18"/>
          <w:szCs w:val="18"/>
          <w:b w:val="1"/>
          <w:bCs w:val="1"/>
          <w:color w:val="auto"/>
        </w:rPr>
        <w:t>Primary Treasury</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Dealer</w:t>
      </w:r>
      <w:r>
        <w:rPr>
          <w:rFonts w:ascii="Arial" w:cs="Arial" w:eastAsia="Arial" w:hAnsi="Arial"/>
          <w:sz w:val="18"/>
          <w:szCs w:val="18"/>
          <w:color w:val="auto"/>
        </w:rPr>
        <w:t>”), the Issuer will substitute therefor another Primary Treasury Dealer.</w:t>
      </w:r>
    </w:p>
    <w:p>
      <w:pPr>
        <w:spacing w:after="0" w:line="20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 Quotation</w:t>
      </w:r>
      <w:r>
        <w:rPr>
          <w:rFonts w:ascii="Arial" w:cs="Arial" w:eastAsia="Arial" w:hAnsi="Arial"/>
          <w:sz w:val="18"/>
          <w:szCs w:val="18"/>
          <w:color w:val="auto"/>
        </w:rPr>
        <w:t>” means, with respect to each Reference Treasury Dealer and any redemption date, the average, as determined by the Independent Investment Banker, of the bid and asked prices for the Comparable Treasury Issue (expressed in case as a percentage of its principal amount) quoted in writing to the Independent Investment Banker by such Reference Treasury Dealer at 3:30 pm New York time on the third business day preceding such redemption date.</w:t>
      </w:r>
    </w:p>
    <w:p>
      <w:pPr>
        <w:spacing w:after="0" w:line="21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and after the redemption date, interest will cease to accrue on the Securities or any portion of the Securities called for redemption (unless the Issuer. defaults in the payment of the redemption price and accrued interest). On or before the redemption date, the Issuer will deposit with the Trustee money sufficient to pay the redemption price of and (unless the redemption date shall be an Interest Payment Date) accrued interest to the redemption date on the Securities to be redeemed on such date. If less than all of the Securities are to be redeemed, the Securities to be redeemed shall be selected by the Trustee by such method as the Trustee shall deem fair and appropriate.</w:t>
      </w:r>
    </w:p>
    <w:p>
      <w:pPr>
        <w:spacing w:after="0" w:line="215" w:lineRule="exact"/>
        <w:rPr>
          <w:sz w:val="20"/>
          <w:szCs w:val="20"/>
          <w:color w:val="auto"/>
        </w:rPr>
      </w:pPr>
    </w:p>
    <w:p>
      <w:pPr>
        <w:ind w:left="1140" w:hanging="484"/>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Defaults and Remedies.</w:t>
      </w:r>
    </w:p>
    <w:p>
      <w:pPr>
        <w:spacing w:after="0" w:line="25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If an Event of Default (other than certain bankruptcy Events of Default with respect to the Issuer or any of the Guarantors) occurs and is continuing, the Trustee or the Holders of at least 25% in aggregate principal amount of Securities then outstanding may</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15" w:name="page16"/>
    <w:bookmarkEnd w:id="15"/>
    <w:p>
      <w:pPr>
        <w:ind w:right="20"/>
        <w:spacing w:after="0" w:line="291" w:lineRule="auto"/>
        <w:rPr>
          <w:sz w:val="20"/>
          <w:szCs w:val="20"/>
          <w:color w:val="auto"/>
        </w:rPr>
      </w:pPr>
      <w:r>
        <w:rPr>
          <w:rFonts w:ascii="Arial" w:cs="Arial" w:eastAsia="Arial" w:hAnsi="Arial"/>
          <w:sz w:val="16"/>
          <w:szCs w:val="16"/>
          <w:color w:val="auto"/>
        </w:rPr>
        <w:t>declare all of the Securities to be due and payable immediately in the manner and with the effect provided in the Indenture. If a bankruptcy Event of Default with respect to the Issuer or any of the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Guarantees except as provided in the Indenture. The Trustee is not obligated to enforce the Indenture, the Securities or the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194" w:lineRule="exact"/>
        <w:rPr>
          <w:sz w:val="20"/>
          <w:szCs w:val="20"/>
          <w:color w:val="auto"/>
        </w:rPr>
      </w:pPr>
    </w:p>
    <w:p>
      <w:pPr>
        <w:ind w:left="1140" w:hanging="484"/>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Trustee Dealings with Issuer.</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Trustee under the Indenture, in its individual or any other capacity, may become the owner or pledgee of Securities and may otherwise deal with the Issuer as if it were not the Trustee.</w:t>
      </w:r>
    </w:p>
    <w:p>
      <w:pPr>
        <w:spacing w:after="0" w:line="197" w:lineRule="exact"/>
        <w:rPr>
          <w:sz w:val="20"/>
          <w:szCs w:val="20"/>
          <w:color w:val="auto"/>
        </w:rPr>
      </w:pPr>
    </w:p>
    <w:p>
      <w:pPr>
        <w:ind w:left="1140" w:hanging="484"/>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Recourse Against Others.</w:t>
      </w:r>
    </w:p>
    <w:p>
      <w:pPr>
        <w:spacing w:after="0" w:line="252"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No stockholder, director, officer, employee or incorporator, as such, of the Issuer, any Guarantor or any successor Person thereof shall have any liability for any obligation under the Securities, the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214" w:lineRule="exact"/>
        <w:rPr>
          <w:sz w:val="20"/>
          <w:szCs w:val="20"/>
          <w:color w:val="auto"/>
        </w:rPr>
      </w:pPr>
    </w:p>
    <w:p>
      <w:pPr>
        <w:ind w:left="1140" w:hanging="484"/>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Authentication.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Security shall not be valid until the Trustee manually signs the certificate of authentication on this Security.</w:t>
      </w:r>
    </w:p>
    <w:p>
      <w:pPr>
        <w:spacing w:after="0" w:line="252" w:lineRule="exact"/>
        <w:rPr>
          <w:sz w:val="20"/>
          <w:szCs w:val="20"/>
          <w:color w:val="auto"/>
        </w:rPr>
      </w:pPr>
    </w:p>
    <w:p>
      <w:pPr>
        <w:ind w:left="1140" w:hanging="484"/>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Abbreviations and Defined Terms.</w:t>
      </w:r>
    </w:p>
    <w:p>
      <w:pPr>
        <w:spacing w:after="0" w:line="252"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208" w:lineRule="exact"/>
        <w:rPr>
          <w:sz w:val="20"/>
          <w:szCs w:val="20"/>
          <w:color w:val="auto"/>
        </w:rPr>
      </w:pPr>
    </w:p>
    <w:p>
      <w:pPr>
        <w:ind w:left="1140" w:hanging="484"/>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CUSIP Numbers.</w:t>
      </w:r>
    </w:p>
    <w:p>
      <w:pPr>
        <w:spacing w:after="0" w:line="252"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90" w:right="299" w:bottom="1440" w:gutter="0" w:footer="0" w:header="0"/>
        </w:sectPr>
      </w:pPr>
    </w:p>
    <w:bookmarkStart w:id="16" w:name="page17"/>
    <w:bookmarkEnd w:id="16"/>
    <w:p>
      <w:pPr>
        <w:ind w:left="484" w:hanging="484"/>
        <w:spacing w:after="0"/>
        <w:tabs>
          <w:tab w:leader="none" w:pos="484" w:val="left"/>
        </w:tabs>
        <w:numPr>
          <w:ilvl w:val="0"/>
          <w:numId w:val="20"/>
        </w:numPr>
        <w:rPr>
          <w:rFonts w:ascii="Arial" w:cs="Arial" w:eastAsia="Arial" w:hAnsi="Arial"/>
          <w:sz w:val="18"/>
          <w:szCs w:val="18"/>
          <w:color w:val="auto"/>
        </w:rPr>
      </w:pPr>
      <w:r>
        <w:rPr>
          <w:rFonts w:ascii="Arial" w:cs="Arial" w:eastAsia="Arial" w:hAnsi="Arial"/>
          <w:sz w:val="18"/>
          <w:szCs w:val="18"/>
          <w:color w:val="auto"/>
        </w:rPr>
        <w:t>Governing Law.</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laws of the State of New York shall govern the Indenture and this Security thereof.</w:t>
      </w:r>
    </w:p>
    <w:p>
      <w:pPr>
        <w:spacing w:after="0" w:line="200" w:lineRule="exact"/>
        <w:rPr>
          <w:sz w:val="20"/>
          <w:szCs w:val="20"/>
          <w:color w:val="auto"/>
        </w:rPr>
      </w:pPr>
    </w:p>
    <w:p>
      <w:pPr>
        <w:spacing w:after="0" w:line="224"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63"/>
          </w:cols>
          <w:pgMar w:left="896" w:top="517" w:right="1440" w:bottom="1440" w:gutter="0" w:footer="0" w:header="0"/>
        </w:sectPr>
      </w:pPr>
    </w:p>
    <w:bookmarkStart w:id="17" w:name="page18"/>
    <w:bookmarkEnd w:id="17"/>
    <w:p>
      <w:pPr>
        <w:ind w:left="5180"/>
        <w:spacing w:after="0"/>
        <w:rPr>
          <w:sz w:val="20"/>
          <w:szCs w:val="20"/>
          <w:color w:val="auto"/>
        </w:rPr>
      </w:pPr>
      <w:r>
        <w:rPr>
          <w:rFonts w:ascii="Arial" w:cs="Arial" w:eastAsia="Arial" w:hAnsi="Arial"/>
          <w:sz w:val="18"/>
          <w:szCs w:val="18"/>
          <w:color w:val="auto"/>
        </w:rPr>
        <w:t>ASSIGNMENT FORM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637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(Print or type name, address and zip code of assignee or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637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(Insert Social Security or other identifying number of assignee or transferee)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color w:val="auto"/>
        </w:rPr>
        <w:t>and irrevocably appoint_________________________________________ agent to transfer this Security on the books of the Issuer. The agent may substitute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another to act for him.</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20" w:type="dxa"/>
            <w:vAlign w:val="bottom"/>
            <w:gridSpan w:val="2"/>
          </w:tcPr>
          <w:p>
            <w:pPr>
              <w:spacing w:after="0"/>
              <w:rPr>
                <w:sz w:val="20"/>
                <w:szCs w:val="20"/>
                <w:color w:val="auto"/>
              </w:rPr>
            </w:pPr>
            <w:r>
              <w:rPr>
                <w:rFonts w:ascii="Arial" w:cs="Arial" w:eastAsia="Arial" w:hAnsi="Arial"/>
                <w:sz w:val="18"/>
                <w:szCs w:val="18"/>
                <w:color w:val="auto"/>
              </w:rPr>
              <w:t>Dated:</w:t>
            </w:r>
          </w:p>
        </w:tc>
        <w:tc>
          <w:tcPr>
            <w:tcW w:w="5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5920" w:type="dxa"/>
            <w:vAlign w:val="bottom"/>
            <w:gridSpan w:val="2"/>
          </w:tcPr>
          <w:p>
            <w:pPr>
              <w:ind w:left="460"/>
              <w:spacing w:after="0"/>
              <w:rPr>
                <w:sz w:val="20"/>
                <w:szCs w:val="20"/>
                <w:color w:val="auto"/>
              </w:rPr>
            </w:pPr>
            <w:r>
              <w:rPr>
                <w:rFonts w:ascii="Arial" w:cs="Arial" w:eastAsia="Arial" w:hAnsi="Arial"/>
                <w:sz w:val="18"/>
                <w:szCs w:val="18"/>
                <w:color w:val="auto"/>
              </w:rPr>
              <w:t>Signed:</w:t>
            </w:r>
          </w:p>
        </w:tc>
      </w:tr>
      <w:tr>
        <w:trPr>
          <w:trHeight w:val="202"/>
        </w:trPr>
        <w:tc>
          <w:tcPr>
            <w:tcW w:w="58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980" w:type="dxa"/>
            <w:vAlign w:val="bottom"/>
            <w:tcBorders>
              <w:top w:val="single" w:sz="8" w:color="auto"/>
            </w:tcBorders>
          </w:tcPr>
          <w:p>
            <w:pPr>
              <w:spacing w:after="0"/>
              <w:rPr>
                <w:sz w:val="17"/>
                <w:szCs w:val="17"/>
                <w:color w:val="auto"/>
              </w:rPr>
            </w:pPr>
          </w:p>
        </w:tc>
        <w:tc>
          <w:tcPr>
            <w:tcW w:w="1020" w:type="dxa"/>
            <w:vAlign w:val="bottom"/>
          </w:tcPr>
          <w:p>
            <w:pPr>
              <w:spacing w:after="0"/>
              <w:rPr>
                <w:sz w:val="17"/>
                <w:szCs w:val="17"/>
                <w:color w:val="auto"/>
              </w:rPr>
            </w:pPr>
          </w:p>
        </w:tc>
        <w:tc>
          <w:tcPr>
            <w:tcW w:w="49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(Signed exactly as name appears</w:t>
            </w:r>
          </w:p>
        </w:tc>
      </w:tr>
      <w:tr>
        <w:trPr>
          <w:trHeight w:val="230"/>
        </w:trPr>
        <w:tc>
          <w:tcPr>
            <w:tcW w:w="5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on the other side of this Security)</w:t>
            </w:r>
          </w:p>
        </w:tc>
      </w:tr>
      <w:tr>
        <w:trPr>
          <w:trHeight w:val="709"/>
        </w:trPr>
        <w:tc>
          <w:tcPr>
            <w:tcW w:w="2020" w:type="dxa"/>
            <w:vAlign w:val="bottom"/>
            <w:gridSpan w:val="2"/>
          </w:tcPr>
          <w:p>
            <w:pPr>
              <w:spacing w:after="0"/>
              <w:rPr>
                <w:sz w:val="20"/>
                <w:szCs w:val="20"/>
                <w:color w:val="auto"/>
              </w:rPr>
            </w:pPr>
            <w:r>
              <w:rPr>
                <w:rFonts w:ascii="Arial" w:cs="Arial" w:eastAsia="Arial" w:hAnsi="Arial"/>
                <w:sz w:val="18"/>
                <w:szCs w:val="18"/>
                <w:color w:val="auto"/>
              </w:rPr>
              <w:t>Signature Guarantee:</w:t>
            </w:r>
          </w:p>
        </w:tc>
        <w:tc>
          <w:tcPr>
            <w:tcW w:w="500" w:type="dxa"/>
            <w:vAlign w:val="bottom"/>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r>
      <w:tr>
        <w:trPr>
          <w:trHeight w:val="202"/>
        </w:trPr>
        <w:tc>
          <w:tcPr>
            <w:tcW w:w="5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900" w:type="dxa"/>
            <w:vAlign w:val="bottom"/>
            <w:gridSpan w:val="3"/>
          </w:tcPr>
          <w:p>
            <w:pPr>
              <w:spacing w:after="0" w:line="201" w:lineRule="exact"/>
              <w:rPr>
                <w:sz w:val="20"/>
                <w:szCs w:val="20"/>
                <w:color w:val="auto"/>
              </w:rPr>
            </w:pPr>
            <w:r>
              <w:rPr>
                <w:rFonts w:ascii="Arial" w:cs="Arial" w:eastAsia="Arial" w:hAnsi="Arial"/>
                <w:sz w:val="18"/>
                <w:szCs w:val="18"/>
                <w:color w:val="auto"/>
              </w:rPr>
              <w:t>Participant in a recognized Signature Guarantee</w:t>
            </w:r>
          </w:p>
        </w:tc>
      </w:tr>
      <w:tr>
        <w:trPr>
          <w:trHeight w:val="216"/>
        </w:trPr>
        <w:tc>
          <w:tcPr>
            <w:tcW w:w="5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400" w:type="dxa"/>
            <w:vAlign w:val="bottom"/>
            <w:gridSpan w:val="4"/>
          </w:tcPr>
          <w:p>
            <w:pPr>
              <w:ind w:left="500"/>
              <w:spacing w:after="0"/>
              <w:rPr>
                <w:sz w:val="20"/>
                <w:szCs w:val="20"/>
                <w:color w:val="auto"/>
              </w:rPr>
            </w:pPr>
            <w:r>
              <w:rPr>
                <w:rFonts w:ascii="Arial" w:cs="Arial" w:eastAsia="Arial" w:hAnsi="Arial"/>
                <w:sz w:val="18"/>
                <w:szCs w:val="18"/>
                <w:color w:val="auto"/>
              </w:rPr>
              <w:t>Medallion Program (or other signature guarantor</w:t>
            </w:r>
          </w:p>
        </w:tc>
      </w:tr>
      <w:tr>
        <w:trPr>
          <w:trHeight w:val="230"/>
        </w:trPr>
        <w:tc>
          <w:tcPr>
            <w:tcW w:w="5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400" w:type="dxa"/>
            <w:vAlign w:val="bottom"/>
            <w:gridSpan w:val="4"/>
          </w:tcPr>
          <w:p>
            <w:pPr>
              <w:ind w:left="500"/>
              <w:spacing w:after="0"/>
              <w:rPr>
                <w:sz w:val="20"/>
                <w:szCs w:val="20"/>
                <w:color w:val="auto"/>
              </w:rPr>
            </w:pPr>
            <w:r>
              <w:rPr>
                <w:rFonts w:ascii="Arial" w:cs="Arial" w:eastAsia="Arial" w:hAnsi="Arial"/>
                <w:sz w:val="18"/>
                <w:szCs w:val="18"/>
                <w:color w:val="auto"/>
              </w:rPr>
              <w:t>program reasonably acceptable to the Trustee)</w:t>
            </w:r>
          </w:p>
        </w:tc>
      </w:tr>
      <w:tr>
        <w:trPr>
          <w:trHeight w:val="608"/>
        </w:trPr>
        <w:tc>
          <w:tcPr>
            <w:tcW w:w="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500" w:type="dxa"/>
            <w:vAlign w:val="bottom"/>
            <w:gridSpan w:val="3"/>
          </w:tcPr>
          <w:p>
            <w:pPr>
              <w:jc w:val="right"/>
              <w:ind w:right="630"/>
              <w:spacing w:after="0"/>
              <w:rPr>
                <w:sz w:val="20"/>
                <w:szCs w:val="20"/>
                <w:color w:val="auto"/>
              </w:rPr>
            </w:pPr>
            <w:r>
              <w:rPr>
                <w:rFonts w:ascii="Arial" w:cs="Arial" w:eastAsia="Arial" w:hAnsi="Arial"/>
                <w:sz w:val="18"/>
                <w:szCs w:val="18"/>
                <w:color w:val="auto"/>
              </w:rPr>
              <w:t>10</w:t>
            </w:r>
          </w:p>
        </w:tc>
        <w:tc>
          <w:tcPr>
            <w:tcW w:w="4900" w:type="dxa"/>
            <w:vAlign w:val="bottom"/>
          </w:tcPr>
          <w:p>
            <w:pPr>
              <w:spacing w:after="0"/>
              <w:rPr>
                <w:sz w:val="24"/>
                <w:szCs w:val="24"/>
                <w:color w:val="auto"/>
              </w:rPr>
            </w:pPr>
          </w:p>
        </w:tc>
      </w:tr>
      <w:tr>
        <w:trPr>
          <w:trHeight w:val="118"/>
        </w:trPr>
        <w:tc>
          <w:tcPr>
            <w:tcW w:w="58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29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49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u w:val="single" w:color="auto"/>
          <w:color w:val="auto"/>
        </w:rPr>
        <w:t>EXHIBIT B</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 DUE 2044]</w:t>
      </w:r>
    </w:p>
    <w:p>
      <w:pPr>
        <w:spacing w:after="0" w:line="252"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Arial" w:cs="Arial" w:eastAsia="Arial" w:hAnsi="Arial"/>
          <w:sz w:val="17"/>
          <w:szCs w:val="17"/>
          <w:b w:val="1"/>
          <w:bCs w:val="1"/>
          <w:color w:val="auto"/>
        </w:rPr>
        <w:t>DTC</w:t>
      </w:r>
      <w:r>
        <w:rPr>
          <w:rFonts w:ascii="Arial" w:cs="Arial" w:eastAsia="Arial" w:hAnsi="Arial"/>
          <w:sz w:val="17"/>
          <w:szCs w:val="17"/>
          <w:color w:val="auto"/>
        </w:rPr>
        <w:t>”),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4.75% Note Due 2044</w:t>
      </w:r>
    </w:p>
    <w:p>
      <w:pPr>
        <w:sectPr>
          <w:pgSz w:w="11900" w:h="16838" w:orient="portrait"/>
          <w:cols w:equalWidth="0" w:num="1">
            <w:col w:w="11420"/>
          </w:cols>
          <w:pgMar w:left="240" w:top="513" w:right="2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 [ ]</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CUSIP No.: 20030N BK6</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ISIN No.: US20030NBK63</w:t>
      </w:r>
    </w:p>
    <w:p>
      <w:pPr>
        <w:spacing w:after="0" w:line="21"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8700" w:space="720"/>
            <w:col w:w="2000"/>
          </w:cols>
          <w:pgMar w:left="240" w:top="513" w:right="239" w:bottom="1440" w:gutter="0" w:footer="0" w:header="0"/>
          <w:type w:val="continuous"/>
        </w:sectPr>
      </w:pPr>
    </w:p>
    <w:p>
      <w:pPr>
        <w:spacing w:after="0" w:line="34" w:lineRule="exact"/>
        <w:rPr>
          <w:sz w:val="20"/>
          <w:szCs w:val="20"/>
          <w:color w:val="auto"/>
        </w:rPr>
      </w:pPr>
    </w:p>
    <w:p>
      <w:pPr>
        <w:ind w:right="620" w:firstLine="648"/>
        <w:spacing w:after="0" w:line="282"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which term includes any successor corporation), for value received promises to pay to CEDE &amp; CO. or registered assigns, the principal sum of $[ ] ([ ] Million Dollars) on March 1, 2044.</w:t>
      </w:r>
    </w:p>
    <w:p>
      <w:pPr>
        <w:sectPr>
          <w:pgSz w:w="11900" w:h="16838" w:orient="portrait"/>
          <w:cols w:equalWidth="0" w:num="1">
            <w:col w:w="11420"/>
          </w:cols>
          <w:pgMar w:left="240" w:top="513" w:right="239" w:bottom="1440" w:gutter="0" w:footer="0" w:header="0"/>
          <w:type w:val="continuous"/>
        </w:sectPr>
      </w:pP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Payment Dates: March 1 and September 1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September 1, 2014.</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Record Dates: February 15 and August 15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Reference is made to the further provisions of this Security contained herein, which will for all purposes have the same effect as if set forth at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type w:val="continuous"/>
        </w:sectPr>
      </w:pPr>
    </w:p>
    <w:bookmarkStart w:id="19" w:name="page20"/>
    <w:bookmarkEnd w:id="19"/>
    <w:p>
      <w:pPr>
        <w:ind w:left="660"/>
        <w:spacing w:after="0"/>
        <w:rPr>
          <w:sz w:val="20"/>
          <w:szCs w:val="20"/>
          <w:color w:val="auto"/>
        </w:rPr>
      </w:pPr>
      <w:r>
        <w:rPr>
          <w:rFonts w:ascii="Arial" w:cs="Arial" w:eastAsia="Arial" w:hAnsi="Arial"/>
          <w:sz w:val="16"/>
          <w:szCs w:val="16"/>
          <w:color w:val="auto"/>
        </w:rPr>
        <w:t>IN WITNESS WHEREOF, the Issuer has caused this Security to be signed manually or by facsimile by its duly authorized officer under its corporate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3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COMCAST CORPORATION</w:t>
      </w:r>
    </w:p>
    <w:p>
      <w:pPr>
        <w:spacing w:after="0" w:line="202"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William E. Dordelman</w:t>
      </w:r>
    </w:p>
    <w:p>
      <w:pPr>
        <w:spacing w:after="0" w:line="23" w:lineRule="exact"/>
        <w:rPr>
          <w:sz w:val="20"/>
          <w:szCs w:val="20"/>
          <w:color w:val="auto"/>
        </w:rPr>
      </w:pPr>
    </w:p>
    <w:p>
      <w:pPr>
        <w:ind w:left="6180"/>
        <w:spacing w:after="0"/>
        <w:tabs>
          <w:tab w:leader="none" w:pos="67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and Treasurer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[Seal of Comcast Corporation]</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33629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3629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Arthur R. Block</w:t>
      </w:r>
    </w:p>
    <w:p>
      <w:pPr>
        <w:spacing w:after="0" w:line="23"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8"/>
          <w:szCs w:val="18"/>
          <w:color w:val="auto"/>
        </w:rPr>
        <w:t>Title:</w:t>
        <w:tab/>
        <w:t>Senior Vice President, General Counsel and Secretary</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20" w:name="page21"/>
    <w:bookmarkEnd w:id="20"/>
    <w:p>
      <w:pPr>
        <w:ind w:left="660"/>
        <w:spacing w:after="0"/>
        <w:rPr>
          <w:sz w:val="20"/>
          <w:szCs w:val="20"/>
          <w:color w:val="auto"/>
        </w:rPr>
      </w:pPr>
      <w:r>
        <w:rPr>
          <w:rFonts w:ascii="Arial" w:cs="Arial" w:eastAsia="Arial" w:hAnsi="Arial"/>
          <w:sz w:val="18"/>
          <w:szCs w:val="18"/>
          <w:color w:val="auto"/>
        </w:rPr>
        <w:t>This is one of the series designated herein and referred to in the within-mentioned Indenture.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26, 2014</w:t>
      </w:r>
    </w:p>
    <w:p>
      <w:pPr>
        <w:spacing w:after="0" w:line="252"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THE BANK OF NEW YORK MELLON,</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Trustee</w:t>
      </w:r>
    </w:p>
    <w:p>
      <w:pPr>
        <w:spacing w:after="0" w:line="37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34734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7345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0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90" w:right="1440"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color w:val="auto"/>
        </w:rPr>
        <w:t>(REVERSE OF SECURITY)</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COMCAST CORPORATION</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4.75% Note Due 2044</w:t>
      </w:r>
    </w:p>
    <w:p>
      <w:pPr>
        <w:spacing w:after="0" w:line="200" w:lineRule="exact"/>
        <w:rPr>
          <w:sz w:val="20"/>
          <w:szCs w:val="20"/>
          <w:color w:val="auto"/>
        </w:rPr>
      </w:pPr>
    </w:p>
    <w:p>
      <w:pPr>
        <w:spacing w:after="0" w:line="295" w:lineRule="exact"/>
        <w:rPr>
          <w:sz w:val="20"/>
          <w:szCs w:val="20"/>
          <w:color w:val="auto"/>
        </w:rPr>
      </w:pPr>
    </w:p>
    <w:p>
      <w:pPr>
        <w:ind w:left="1140" w:hanging="484"/>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Interest.</w:t>
      </w:r>
    </w:p>
    <w:p>
      <w:pPr>
        <w:spacing w:after="0" w:line="248"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promises to pay interest on the principal amount of this Security at the rate per annum shown above. Cash interest on the Securities will accrue from the most recent date to which interest has been paid or, if no interest has been paid, from February 26, 2014. The Issuer will pay interest semi-annually in arrears on each Interest Payment Date, commencing September 1, 2014. Interest will be computed on the basis of a 360-day year of twelve 30-day months.</w:t>
      </w:r>
    </w:p>
    <w:p>
      <w:pPr>
        <w:spacing w:after="0" w:line="211"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197" w:lineRule="exact"/>
        <w:rPr>
          <w:sz w:val="20"/>
          <w:szCs w:val="20"/>
          <w:color w:val="auto"/>
        </w:rPr>
      </w:pPr>
    </w:p>
    <w:p>
      <w:pPr>
        <w:ind w:left="1140" w:hanging="484"/>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Method of Payment.</w:t>
      </w:r>
    </w:p>
    <w:p>
      <w:pPr>
        <w:spacing w:after="0" w:line="252"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Bank of New York Mellon (the “</w:t>
      </w:r>
      <w:r>
        <w:rPr>
          <w:rFonts w:ascii="Arial" w:cs="Arial" w:eastAsia="Arial" w:hAnsi="Arial"/>
          <w:sz w:val="17"/>
          <w:szCs w:val="17"/>
          <w:b w:val="1"/>
          <w:bCs w:val="1"/>
          <w:color w:val="auto"/>
        </w:rPr>
        <w:t>Trustee</w:t>
      </w:r>
      <w:r>
        <w:rPr>
          <w:rFonts w:ascii="Arial" w:cs="Arial" w:eastAsia="Arial" w:hAnsi="Arial"/>
          <w:sz w:val="17"/>
          <w:szCs w:val="17"/>
          <w:color w:val="auto"/>
        </w:rPr>
        <w:t>”) to collect principal payments. The Issuer shall pay principal and interest in money of the United States that at the time of payment is legal tender for payment of public and private debts (“</w:t>
      </w:r>
      <w:r>
        <w:rPr>
          <w:rFonts w:ascii="Arial" w:cs="Arial" w:eastAsia="Arial" w:hAnsi="Arial"/>
          <w:sz w:val="17"/>
          <w:szCs w:val="17"/>
          <w:b w:val="1"/>
          <w:bCs w:val="1"/>
          <w:color w:val="auto"/>
        </w:rPr>
        <w:t>U.S. Legal Tender</w:t>
      </w:r>
      <w:r>
        <w:rPr>
          <w:rFonts w:ascii="Arial" w:cs="Arial" w:eastAsia="Arial" w:hAnsi="Arial"/>
          <w:sz w:val="17"/>
          <w:szCs w:val="17"/>
          <w:color w:val="auto"/>
        </w:rPr>
        <w:t>”).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22" w:name="page23"/>
    <w:bookmarkEnd w:id="22"/>
    <w:p>
      <w:pPr>
        <w:ind w:left="1140" w:hanging="484"/>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Paying Agent.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Initially, the Trustee will act as Paying Agent. The Issuer may change any Paying Agent without notice to the Holders.</w:t>
      </w:r>
    </w:p>
    <w:p>
      <w:pPr>
        <w:spacing w:after="0" w:line="252" w:lineRule="exact"/>
        <w:rPr>
          <w:sz w:val="20"/>
          <w:szCs w:val="20"/>
          <w:color w:val="auto"/>
        </w:rPr>
      </w:pPr>
    </w:p>
    <w:p>
      <w:pPr>
        <w:ind w:left="1140" w:hanging="484"/>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Indenture.</w:t>
      </w:r>
    </w:p>
    <w:p>
      <w:pPr>
        <w:spacing w:after="0" w:line="24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Issuer issued the Securities under an Indenture dated as of September 18, 2013 (the “</w:t>
      </w:r>
      <w:r>
        <w:rPr>
          <w:rFonts w:ascii="Arial" w:cs="Arial" w:eastAsia="Arial" w:hAnsi="Arial"/>
          <w:sz w:val="17"/>
          <w:szCs w:val="17"/>
          <w:b w:val="1"/>
          <w:bCs w:val="1"/>
          <w:color w:val="auto"/>
        </w:rPr>
        <w:t>Indenture</w:t>
      </w:r>
      <w:r>
        <w:rPr>
          <w:rFonts w:ascii="Arial" w:cs="Arial" w:eastAsia="Arial" w:hAnsi="Arial"/>
          <w:sz w:val="17"/>
          <w:szCs w:val="17"/>
          <w:color w:val="auto"/>
        </w:rPr>
        <w:t>”) by and among the Issuer, the guarantors named therein (the “</w:t>
      </w:r>
      <w:r>
        <w:rPr>
          <w:rFonts w:ascii="Arial" w:cs="Arial" w:eastAsia="Arial" w:hAnsi="Arial"/>
          <w:sz w:val="17"/>
          <w:szCs w:val="17"/>
          <w:b w:val="1"/>
          <w:bCs w:val="1"/>
          <w:color w:val="auto"/>
        </w:rPr>
        <w:t>Guarantors</w:t>
      </w:r>
      <w:r>
        <w:rPr>
          <w:rFonts w:ascii="Arial" w:cs="Arial" w:eastAsia="Arial" w:hAnsi="Arial"/>
          <w:sz w:val="17"/>
          <w:szCs w:val="17"/>
          <w:color w:val="auto"/>
        </w:rPr>
        <w:t>”)and the Trustee. Capitalized terms herein are used as defined in the Indenture unless otherwise defined herein. The terms of the Securities include those stated in the Indenture and those made part of the Indenture by reference to the Trust Indenture Act of 1939 (15 U.S.C. Sections 77aaa-77bbbb) (the “</w:t>
      </w:r>
      <w:r>
        <w:rPr>
          <w:rFonts w:ascii="Arial" w:cs="Arial" w:eastAsia="Arial" w:hAnsi="Arial"/>
          <w:sz w:val="17"/>
          <w:szCs w:val="17"/>
          <w:b w:val="1"/>
          <w:bCs w:val="1"/>
          <w:color w:val="auto"/>
        </w:rPr>
        <w:t>TIA</w:t>
      </w:r>
      <w:r>
        <w:rPr>
          <w:rFonts w:ascii="Arial" w:cs="Arial" w:eastAsia="Arial" w:hAnsi="Arial"/>
          <w:sz w:val="17"/>
          <w:szCs w:val="17"/>
          <w:color w:val="auto"/>
        </w:rPr>
        <w:t>”), as in effect on the date of the Indenture until such time as the Indenture is qualified under the TIA, and thereafter as in effect on the date on which the Indenture is qualified under the TIA. Notwithstanding anything to the contrary herein, the Securities are subject to all such terms, and Holders of Securities are referred to the Indenture and the TIA for a statement of them. To the extent the terms of the Indenture and this Security are inconsistent, the terms of the Indenture shall govern.</w:t>
      </w:r>
    </w:p>
    <w:p>
      <w:pPr>
        <w:spacing w:after="0" w:line="203" w:lineRule="exact"/>
        <w:rPr>
          <w:sz w:val="20"/>
          <w:szCs w:val="20"/>
          <w:color w:val="auto"/>
        </w:rPr>
      </w:pPr>
    </w:p>
    <w:p>
      <w:pPr>
        <w:ind w:left="1140" w:hanging="484"/>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Guarantees.</w:t>
      </w:r>
    </w:p>
    <w:p>
      <w:pPr>
        <w:spacing w:after="0" w:line="252" w:lineRule="exact"/>
        <w:rPr>
          <w:sz w:val="20"/>
          <w:szCs w:val="20"/>
          <w:color w:val="auto"/>
        </w:rPr>
      </w:pPr>
    </w:p>
    <w:p>
      <w:pPr>
        <w:jc w:val="both"/>
        <w:ind w:right="100" w:firstLine="648"/>
        <w:spacing w:after="0" w:line="312" w:lineRule="auto"/>
        <w:rPr>
          <w:sz w:val="20"/>
          <w:szCs w:val="20"/>
          <w:color w:val="auto"/>
        </w:rPr>
      </w:pPr>
      <w:r>
        <w:rPr>
          <w:rFonts w:ascii="Arial" w:cs="Arial" w:eastAsia="Arial" w:hAnsi="Arial"/>
          <w:sz w:val="16"/>
          <w:szCs w:val="16"/>
          <w:color w:val="auto"/>
        </w:rPr>
        <w:t>Each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174" w:lineRule="exact"/>
        <w:rPr>
          <w:sz w:val="20"/>
          <w:szCs w:val="20"/>
          <w:color w:val="auto"/>
        </w:rPr>
      </w:pPr>
    </w:p>
    <w:p>
      <w:pPr>
        <w:ind w:left="1140" w:hanging="484"/>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Denominations; Transfer; Exchange.</w:t>
      </w:r>
    </w:p>
    <w:p>
      <w:pPr>
        <w:spacing w:after="0" w:line="252"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The Securities are in registered form, without coupons, in denominations of $2,000 and multiples of $1,000 in excess thereof.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mailing of a notice of redemption, nor need the Issuer register the transfer or exchange any security selected for redemption in whole or in part.</w:t>
      </w:r>
    </w:p>
    <w:p>
      <w:pPr>
        <w:spacing w:after="0" w:line="185" w:lineRule="exact"/>
        <w:rPr>
          <w:sz w:val="20"/>
          <w:szCs w:val="20"/>
          <w:color w:val="auto"/>
        </w:rPr>
      </w:pPr>
    </w:p>
    <w:p>
      <w:pPr>
        <w:ind w:left="1140" w:hanging="484"/>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Persons Deemed Owners.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registered Holder of a Security shall be treated as the owner of it for all purposes.</w:t>
      </w: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17" w:right="359" w:bottom="1440" w:gutter="0" w:footer="0" w:header="0"/>
        </w:sectPr>
      </w:pPr>
    </w:p>
    <w:bookmarkStart w:id="23" w:name="page24"/>
    <w:bookmarkEnd w:id="23"/>
    <w:p>
      <w:pPr>
        <w:ind w:left="1140" w:hanging="484"/>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Unclaimed Funds.</w:t>
      </w:r>
    </w:p>
    <w:p>
      <w:pPr>
        <w:spacing w:after="0" w:line="25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If funds for the payment of principal or interest remain unclaimed for two years, the Trustee and the Paying Agent will repay the funds to the Issuer at its written request. After that, all liability of the Trustee and such Paying Agent with respect to such funds shall cease.</w:t>
      </w:r>
    </w:p>
    <w:p>
      <w:pPr>
        <w:spacing w:after="0" w:line="197" w:lineRule="exact"/>
        <w:rPr>
          <w:sz w:val="20"/>
          <w:szCs w:val="20"/>
          <w:color w:val="auto"/>
        </w:rPr>
      </w:pPr>
    </w:p>
    <w:p>
      <w:pPr>
        <w:ind w:left="1140" w:hanging="484"/>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Legal Defeasance and Covenant Defeasance.</w:t>
      </w:r>
    </w:p>
    <w:p>
      <w:pPr>
        <w:spacing w:after="0" w:line="252" w:lineRule="exact"/>
        <w:rPr>
          <w:sz w:val="20"/>
          <w:szCs w:val="20"/>
          <w:color w:val="auto"/>
        </w:rPr>
      </w:pPr>
    </w:p>
    <w:p>
      <w:pPr>
        <w:jc w:val="both"/>
        <w:ind w:right="180" w:firstLine="648"/>
        <w:spacing w:after="0" w:line="286" w:lineRule="auto"/>
        <w:rPr>
          <w:sz w:val="20"/>
          <w:szCs w:val="20"/>
          <w:color w:val="auto"/>
        </w:rPr>
      </w:pPr>
      <w:r>
        <w:rPr>
          <w:rFonts w:ascii="Arial" w:cs="Arial" w:eastAsia="Arial" w:hAnsi="Arial"/>
          <w:sz w:val="17"/>
          <w:szCs w:val="17"/>
          <w:color w:val="auto"/>
        </w:rPr>
        <w:t>The Issuer and the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193" w:lineRule="exact"/>
        <w:rPr>
          <w:sz w:val="20"/>
          <w:szCs w:val="20"/>
          <w:color w:val="auto"/>
        </w:rPr>
      </w:pPr>
    </w:p>
    <w:p>
      <w:pPr>
        <w:ind w:left="1140" w:hanging="484"/>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Amendment; Supplement; Waiver.</w:t>
      </w:r>
    </w:p>
    <w:p>
      <w:pPr>
        <w:spacing w:after="0" w:line="25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216" w:lineRule="exact"/>
        <w:rPr>
          <w:sz w:val="20"/>
          <w:szCs w:val="20"/>
          <w:color w:val="auto"/>
        </w:rPr>
      </w:pPr>
    </w:p>
    <w:p>
      <w:pPr>
        <w:ind w:left="1140" w:hanging="484"/>
        <w:spacing w:after="0"/>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Restrictive Covenants.</w:t>
      </w:r>
    </w:p>
    <w:p>
      <w:pPr>
        <w:spacing w:after="0" w:line="252"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The Indenture contains certain covenants that, among other things, limit the ability of the Issuer and the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193" w:lineRule="exact"/>
        <w:rPr>
          <w:sz w:val="20"/>
          <w:szCs w:val="20"/>
          <w:color w:val="auto"/>
        </w:rPr>
      </w:pPr>
    </w:p>
    <w:p>
      <w:pPr>
        <w:ind w:left="1140" w:hanging="484"/>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Redemption.</w:t>
      </w:r>
    </w:p>
    <w:p>
      <w:pPr>
        <w:spacing w:after="0" w:line="252"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Issuer will have the right at its option to redeem any of the Securities in whole or in part, at any time or from time to time prior to their maturity, on at least 30 days, but not more than 60 days, prior notice mailed to the registered address of each Holder of the Securities, at a redemption price equal to the greater of (i) 100% of the principal amount of such Securities and (ii) the sum of the present values of the</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24" w:name="page25"/>
    <w:bookmarkEnd w:id="24"/>
    <w:p>
      <w:pPr>
        <w:ind w:right="40"/>
        <w:spacing w:after="0" w:line="264" w:lineRule="auto"/>
        <w:rPr>
          <w:sz w:val="20"/>
          <w:szCs w:val="20"/>
          <w:color w:val="auto"/>
        </w:rPr>
      </w:pPr>
      <w:r>
        <w:rPr>
          <w:rFonts w:ascii="Arial" w:cs="Arial" w:eastAsia="Arial" w:hAnsi="Arial"/>
          <w:sz w:val="18"/>
          <w:szCs w:val="18"/>
          <w:color w:val="auto"/>
        </w:rPr>
        <w:t>remaining scheduled payments of principal and interest thereon (exclusive of interest accrued to the date of redemption) discounted to the redemption date on a semiannual basis (assuming a 360-day year consisting of twelve 30-day months) at the Treasury Rate, plus, in each case, 20 basis points plus accrued interest thereon to the date of redemption.</w:t>
      </w:r>
    </w:p>
    <w:p>
      <w:pPr>
        <w:spacing w:after="0" w:line="204"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203" w:lineRule="exact"/>
        <w:rPr>
          <w:sz w:val="20"/>
          <w:szCs w:val="20"/>
          <w:color w:val="auto"/>
        </w:rPr>
      </w:pPr>
    </w:p>
    <w:p>
      <w:pPr>
        <w:ind w:right="10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Issue</w:t>
      </w:r>
      <w:r>
        <w:rPr>
          <w:rFonts w:ascii="Arial" w:cs="Arial" w:eastAsia="Arial" w:hAnsi="Arial"/>
          <w:sz w:val="18"/>
          <w:szCs w:val="18"/>
          <w:color w:val="auto"/>
        </w:rPr>
        <w:t>” means the United States Treasury security or securities selected by an Independent Investment Banker as having an actual or interpolated maturity comparable to the remaining term of the Securities to be redeemed that would be utilized, at the time of selection and in accordance with customary financial practice, in pricing new issues of corporate debt securities of a comparable maturity to the remaining term of such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Investment Banker</w:t>
      </w:r>
      <w:r>
        <w:rPr>
          <w:rFonts w:ascii="Arial" w:cs="Arial" w:eastAsia="Arial" w:hAnsi="Arial"/>
          <w:sz w:val="18"/>
          <w:szCs w:val="18"/>
          <w:color w:val="auto"/>
        </w:rPr>
        <w:t>” means one of the Reference Treasury Dealers appointed by the Issuer.</w:t>
      </w:r>
    </w:p>
    <w:p>
      <w:pPr>
        <w:spacing w:after="0" w:line="252"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Price</w:t>
      </w:r>
      <w:r>
        <w:rPr>
          <w:rFonts w:ascii="Arial" w:cs="Arial" w:eastAsia="Arial" w:hAnsi="Arial"/>
          <w:sz w:val="18"/>
          <w:szCs w:val="18"/>
          <w:color w:val="auto"/>
        </w:rPr>
        <w:t>” means, with respect to any redemption date, (i) the average of the Reference Treasury Dealer Quotations for such redemption date, after excluding the highest and lowest such Reference Treasury Dealer Quotation or (ii) if the Independent Investment Banker obtains fewer than four such Reference Treasury Dealer Quotations, the average of all such quotations.</w:t>
      </w:r>
    </w:p>
    <w:p>
      <w:pPr>
        <w:spacing w:after="0" w:line="20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w:t>
      </w:r>
      <w:r>
        <w:rPr>
          <w:rFonts w:ascii="Arial" w:cs="Arial" w:eastAsia="Arial" w:hAnsi="Arial"/>
          <w:sz w:val="18"/>
          <w:szCs w:val="18"/>
          <w:color w:val="auto"/>
        </w:rPr>
        <w:t xml:space="preserve">” means each of BNP Paribas Securities Corp., Merrill Lynch, Pierce, Fenner &amp; Smith Incorporated, RBC Capital Markets, LLC and Wells Fargo Securities, LLC or their affiliates which are primary United States Government Securities dealers, and their respective successors;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any of the foregoing shall cease to be a primary United States government securities dealer in the United States (a “</w:t>
      </w:r>
      <w:r>
        <w:rPr>
          <w:rFonts w:ascii="Arial" w:cs="Arial" w:eastAsia="Arial" w:hAnsi="Arial"/>
          <w:sz w:val="18"/>
          <w:szCs w:val="18"/>
          <w:b w:val="1"/>
          <w:bCs w:val="1"/>
          <w:color w:val="auto"/>
        </w:rPr>
        <w:t>Primary Treasury</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Dealer</w:t>
      </w:r>
      <w:r>
        <w:rPr>
          <w:rFonts w:ascii="Arial" w:cs="Arial" w:eastAsia="Arial" w:hAnsi="Arial"/>
          <w:sz w:val="18"/>
          <w:szCs w:val="18"/>
          <w:color w:val="auto"/>
        </w:rPr>
        <w:t>”), the Issuer will substitute therefor another Primary Treasury Dealer.</w:t>
      </w:r>
    </w:p>
    <w:p>
      <w:pPr>
        <w:spacing w:after="0" w:line="20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 Quotation</w:t>
      </w:r>
      <w:r>
        <w:rPr>
          <w:rFonts w:ascii="Arial" w:cs="Arial" w:eastAsia="Arial" w:hAnsi="Arial"/>
          <w:sz w:val="18"/>
          <w:szCs w:val="18"/>
          <w:color w:val="auto"/>
        </w:rPr>
        <w:t>” means, with respect to each Reference Treasury Dealer and any redemption date, the average, as determined by the Independent Investment Banker, of the bid and asked prices for the Comparable Treasury Issue (expressed in case as a percentage of its principal amount) quoted in writing to the Independent Investment Banker by such Reference Treasury Dealer at 3:30 pm New York time on the third business day preceding such redemption date.</w:t>
      </w:r>
    </w:p>
    <w:p>
      <w:pPr>
        <w:spacing w:after="0" w:line="21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On and after the redemption date, interest will cease to accrue on the Securities or any portion of the Securities called for redemption (unless the Issuer. defaults in the payment of the redemption price and accrued interest). On or before the redemption date,</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25" w:name="page26"/>
    <w:bookmarkEnd w:id="25"/>
    <w:p>
      <w:pPr>
        <w:spacing w:after="0" w:line="264" w:lineRule="auto"/>
        <w:rPr>
          <w:sz w:val="20"/>
          <w:szCs w:val="20"/>
          <w:color w:val="auto"/>
        </w:rPr>
      </w:pPr>
      <w:r>
        <w:rPr>
          <w:rFonts w:ascii="Arial" w:cs="Arial" w:eastAsia="Arial" w:hAnsi="Arial"/>
          <w:sz w:val="18"/>
          <w:szCs w:val="18"/>
          <w:color w:val="auto"/>
        </w:rPr>
        <w:t>the Issuer will deposit with the Trustee money sufficient to pay the redemption price of and (unless the redemption date shall be an Interest Payment Date) accrued interest to the redemption date on the Securities to be redeemed on such date. If less than all of the Securities are to be redeemed, the Securities to be redeemed shall be selected by the Trustee by such method as the Trustee shall deem fair and appropriate.</w:t>
      </w:r>
    </w:p>
    <w:p>
      <w:pPr>
        <w:spacing w:after="0" w:line="208" w:lineRule="exact"/>
        <w:rPr>
          <w:sz w:val="20"/>
          <w:szCs w:val="20"/>
          <w:color w:val="auto"/>
        </w:rPr>
      </w:pPr>
    </w:p>
    <w:p>
      <w:pPr>
        <w:ind w:left="1140" w:hanging="484"/>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Defaults and Remedies.</w:t>
      </w:r>
    </w:p>
    <w:p>
      <w:pPr>
        <w:spacing w:after="0" w:line="252"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If an Event of Default (other than certain bankruptcy Events of Default with respect to the Issuer or any of the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Guarantees except as provided in the Indenture. The Trustee is not obligated to enforce the Indenture, the Securities or the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209" w:lineRule="exact"/>
        <w:rPr>
          <w:sz w:val="20"/>
          <w:szCs w:val="20"/>
          <w:color w:val="auto"/>
        </w:rPr>
      </w:pPr>
    </w:p>
    <w:p>
      <w:pPr>
        <w:ind w:left="1140" w:hanging="484"/>
        <w:spacing w:after="0"/>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Trustee Dealings with Issuer.</w:t>
      </w:r>
    </w:p>
    <w:p>
      <w:pPr>
        <w:spacing w:after="0" w:line="25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Trustee under the Indenture, in its individual or any other capacity, may become the owner or pledgee of Securities and may otherwise deal with the Issuer as if it were not the Trustee.</w:t>
      </w:r>
    </w:p>
    <w:p>
      <w:pPr>
        <w:spacing w:after="0" w:line="197" w:lineRule="exact"/>
        <w:rPr>
          <w:sz w:val="20"/>
          <w:szCs w:val="20"/>
          <w:color w:val="auto"/>
        </w:rPr>
      </w:pPr>
    </w:p>
    <w:p>
      <w:pPr>
        <w:ind w:left="1140" w:hanging="484"/>
        <w:spacing w:after="0"/>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 Recourse Against Others.</w:t>
      </w:r>
    </w:p>
    <w:p>
      <w:pPr>
        <w:spacing w:after="0" w:line="25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No stockholder, director, officer, employee or incorporator, as such, of the Issuer, any Guarantor or any successor Person thereof shall have any liability for any obligation under the Securities, the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214" w:lineRule="exact"/>
        <w:rPr>
          <w:sz w:val="20"/>
          <w:szCs w:val="20"/>
          <w:color w:val="auto"/>
        </w:rPr>
      </w:pPr>
    </w:p>
    <w:p>
      <w:pPr>
        <w:ind w:left="1140" w:hanging="484"/>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Authentication.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Security shall not be valid until the Trustee manually signs the certificate of authentication on this Security.</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90" w:right="279" w:bottom="1440" w:gutter="0" w:footer="0" w:header="0"/>
        </w:sectPr>
      </w:pPr>
    </w:p>
    <w:bookmarkStart w:id="26" w:name="page27"/>
    <w:bookmarkEnd w:id="26"/>
    <w:p>
      <w:pPr>
        <w:ind w:left="1140" w:hanging="484"/>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Abbreviations and Defined Terms.</w:t>
      </w:r>
    </w:p>
    <w:p>
      <w:pPr>
        <w:spacing w:after="0" w:line="252"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208" w:lineRule="exact"/>
        <w:rPr>
          <w:sz w:val="20"/>
          <w:szCs w:val="20"/>
          <w:color w:val="auto"/>
        </w:rPr>
      </w:pPr>
    </w:p>
    <w:p>
      <w:pPr>
        <w:ind w:left="1140" w:hanging="484"/>
        <w:spacing w:after="0"/>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CUSIP Numbers.</w:t>
      </w:r>
    </w:p>
    <w:p>
      <w:pPr>
        <w:spacing w:after="0" w:line="252"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208" w:lineRule="exact"/>
        <w:rPr>
          <w:sz w:val="20"/>
          <w:szCs w:val="20"/>
          <w:color w:val="auto"/>
        </w:rPr>
      </w:pPr>
    </w:p>
    <w:p>
      <w:pPr>
        <w:ind w:left="1140" w:hanging="484"/>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Governing Law.</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laws of the State of New York shall govern the Indenture and this Security thereof.</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27" w:name="page28"/>
    <w:bookmarkEnd w:id="27"/>
    <w:p>
      <w:pPr>
        <w:ind w:left="5180"/>
        <w:spacing w:after="0"/>
        <w:rPr>
          <w:sz w:val="20"/>
          <w:szCs w:val="20"/>
          <w:color w:val="auto"/>
        </w:rPr>
      </w:pPr>
      <w:r>
        <w:rPr>
          <w:rFonts w:ascii="Arial" w:cs="Arial" w:eastAsia="Arial" w:hAnsi="Arial"/>
          <w:sz w:val="18"/>
          <w:szCs w:val="18"/>
          <w:color w:val="auto"/>
        </w:rPr>
        <w:t>ASSIGNMENT FORM</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6376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(Print or type name, address and zip code of assignee or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546735</wp:posOffset>
            </wp:positionV>
            <wp:extent cx="726376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(Insert Social Security or other identifying number of assignee or transferee)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color w:val="auto"/>
        </w:rPr>
        <w:t>and irrevocably appoint_________________________________________ agent to transfer this Security on the books of the Issuer. The agent may substitute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another to act for him.</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420" w:type="dxa"/>
            <w:vAlign w:val="bottom"/>
            <w:gridSpan w:val="2"/>
          </w:tcPr>
          <w:p>
            <w:pPr>
              <w:spacing w:after="0"/>
              <w:rPr>
                <w:sz w:val="20"/>
                <w:szCs w:val="20"/>
                <w:color w:val="auto"/>
              </w:rPr>
            </w:pPr>
            <w:r>
              <w:rPr>
                <w:rFonts w:ascii="Arial" w:cs="Arial" w:eastAsia="Arial" w:hAnsi="Arial"/>
                <w:sz w:val="18"/>
                <w:szCs w:val="18"/>
                <w:color w:val="auto"/>
              </w:rPr>
              <w:t>Dated:</w:t>
            </w:r>
          </w:p>
        </w:tc>
        <w:tc>
          <w:tcPr>
            <w:tcW w:w="3080" w:type="dxa"/>
            <w:vAlign w:val="bottom"/>
          </w:tcPr>
          <w:p>
            <w:pPr>
              <w:spacing w:after="0"/>
              <w:rPr>
                <w:sz w:val="20"/>
                <w:szCs w:val="20"/>
                <w:color w:val="auto"/>
              </w:rPr>
            </w:pPr>
          </w:p>
        </w:tc>
        <w:tc>
          <w:tcPr>
            <w:tcW w:w="5920" w:type="dxa"/>
            <w:vAlign w:val="bottom"/>
            <w:gridSpan w:val="2"/>
          </w:tcPr>
          <w:p>
            <w:pPr>
              <w:ind w:left="460"/>
              <w:spacing w:after="0"/>
              <w:rPr>
                <w:sz w:val="20"/>
                <w:szCs w:val="20"/>
                <w:color w:val="auto"/>
              </w:rPr>
            </w:pPr>
            <w:r>
              <w:rPr>
                <w:rFonts w:ascii="Arial" w:cs="Arial" w:eastAsia="Arial" w:hAnsi="Arial"/>
                <w:sz w:val="18"/>
                <w:szCs w:val="18"/>
                <w:color w:val="auto"/>
              </w:rPr>
              <w:t>Signed:</w:t>
            </w:r>
          </w:p>
        </w:tc>
        <w:tc>
          <w:tcPr>
            <w:tcW w:w="20" w:type="dxa"/>
            <w:vAlign w:val="bottom"/>
          </w:tcPr>
          <w:p>
            <w:pPr>
              <w:spacing w:after="0"/>
              <w:rPr>
                <w:sz w:val="20"/>
                <w:szCs w:val="20"/>
                <w:color w:val="auto"/>
              </w:rPr>
            </w:pPr>
          </w:p>
        </w:tc>
      </w:tr>
      <w:tr>
        <w:trPr>
          <w:trHeight w:val="202"/>
        </w:trPr>
        <w:tc>
          <w:tcPr>
            <w:tcW w:w="580" w:type="dxa"/>
            <w:vAlign w:val="bottom"/>
          </w:tcPr>
          <w:p>
            <w:pPr>
              <w:spacing w:after="0"/>
              <w:rPr>
                <w:sz w:val="17"/>
                <w:szCs w:val="17"/>
                <w:color w:val="auto"/>
              </w:rPr>
            </w:pPr>
          </w:p>
        </w:tc>
        <w:tc>
          <w:tcPr>
            <w:tcW w:w="1840" w:type="dxa"/>
            <w:vAlign w:val="bottom"/>
            <w:tcBorders>
              <w:top w:val="single" w:sz="8" w:color="auto"/>
            </w:tcBorders>
          </w:tcPr>
          <w:p>
            <w:pPr>
              <w:spacing w:after="0"/>
              <w:rPr>
                <w:sz w:val="17"/>
                <w:szCs w:val="17"/>
                <w:color w:val="auto"/>
              </w:rPr>
            </w:pPr>
          </w:p>
        </w:tc>
        <w:tc>
          <w:tcPr>
            <w:tcW w:w="3080" w:type="dxa"/>
            <w:vAlign w:val="bottom"/>
            <w:tcBorders>
              <w:top w:val="single" w:sz="8" w:color="auto"/>
            </w:tcBorders>
          </w:tcPr>
          <w:p>
            <w:pPr>
              <w:spacing w:after="0"/>
              <w:rPr>
                <w:sz w:val="17"/>
                <w:szCs w:val="17"/>
                <w:color w:val="auto"/>
              </w:rPr>
            </w:pPr>
          </w:p>
        </w:tc>
        <w:tc>
          <w:tcPr>
            <w:tcW w:w="1020" w:type="dxa"/>
            <w:vAlign w:val="bottom"/>
          </w:tcPr>
          <w:p>
            <w:pPr>
              <w:spacing w:after="0"/>
              <w:rPr>
                <w:sz w:val="17"/>
                <w:szCs w:val="17"/>
                <w:color w:val="auto"/>
              </w:rPr>
            </w:pPr>
          </w:p>
        </w:tc>
        <w:tc>
          <w:tcPr>
            <w:tcW w:w="49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(Signed exactly as name appears</w:t>
            </w:r>
          </w:p>
        </w:tc>
        <w:tc>
          <w:tcPr>
            <w:tcW w:w="20" w:type="dxa"/>
            <w:vAlign w:val="bottom"/>
          </w:tcPr>
          <w:p>
            <w:pPr>
              <w:spacing w:after="0"/>
              <w:rPr>
                <w:sz w:val="17"/>
                <w:szCs w:val="17"/>
                <w:color w:val="auto"/>
              </w:rPr>
            </w:pPr>
          </w:p>
        </w:tc>
      </w:tr>
      <w:tr>
        <w:trPr>
          <w:trHeight w:val="230"/>
        </w:trPr>
        <w:tc>
          <w:tcPr>
            <w:tcW w:w="5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on the other side of this Security)</w:t>
            </w:r>
          </w:p>
        </w:tc>
        <w:tc>
          <w:tcPr>
            <w:tcW w:w="20" w:type="dxa"/>
            <w:vAlign w:val="bottom"/>
          </w:tcPr>
          <w:p>
            <w:pPr>
              <w:spacing w:after="0"/>
              <w:rPr>
                <w:sz w:val="20"/>
                <w:szCs w:val="20"/>
                <w:color w:val="auto"/>
              </w:rPr>
            </w:pPr>
          </w:p>
        </w:tc>
      </w:tr>
      <w:tr>
        <w:trPr>
          <w:trHeight w:val="709"/>
        </w:trPr>
        <w:tc>
          <w:tcPr>
            <w:tcW w:w="2420" w:type="dxa"/>
            <w:vAlign w:val="bottom"/>
            <w:gridSpan w:val="2"/>
          </w:tcPr>
          <w:p>
            <w:pPr>
              <w:spacing w:after="0"/>
              <w:rPr>
                <w:sz w:val="20"/>
                <w:szCs w:val="20"/>
                <w:color w:val="auto"/>
              </w:rPr>
            </w:pPr>
            <w:r>
              <w:rPr>
                <w:rFonts w:ascii="Arial" w:cs="Arial" w:eastAsia="Arial" w:hAnsi="Arial"/>
                <w:sz w:val="18"/>
                <w:szCs w:val="18"/>
                <w:color w:val="auto"/>
              </w:rPr>
              <w:t>Signature Guarantee:</w:t>
            </w:r>
          </w:p>
        </w:tc>
        <w:tc>
          <w:tcPr>
            <w:tcW w:w="30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2"/>
        </w:trPr>
        <w:tc>
          <w:tcPr>
            <w:tcW w:w="5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9000" w:type="dxa"/>
            <w:vAlign w:val="bottom"/>
            <w:gridSpan w:val="3"/>
          </w:tcPr>
          <w:p>
            <w:pPr>
              <w:spacing w:after="0" w:line="201" w:lineRule="exact"/>
              <w:rPr>
                <w:sz w:val="20"/>
                <w:szCs w:val="20"/>
                <w:color w:val="auto"/>
              </w:rPr>
            </w:pPr>
            <w:r>
              <w:rPr>
                <w:rFonts w:ascii="Arial" w:cs="Arial" w:eastAsia="Arial" w:hAnsi="Arial"/>
                <w:sz w:val="18"/>
                <w:szCs w:val="18"/>
                <w:color w:val="auto"/>
              </w:rPr>
              <w:t>Participant in a recognized Signature Guarantee</w:t>
            </w:r>
          </w:p>
        </w:tc>
        <w:tc>
          <w:tcPr>
            <w:tcW w:w="20" w:type="dxa"/>
            <w:vAlign w:val="bottom"/>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9000" w:type="dxa"/>
            <w:vAlign w:val="bottom"/>
            <w:gridSpan w:val="3"/>
          </w:tcPr>
          <w:p>
            <w:pPr>
              <w:spacing w:after="0"/>
              <w:rPr>
                <w:sz w:val="20"/>
                <w:szCs w:val="20"/>
                <w:color w:val="auto"/>
              </w:rPr>
            </w:pPr>
            <w:r>
              <w:rPr>
                <w:rFonts w:ascii="Arial" w:cs="Arial" w:eastAsia="Arial" w:hAnsi="Arial"/>
                <w:sz w:val="18"/>
                <w:szCs w:val="18"/>
                <w:color w:val="auto"/>
              </w:rPr>
              <w:t>Medallion Program (or other signature guarantor</w:t>
            </w:r>
          </w:p>
        </w:tc>
        <w:tc>
          <w:tcPr>
            <w:tcW w:w="2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9000" w:type="dxa"/>
            <w:vAlign w:val="bottom"/>
            <w:gridSpan w:val="3"/>
          </w:tcPr>
          <w:p>
            <w:pPr>
              <w:spacing w:after="0"/>
              <w:rPr>
                <w:sz w:val="20"/>
                <w:szCs w:val="20"/>
                <w:color w:val="auto"/>
              </w:rPr>
            </w:pPr>
            <w:r>
              <w:rPr>
                <w:rFonts w:ascii="Arial" w:cs="Arial" w:eastAsia="Arial" w:hAnsi="Arial"/>
                <w:sz w:val="18"/>
                <w:szCs w:val="18"/>
                <w:color w:val="auto"/>
              </w:rPr>
              <w:t>program reasonably acceptable to the Trustee)</w:t>
            </w:r>
          </w:p>
        </w:tc>
        <w:tc>
          <w:tcPr>
            <w:tcW w:w="20" w:type="dxa"/>
            <w:vAlign w:val="bottom"/>
          </w:tcPr>
          <w:p>
            <w:pPr>
              <w:spacing w:after="0"/>
              <w:rPr>
                <w:sz w:val="20"/>
                <w:szCs w:val="20"/>
                <w:color w:val="auto"/>
              </w:rPr>
            </w:pPr>
          </w:p>
        </w:tc>
      </w:tr>
      <w:tr>
        <w:trPr>
          <w:trHeight w:val="496"/>
        </w:trPr>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100" w:type="dxa"/>
            <w:vAlign w:val="bottom"/>
            <w:gridSpan w:val="2"/>
          </w:tcPr>
          <w:p>
            <w:pPr>
              <w:jc w:val="right"/>
              <w:ind w:right="610"/>
              <w:spacing w:after="0"/>
              <w:rPr>
                <w:sz w:val="20"/>
                <w:szCs w:val="20"/>
                <w:color w:val="auto"/>
              </w:rPr>
            </w:pPr>
            <w:r>
              <w:rPr>
                <w:rFonts w:ascii="Arial" w:cs="Arial" w:eastAsia="Arial" w:hAnsi="Arial"/>
                <w:sz w:val="22"/>
                <w:szCs w:val="22"/>
                <w:color w:val="auto"/>
              </w:rPr>
              <w:t>10</w:t>
            </w:r>
          </w:p>
        </w:tc>
        <w:tc>
          <w:tcPr>
            <w:tcW w:w="4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580" w:type="dxa"/>
            <w:vAlign w:val="bottom"/>
            <w:tcBorders>
              <w:bottom w:val="single" w:sz="8" w:color="808080"/>
            </w:tcBorders>
          </w:tcPr>
          <w:p>
            <w:pPr>
              <w:spacing w:after="0"/>
              <w:rPr>
                <w:sz w:val="9"/>
                <w:szCs w:val="9"/>
                <w:color w:val="auto"/>
              </w:rPr>
            </w:pPr>
          </w:p>
        </w:tc>
        <w:tc>
          <w:tcPr>
            <w:tcW w:w="1840" w:type="dxa"/>
            <w:vAlign w:val="bottom"/>
            <w:tcBorders>
              <w:bottom w:val="single" w:sz="8" w:color="808080"/>
            </w:tcBorders>
          </w:tcPr>
          <w:p>
            <w:pPr>
              <w:spacing w:after="0"/>
              <w:rPr>
                <w:sz w:val="9"/>
                <w:szCs w:val="9"/>
                <w:color w:val="auto"/>
              </w:rPr>
            </w:pPr>
          </w:p>
        </w:tc>
        <w:tc>
          <w:tcPr>
            <w:tcW w:w="30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49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517" w:right="219" w:bottom="1440" w:gutter="0" w:footer="0" w:header="0"/>
        </w:sectPr>
      </w:pPr>
    </w:p>
    <w:bookmarkStart w:id="28" w:name="page29"/>
    <w:bookmarkEnd w:id="2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u w:val="single" w:color="auto"/>
          <w:color w:val="auto"/>
        </w:rPr>
        <w:t>Exhibit 5.1</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[LETTERHEAD OF COMCAST CORPORATION]</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February 25, 2014</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19103-2838</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 am Senior Vice President, General Counsel and Secretary of Comcast Corporation, a Pennsylvania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have acted</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for the Company in connection with the issuance by the Company, pursuant to the Underwriting Agreement dated February 19, 2014 (the “</w:t>
      </w:r>
      <w:r>
        <w:rPr>
          <w:rFonts w:ascii="Arial" w:cs="Arial" w:eastAsia="Arial" w:hAnsi="Arial"/>
          <w:sz w:val="16"/>
          <w:szCs w:val="16"/>
          <w:b w:val="1"/>
          <w:bCs w:val="1"/>
          <w:color w:val="auto"/>
        </w:rPr>
        <w:t>Underwriting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Agreement</w:t>
      </w:r>
      <w:r>
        <w:rPr>
          <w:rFonts w:ascii="Arial" w:cs="Arial" w:eastAsia="Arial" w:hAnsi="Arial"/>
          <w:sz w:val="17"/>
          <w:szCs w:val="17"/>
          <w:color w:val="auto"/>
        </w:rPr>
        <w:t>”) among the Company, the Guarantors (as defined below) and BNP Paribas Securities Corp., Merrill Lynch, Pierce, Fenner &amp; Smith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Incorporated, RBC Capital Markets, LLC and Wells Fargo Securities, LLC, as representatives of the several underwriters named therein (the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Underwriters</w:t>
      </w:r>
      <w:r>
        <w:rPr>
          <w:rFonts w:ascii="Arial" w:cs="Arial" w:eastAsia="Arial" w:hAnsi="Arial"/>
          <w:sz w:val="16"/>
          <w:szCs w:val="16"/>
          <w:color w:val="auto"/>
        </w:rPr>
        <w:t>”), of $1,200,000,000 aggregate principal amount of its 3.60% Notes due 2024 and $1,000,000,000 aggregate principal amount of its 4.75%</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Notes due 2044 (collectively, the “</w:t>
      </w:r>
      <w:r>
        <w:rPr>
          <w:rFonts w:ascii="Arial" w:cs="Arial" w:eastAsia="Arial" w:hAnsi="Arial"/>
          <w:sz w:val="17"/>
          <w:szCs w:val="17"/>
          <w:b w:val="1"/>
          <w:bCs w:val="1"/>
          <w:color w:val="auto"/>
        </w:rPr>
        <w:t>Notes</w:t>
      </w:r>
      <w:r>
        <w:rPr>
          <w:rFonts w:ascii="Arial" w:cs="Arial" w:eastAsia="Arial" w:hAnsi="Arial"/>
          <w:sz w:val="17"/>
          <w:szCs w:val="17"/>
          <w:color w:val="auto"/>
        </w:rPr>
        <w:t>”). The Notes are to be issued pursuant to the provisions of the Indenture dated as of September 18, 2013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Indenture</w:t>
      </w:r>
      <w:r>
        <w:rPr>
          <w:rFonts w:ascii="Arial" w:cs="Arial" w:eastAsia="Arial" w:hAnsi="Arial"/>
          <w:sz w:val="16"/>
          <w:szCs w:val="16"/>
          <w:color w:val="auto"/>
        </w:rPr>
        <w:t>”) by and among the Company, the guarantors named therein (the “</w:t>
      </w:r>
      <w:r>
        <w:rPr>
          <w:rFonts w:ascii="Arial" w:cs="Arial" w:eastAsia="Arial" w:hAnsi="Arial"/>
          <w:sz w:val="16"/>
          <w:szCs w:val="16"/>
          <w:b w:val="1"/>
          <w:bCs w:val="1"/>
          <w:color w:val="auto"/>
        </w:rPr>
        <w:t>Guarantors</w:t>
      </w:r>
      <w:r>
        <w:rPr>
          <w:rFonts w:ascii="Arial" w:cs="Arial" w:eastAsia="Arial" w:hAnsi="Arial"/>
          <w:sz w:val="16"/>
          <w:szCs w:val="16"/>
          <w:color w:val="auto"/>
        </w:rPr>
        <w:t xml:space="preserve">”) and The Bank of New York Mellon, as trustee (the </w:t>
      </w:r>
      <w:r>
        <w:rPr>
          <w:rFonts w:ascii="Arial" w:cs="Arial" w:eastAsia="Arial" w:hAnsi="Arial"/>
          <w:sz w:val="16"/>
          <w:szCs w:val="16"/>
          <w:b w:val="1"/>
          <w:bCs w:val="1"/>
          <w:color w:val="auto"/>
        </w:rPr>
        <w:t>“Trustee”</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guaranteed on an unsecured and unsubordinated basis by the Guarantors.</w:t>
      </w:r>
    </w:p>
    <w:p>
      <w:pPr>
        <w:spacing w:after="0" w:line="23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I have examined originals or copies, certified or otherwise identified to my satisfaction, of such documents, corporate records, certificates of public officials and other instruments as I have deemed necessary or advisable for the purpose of rendering this opinion.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Based upon the foregoing, I am of the opinion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0" w:name="page31"/>
    <w:bookmarkEnd w:id="30"/>
    <w:p>
      <w:pPr>
        <w:spacing w:after="0"/>
        <w:tabs>
          <w:tab w:leader="none" w:pos="5660" w:val="left"/>
          <w:tab w:leader="none" w:pos="10080" w:val="left"/>
        </w:tabs>
        <w:rPr>
          <w:sz w:val="20"/>
          <w:szCs w:val="20"/>
          <w:color w:val="auto"/>
        </w:rPr>
      </w:pPr>
      <w:r>
        <w:rPr>
          <w:rFonts w:ascii="Arial" w:cs="Arial" w:eastAsia="Arial" w:hAnsi="Arial"/>
          <w:sz w:val="18"/>
          <w:szCs w:val="18"/>
          <w:color w:val="auto"/>
        </w:rPr>
        <w:t>Comcast Corporation</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February 25, 2014</w:t>
      </w:r>
    </w:p>
    <w:p>
      <w:pPr>
        <w:spacing w:after="0" w:line="200" w:lineRule="exact"/>
        <w:rPr>
          <w:sz w:val="20"/>
          <w:szCs w:val="20"/>
          <w:color w:val="auto"/>
        </w:rPr>
      </w:pPr>
    </w:p>
    <w:p>
      <w:pPr>
        <w:spacing w:after="0" w:line="295" w:lineRule="exact"/>
        <w:rPr>
          <w:sz w:val="20"/>
          <w:szCs w:val="20"/>
          <w:color w:val="auto"/>
        </w:rPr>
      </w:pPr>
    </w:p>
    <w:p>
      <w:pPr>
        <w:ind w:left="1280" w:hanging="624"/>
        <w:spacing w:after="0"/>
        <w:tabs>
          <w:tab w:leader="none" w:pos="12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Indenture has been duly authorized, executed and delivered by the Company.</w:t>
      </w:r>
    </w:p>
    <w:p>
      <w:pPr>
        <w:spacing w:after="0" w:line="252" w:lineRule="exact"/>
        <w:rPr>
          <w:rFonts w:ascii="Arial" w:cs="Arial" w:eastAsia="Arial" w:hAnsi="Arial"/>
          <w:sz w:val="18"/>
          <w:szCs w:val="18"/>
          <w:color w:val="auto"/>
        </w:rPr>
      </w:pPr>
    </w:p>
    <w:p>
      <w:pPr>
        <w:ind w:left="1280" w:hanging="624"/>
        <w:spacing w:after="0"/>
        <w:tabs>
          <w:tab w:leader="none" w:pos="12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Notes have been duly authorized by the Company.</w:t>
      </w:r>
    </w:p>
    <w:p>
      <w:pPr>
        <w:spacing w:after="0" w:line="252"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I am a member of the Bar of the Commonwealth of Pennsylvania and the foregoing opinion is limited to the laws of the Commonwealth of Pennsylvania and the federal laws of the United States of America.</w:t>
      </w:r>
    </w:p>
    <w:p>
      <w:pPr>
        <w:spacing w:after="0" w:line="197"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I hereby consent to the filing of this opinion as an exhibit to a report on Form 8-K filed by the Company on the date hereof and its incorporation by reference into the Company’s registration statement on Form S-3 filed on September 18, 2013, as amended on February 19, 2014 (File No. 333-191239). In addition, I consent to the reference to my name under the caption “Legal Matters” in the prospectus, which is a part of the registration statement. In giving this consent, I do not admit that I am in the category of persons whose consent is required under Section 7 of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355600</wp:posOffset>
            </wp:positionV>
            <wp:extent cx="7267575"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u w:val="single" w:color="auto"/>
          <w:color w:val="auto"/>
        </w:rPr>
        <w:t>Exhibit 5.2</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DAVIS POLK &amp; WARDWELL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19103-2838</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4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acted as counsel to Comcast Corporation, a Pennsylvania corporation (the “</w:t>
      </w:r>
      <w:r>
        <w:rPr>
          <w:rFonts w:ascii="Arial" w:cs="Arial" w:eastAsia="Arial" w:hAnsi="Arial"/>
          <w:sz w:val="18"/>
          <w:szCs w:val="18"/>
          <w:b w:val="1"/>
          <w:bCs w:val="1"/>
          <w:color w:val="auto"/>
        </w:rPr>
        <w:t>Company</w:t>
      </w:r>
      <w:r>
        <w:rPr>
          <w:rFonts w:ascii="Arial" w:cs="Arial" w:eastAsia="Arial" w:hAnsi="Arial"/>
          <w:sz w:val="18"/>
          <w:szCs w:val="18"/>
          <w:color w:val="auto"/>
        </w:rPr>
        <w:t>”) in connection with the issuance by the Company, pursuant to the Underwriting Agreement dated February 19, 2014 (the “</w:t>
      </w:r>
      <w:r>
        <w:rPr>
          <w:rFonts w:ascii="Arial" w:cs="Arial" w:eastAsia="Arial" w:hAnsi="Arial"/>
          <w:sz w:val="18"/>
          <w:szCs w:val="18"/>
          <w:b w:val="1"/>
          <w:bCs w:val="1"/>
          <w:color w:val="auto"/>
        </w:rPr>
        <w:t>Underwriting Agreement</w:t>
      </w:r>
      <w:r>
        <w:rPr>
          <w:rFonts w:ascii="Arial" w:cs="Arial" w:eastAsia="Arial" w:hAnsi="Arial"/>
          <w:sz w:val="18"/>
          <w:szCs w:val="18"/>
          <w:color w:val="auto"/>
        </w:rPr>
        <w:t>”) among the Company, the Guarantors (as defined below) and BNP Paribas Securities Corp., Merrill Lynch, Pierce, Fenner &amp; Smith Incorporated, RBC Capital Markets, LLC and Wells Fargo Securities, LLC, as representatives of the several underwriters named therein (the “</w:t>
      </w:r>
      <w:r>
        <w:rPr>
          <w:rFonts w:ascii="Arial" w:cs="Arial" w:eastAsia="Arial" w:hAnsi="Arial"/>
          <w:sz w:val="18"/>
          <w:szCs w:val="18"/>
          <w:b w:val="1"/>
          <w:bCs w:val="1"/>
          <w:color w:val="auto"/>
        </w:rPr>
        <w:t>Underwriters</w:t>
      </w:r>
      <w:r>
        <w:rPr>
          <w:rFonts w:ascii="Arial" w:cs="Arial" w:eastAsia="Arial" w:hAnsi="Arial"/>
          <w:sz w:val="18"/>
          <w:szCs w:val="18"/>
          <w:color w:val="auto"/>
        </w:rPr>
        <w:t>”), of $1,200,000,000 aggregate principal amount of its 3.60% Notes due 2024 and $1,000,000,000 aggregate principal amount of its 4.75% Notes due 2044 (collectively, the “</w:t>
      </w:r>
      <w:r>
        <w:rPr>
          <w:rFonts w:ascii="Arial" w:cs="Arial" w:eastAsia="Arial" w:hAnsi="Arial"/>
          <w:sz w:val="18"/>
          <w:szCs w:val="18"/>
          <w:b w:val="1"/>
          <w:bCs w:val="1"/>
          <w:color w:val="auto"/>
        </w:rPr>
        <w:t>Notes</w:t>
      </w:r>
      <w:r>
        <w:rPr>
          <w:rFonts w:ascii="Arial" w:cs="Arial" w:eastAsia="Arial" w:hAnsi="Arial"/>
          <w:sz w:val="18"/>
          <w:szCs w:val="18"/>
          <w:color w:val="auto"/>
        </w:rPr>
        <w:t>”). The Notes are to be issued pursuant to the provisions of the Indenture dated as of September 18, 2013 (the “</w:t>
      </w:r>
      <w:r>
        <w:rPr>
          <w:rFonts w:ascii="Arial" w:cs="Arial" w:eastAsia="Arial" w:hAnsi="Arial"/>
          <w:sz w:val="18"/>
          <w:szCs w:val="18"/>
          <w:b w:val="1"/>
          <w:bCs w:val="1"/>
          <w:color w:val="auto"/>
        </w:rPr>
        <w:t>Indenture</w:t>
      </w:r>
      <w:r>
        <w:rPr>
          <w:rFonts w:ascii="Arial" w:cs="Arial" w:eastAsia="Arial" w:hAnsi="Arial"/>
          <w:sz w:val="18"/>
          <w:szCs w:val="18"/>
          <w:color w:val="auto"/>
        </w:rPr>
        <w:t>”) by and among the Company, the guarantors named therein (the “</w:t>
      </w:r>
      <w:r>
        <w:rPr>
          <w:rFonts w:ascii="Arial" w:cs="Arial" w:eastAsia="Arial" w:hAnsi="Arial"/>
          <w:sz w:val="18"/>
          <w:szCs w:val="18"/>
          <w:b w:val="1"/>
          <w:bCs w:val="1"/>
          <w:color w:val="auto"/>
        </w:rPr>
        <w:t>Guarantors</w:t>
      </w:r>
      <w:r>
        <w:rPr>
          <w:rFonts w:ascii="Arial" w:cs="Arial" w:eastAsia="Arial" w:hAnsi="Arial"/>
          <w:sz w:val="18"/>
          <w:szCs w:val="18"/>
          <w:color w:val="auto"/>
        </w:rPr>
        <w:t>”) and The Bank of New York Mellon, as trustee (the “</w:t>
      </w:r>
      <w:r>
        <w:rPr>
          <w:rFonts w:ascii="Arial" w:cs="Arial" w:eastAsia="Arial" w:hAnsi="Arial"/>
          <w:sz w:val="18"/>
          <w:szCs w:val="18"/>
          <w:b w:val="1"/>
          <w:bCs w:val="1"/>
          <w:color w:val="auto"/>
        </w:rPr>
        <w:t>Trustee</w:t>
      </w:r>
      <w:r>
        <w:rPr>
          <w:rFonts w:ascii="Arial" w:cs="Arial" w:eastAsia="Arial" w:hAnsi="Arial"/>
          <w:sz w:val="18"/>
          <w:szCs w:val="18"/>
          <w:color w:val="auto"/>
        </w:rPr>
        <w:t>”), and guaranteed (the “</w:t>
      </w:r>
      <w:r>
        <w:rPr>
          <w:rFonts w:ascii="Arial" w:cs="Arial" w:eastAsia="Arial" w:hAnsi="Arial"/>
          <w:sz w:val="18"/>
          <w:szCs w:val="18"/>
          <w:b w:val="1"/>
          <w:bCs w:val="1"/>
          <w:color w:val="auto"/>
        </w:rPr>
        <w:t>Guarantees</w:t>
      </w:r>
      <w:r>
        <w:rPr>
          <w:rFonts w:ascii="Arial" w:cs="Arial" w:eastAsia="Arial" w:hAnsi="Arial"/>
          <w:sz w:val="18"/>
          <w:szCs w:val="18"/>
          <w:color w:val="auto"/>
        </w:rPr>
        <w:t>”) on an unsecured and unsubordinated basis by the Guarantors.</w:t>
      </w:r>
    </w:p>
    <w:p>
      <w:pPr>
        <w:spacing w:after="0" w:line="21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9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rendering the opinion expressed herein, we have, without independent inquiry or investigation, assumed that (i) all documents submitted to us as originals are authentic and complete, (ii) all documents submitted to us as copies conform to authentic, complete originals, (iii) all signatures on all documents that we reviewed are genuine, (iv) all natural persons executing documents had and have the legal capacity to do so, (v) all statements in certificates of public officials and officers of the Company and the Guarantors that we reviewed were and are accurate and (vi) all representations made by the Company and the Guarantors as to matters of fact in the documents that we reviewed were and are accurate.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Based on the foregoing, and subject to the additional assumptions and qualifications set forth below, we advise you that, in our opinion:</w:t>
      </w:r>
    </w:p>
    <w:p>
      <w:pPr>
        <w:spacing w:after="0" w:line="252" w:lineRule="exact"/>
        <w:rPr>
          <w:sz w:val="20"/>
          <w:szCs w:val="20"/>
          <w:color w:val="auto"/>
        </w:rPr>
      </w:pPr>
    </w:p>
    <w:p>
      <w:pPr>
        <w:ind w:left="700" w:hanging="692"/>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Assuming the Indenture has been duly authorized, executed and delivered by the Trustee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32" w:name="page33"/>
    <w:bookmarkEnd w:id="32"/>
    <w:p>
      <w:pPr>
        <w:spacing w:after="0"/>
        <w:tabs>
          <w:tab w:leader="none" w:pos="5660" w:val="left"/>
          <w:tab w:leader="none" w:pos="10080" w:val="left"/>
        </w:tabs>
        <w:rPr>
          <w:sz w:val="20"/>
          <w:szCs w:val="20"/>
          <w:color w:val="auto"/>
        </w:rPr>
      </w:pPr>
      <w:r>
        <w:rPr>
          <w:rFonts w:ascii="Arial" w:cs="Arial" w:eastAsia="Arial" w:hAnsi="Arial"/>
          <w:sz w:val="18"/>
          <w:szCs w:val="18"/>
          <w:color w:val="auto"/>
        </w:rPr>
        <w:t>Comcast Corporation</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February 25, 2014</w:t>
      </w:r>
    </w:p>
    <w:p>
      <w:pPr>
        <w:spacing w:after="0" w:line="25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Company, the Indenture is a valid and binding agreement of the Company and the Guarantors, enforceable against the Company and the Guarantors in accordance with its terms, subject to applicable bankruptcy, insolvency and similar laws affecting creditors’ rights generally, concepts of reasonableness and equitable principles of general applicability, provided that we express no opinion as to (i) the effect of fraudulent conveyance, fraudulent transfer or similar provision of applicable law on the conclusions expressed above, (ii) any provision of the Indenture that purports to avoid the effect of fraudulent conveyance, fraudulent transfer or similar provision of applicable law by limiting the amount of any Guarantor’s obligation or (iii) the validity, legally binding effect or enforceability of any provision that permits holders to collect any portion of stated principal amount upon acceleration of the Notes to the extent determined to constitute unearned interest.</w:t>
      </w:r>
    </w:p>
    <w:p>
      <w:pPr>
        <w:spacing w:after="0" w:line="216" w:lineRule="exact"/>
        <w:rPr>
          <w:sz w:val="20"/>
          <w:szCs w:val="20"/>
          <w:color w:val="auto"/>
        </w:rPr>
      </w:pPr>
    </w:p>
    <w:p>
      <w:pPr>
        <w:ind w:right="80" w:firstLine="8"/>
        <w:spacing w:after="0" w:line="290" w:lineRule="auto"/>
        <w:tabs>
          <w:tab w:leader="none" w:pos="702"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Guarantees have been duly authorized, and, assuming the Notes have been duly authorized by the Company, when the Notes have been duly executed and authenticated in accordance with the provisions of the Indenture and delivered to and paid for by the Underwriters in accordance with the terms of the Underwriting Agreement, the Notes will be valid and binding obligations of the Company and the Guarantees will be valid and binding obligations of the Guarantors, in each case enforceable against the Guarantors in accordance with their terms, subject to applicable bankruptcy, insolvency and similar laws affecting creditors’ rights generally, concepts of reasonableness and equitable principles of general applicability, and will be entitled to the benefits of the Indenture, provided that we express no opinion as to (i) the effect of fraudulent conveyance, fraudulent transfer or similar provision of applicable law on the conclusions expressed above or (ii) the validity, legally binding effect or enforceability of any provision that permits holders to collect any portion of stated principal amount upon acceleration of the Notes to the extent determined to constitute unearned interest.</w:t>
      </w:r>
    </w:p>
    <w:p>
      <w:pPr>
        <w:spacing w:after="0" w:line="19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connection with the opinions expressed above, we have assumed that the Company is validly existing as a corporation in good standing under the laws of the State of Pennsylvania. In addition, we have assumed that the Indenture and the Notes (collectively, the “</w:t>
      </w:r>
      <w:r>
        <w:rPr>
          <w:rFonts w:ascii="Arial" w:cs="Arial" w:eastAsia="Arial" w:hAnsi="Arial"/>
          <w:sz w:val="17"/>
          <w:szCs w:val="17"/>
          <w:b w:val="1"/>
          <w:bCs w:val="1"/>
          <w:color w:val="auto"/>
        </w:rPr>
        <w:t>Documents</w:t>
      </w:r>
      <w:r>
        <w:rPr>
          <w:rFonts w:ascii="Arial" w:cs="Arial" w:eastAsia="Arial" w:hAnsi="Arial"/>
          <w:sz w:val="17"/>
          <w:szCs w:val="17"/>
          <w:color w:val="auto"/>
        </w:rPr>
        <w:t>”) are valid, binding and enforceable agreements of each party thereto (other than as expressly covered above in respect of the Company and the Guarantors). We have also assumed that the execution, delivery and performance by each party to each Document to which it is a party (a) are within its corporate powers, (b) do not contravene, or constitute a default under, the certificate of incorporation or bylaws or other constitutive documents of such party, (c) require no action by or in respect of, or filing with, any governmental body, agency or official and (d) do not contravene, or constitute a default under, any provision of applicable law or regulation or any judgment, injunction, order or decree or any agreement or other instrument binding upon such party, provided that we make no such assumption to the extent that we have specifically opined as to such matters with respect to the Company and each Guarantor.</w:t>
      </w:r>
    </w:p>
    <w:p>
      <w:pPr>
        <w:spacing w:after="0" w:line="20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are members of the Bar of the States of New York and California and the foregoing opinion is limited to the laws of the State of New York and the General Corporation Law of the State of Delaware, except that we express no opinion as to any law, rule or regulation that is applicable to the Company or the Guarantors, the Documents or such transactions solely because such law, rule or regulation is part of a regulatory regime applicable to any party to any of the Documents or any of its affiliates due to the specific assets or business of such party or such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390525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3" w:name="page34"/>
    <w:bookmarkEnd w:id="33"/>
    <w:p>
      <w:pPr>
        <w:spacing w:after="0"/>
        <w:tabs>
          <w:tab w:leader="none" w:pos="5660" w:val="left"/>
          <w:tab w:leader="none" w:pos="10080" w:val="left"/>
        </w:tabs>
        <w:rPr>
          <w:sz w:val="20"/>
          <w:szCs w:val="20"/>
          <w:color w:val="auto"/>
        </w:rPr>
      </w:pPr>
      <w:r>
        <w:rPr>
          <w:rFonts w:ascii="Arial" w:cs="Arial" w:eastAsia="Arial" w:hAnsi="Arial"/>
          <w:sz w:val="18"/>
          <w:szCs w:val="18"/>
          <w:color w:val="auto"/>
        </w:rPr>
        <w:t>Comcast Corporation</w:t>
      </w:r>
      <w:r>
        <w:rPr>
          <w:sz w:val="20"/>
          <w:szCs w:val="20"/>
          <w:color w:val="auto"/>
        </w:rPr>
        <w:tab/>
      </w:r>
      <w:r>
        <w:rPr>
          <w:rFonts w:ascii="Arial" w:cs="Arial" w:eastAsia="Arial" w:hAnsi="Arial"/>
          <w:sz w:val="18"/>
          <w:szCs w:val="18"/>
          <w:color w:val="auto"/>
        </w:rPr>
        <w:t>3</w:t>
      </w:r>
      <w:r>
        <w:rPr>
          <w:sz w:val="20"/>
          <w:szCs w:val="20"/>
          <w:color w:val="auto"/>
        </w:rPr>
        <w:tab/>
      </w:r>
      <w:r>
        <w:rPr>
          <w:rFonts w:ascii="Arial" w:cs="Arial" w:eastAsia="Arial" w:hAnsi="Arial"/>
          <w:sz w:val="16"/>
          <w:szCs w:val="16"/>
          <w:color w:val="auto"/>
        </w:rPr>
        <w:t>February 25, 2014</w:t>
      </w:r>
    </w:p>
    <w:p>
      <w:pPr>
        <w:spacing w:after="0" w:line="200" w:lineRule="exact"/>
        <w:rPr>
          <w:sz w:val="20"/>
          <w:szCs w:val="20"/>
          <w:color w:val="auto"/>
        </w:rPr>
      </w:pPr>
    </w:p>
    <w:p>
      <w:pPr>
        <w:spacing w:after="0" w:line="295"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We hereby consent to the filing of this opinion as an exhibit to a report on Form 8-K filed by the Company on the date hereof and its incorporation by reference into the Company’s registration statement on Form S-3 filed on September 18, 2013, as amended on February 19, 2014 (File No. 333-191239). In addition, we consent to the reference to our name under the caption “Legal Matters” in the prospectus, which is a part of the registration statement. In giving this consent, we do not admit that we are in the category of persons whose consent is required under Section 7 of the Securities Act of 1933, as amended.</w:t>
      </w:r>
    </w:p>
    <w:p>
      <w:pPr>
        <w:spacing w:after="0" w:line="200" w:lineRule="exact"/>
        <w:rPr>
          <w:sz w:val="20"/>
          <w:szCs w:val="20"/>
          <w:color w:val="auto"/>
        </w:rPr>
      </w:pPr>
    </w:p>
    <w:p>
      <w:pPr>
        <w:spacing w:after="0" w:line="224"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Very truly yours,</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 Davis Polk &amp; Wardwell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67575"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3AB105"/>
    <w:multiLevelType w:val="hybridMultilevel"/>
    <w:lvl w:ilvl="0">
      <w:lvlJc w:val="left"/>
      <w:lvlText w:val="o"/>
      <w:numFmt w:val="bullet"/>
      <w:start w:val="1"/>
    </w:lvl>
  </w:abstractNum>
  <w:abstractNum w:abstractNumId="1">
    <w:nsid w:val="721DA317"/>
    <w:multiLevelType w:val="hybridMultilevel"/>
    <w:lvl w:ilvl="0">
      <w:lvlJc w:val="left"/>
      <w:lvlText w:val="%1."/>
      <w:numFmt w:val="decimal"/>
      <w:start w:val="1"/>
    </w:lvl>
  </w:abstractNum>
  <w:abstractNum w:abstractNumId="2">
    <w:nsid w:val="2443A858"/>
    <w:multiLevelType w:val="hybridMultilevel"/>
    <w:lvl w:ilvl="0">
      <w:lvlJc w:val="left"/>
      <w:lvlText w:val="%1."/>
      <w:numFmt w:val="decimal"/>
      <w:start w:val="2"/>
    </w:lvl>
  </w:abstractNum>
  <w:abstractNum w:abstractNumId="3">
    <w:nsid w:val="2D1D5AE9"/>
    <w:multiLevelType w:val="hybridMultilevel"/>
    <w:lvl w:ilvl="0">
      <w:lvlJc w:val="left"/>
      <w:lvlText w:val="%1."/>
      <w:numFmt w:val="decimal"/>
      <w:start w:val="3"/>
    </w:lvl>
  </w:abstractNum>
  <w:abstractNum w:abstractNumId="4">
    <w:nsid w:val="6763845E"/>
    <w:multiLevelType w:val="hybridMultilevel"/>
    <w:lvl w:ilvl="0">
      <w:lvlJc w:val="left"/>
      <w:lvlText w:val="%1."/>
      <w:numFmt w:val="decimal"/>
      <w:start w:val="4"/>
    </w:lvl>
  </w:abstractNum>
  <w:abstractNum w:abstractNumId="5">
    <w:nsid w:val="75A2A8D4"/>
    <w:multiLevelType w:val="hybridMultilevel"/>
    <w:lvl w:ilvl="0">
      <w:lvlJc w:val="left"/>
      <w:lvlText w:val="%1."/>
      <w:numFmt w:val="decimal"/>
      <w:start w:val="5"/>
    </w:lvl>
  </w:abstractNum>
  <w:abstractNum w:abstractNumId="6">
    <w:nsid w:val="8EDBDAB"/>
    <w:multiLevelType w:val="hybridMultilevel"/>
    <w:lvl w:ilvl="0">
      <w:lvlJc w:val="left"/>
      <w:lvlText w:val="%1."/>
      <w:numFmt w:val="decimal"/>
      <w:start w:val="6"/>
    </w:lvl>
  </w:abstractNum>
  <w:abstractNum w:abstractNumId="7">
    <w:nsid w:val="79838CB2"/>
    <w:multiLevelType w:val="hybridMultilevel"/>
    <w:lvl w:ilvl="0">
      <w:lvlJc w:val="left"/>
      <w:lvlText w:val="%1."/>
      <w:numFmt w:val="decimal"/>
      <w:start w:val="7"/>
    </w:lvl>
  </w:abstractNum>
  <w:abstractNum w:abstractNumId="8">
    <w:nsid w:val="4353D0CD"/>
    <w:multiLevelType w:val="hybridMultilevel"/>
    <w:lvl w:ilvl="0">
      <w:lvlJc w:val="left"/>
      <w:lvlText w:val="%1."/>
      <w:numFmt w:val="decimal"/>
      <w:start w:val="8"/>
    </w:lvl>
  </w:abstractNum>
  <w:abstractNum w:abstractNumId="9">
    <w:nsid w:val="B03E0C6"/>
    <w:multiLevelType w:val="hybridMultilevel"/>
    <w:lvl w:ilvl="0">
      <w:lvlJc w:val="left"/>
      <w:lvlText w:val="%1."/>
      <w:numFmt w:val="decimal"/>
      <w:start w:val="9"/>
    </w:lvl>
  </w:abstractNum>
  <w:abstractNum w:abstractNumId="10">
    <w:nsid w:val="189A769B"/>
    <w:multiLevelType w:val="hybridMultilevel"/>
    <w:lvl w:ilvl="0">
      <w:lvlJc w:val="left"/>
      <w:lvlText w:val="%1."/>
      <w:numFmt w:val="decimal"/>
      <w:start w:val="10"/>
    </w:lvl>
  </w:abstractNum>
  <w:abstractNum w:abstractNumId="11">
    <w:nsid w:val="54E49EB4"/>
    <w:multiLevelType w:val="hybridMultilevel"/>
    <w:lvl w:ilvl="0">
      <w:lvlJc w:val="left"/>
      <w:lvlText w:val="%1."/>
      <w:numFmt w:val="decimal"/>
      <w:start w:val="11"/>
    </w:lvl>
  </w:abstractNum>
  <w:abstractNum w:abstractNumId="12">
    <w:nsid w:val="71F32454"/>
    <w:multiLevelType w:val="hybridMultilevel"/>
    <w:lvl w:ilvl="0">
      <w:lvlJc w:val="left"/>
      <w:lvlText w:val="%1."/>
      <w:numFmt w:val="decimal"/>
      <w:start w:val="12"/>
    </w:lvl>
  </w:abstractNum>
  <w:abstractNum w:abstractNumId="13">
    <w:nsid w:val="2CA88611"/>
    <w:multiLevelType w:val="hybridMultilevel"/>
    <w:lvl w:ilvl="0">
      <w:lvlJc w:val="left"/>
      <w:lvlText w:val="%1."/>
      <w:numFmt w:val="decimal"/>
      <w:start w:val="13"/>
    </w:lvl>
  </w:abstractNum>
  <w:abstractNum w:abstractNumId="14">
    <w:nsid w:val="836C40E"/>
    <w:multiLevelType w:val="hybridMultilevel"/>
    <w:lvl w:ilvl="0">
      <w:lvlJc w:val="left"/>
      <w:lvlText w:val="%1."/>
      <w:numFmt w:val="decimal"/>
      <w:start w:val="14"/>
    </w:lvl>
  </w:abstractNum>
  <w:abstractNum w:abstractNumId="15">
    <w:nsid w:val="2901D82"/>
    <w:multiLevelType w:val="hybridMultilevel"/>
    <w:lvl w:ilvl="0">
      <w:lvlJc w:val="left"/>
      <w:lvlText w:val="%1."/>
      <w:numFmt w:val="decimal"/>
      <w:start w:val="15"/>
    </w:lvl>
  </w:abstractNum>
  <w:abstractNum w:abstractNumId="16">
    <w:nsid w:val="3A95F874"/>
    <w:multiLevelType w:val="hybridMultilevel"/>
    <w:lvl w:ilvl="0">
      <w:lvlJc w:val="left"/>
      <w:lvlText w:val="%1."/>
      <w:numFmt w:val="decimal"/>
      <w:start w:val="16"/>
    </w:lvl>
  </w:abstractNum>
  <w:abstractNum w:abstractNumId="17">
    <w:nsid w:val="8138641"/>
    <w:multiLevelType w:val="hybridMultilevel"/>
    <w:lvl w:ilvl="0">
      <w:lvlJc w:val="left"/>
      <w:lvlText w:val="%1."/>
      <w:numFmt w:val="decimal"/>
      <w:start w:val="17"/>
    </w:lvl>
  </w:abstractNum>
  <w:abstractNum w:abstractNumId="18">
    <w:nsid w:val="1E7FF521"/>
    <w:multiLevelType w:val="hybridMultilevel"/>
    <w:lvl w:ilvl="0">
      <w:lvlJc w:val="left"/>
      <w:lvlText w:val="%1."/>
      <w:numFmt w:val="decimal"/>
      <w:start w:val="18"/>
    </w:lvl>
  </w:abstractNum>
  <w:abstractNum w:abstractNumId="19">
    <w:nsid w:val="7C3DBD3D"/>
    <w:multiLevelType w:val="hybridMultilevel"/>
    <w:lvl w:ilvl="0">
      <w:lvlJc w:val="left"/>
      <w:lvlText w:val="%1."/>
      <w:numFmt w:val="decimal"/>
      <w:start w:val="19"/>
    </w:lvl>
  </w:abstractNum>
  <w:abstractNum w:abstractNumId="20">
    <w:nsid w:val="737B8DDC"/>
    <w:multiLevelType w:val="hybridMultilevel"/>
    <w:lvl w:ilvl="0">
      <w:lvlJc w:val="left"/>
      <w:lvlText w:val="%1."/>
      <w:numFmt w:val="decimal"/>
      <w:start w:val="1"/>
    </w:lvl>
  </w:abstractNum>
  <w:abstractNum w:abstractNumId="21">
    <w:nsid w:val="6CEAF087"/>
    <w:multiLevelType w:val="hybridMultilevel"/>
    <w:lvl w:ilvl="0">
      <w:lvlJc w:val="left"/>
      <w:lvlText w:val="%1."/>
      <w:numFmt w:val="decimal"/>
      <w:start w:val="2"/>
    </w:lvl>
  </w:abstractNum>
  <w:abstractNum w:abstractNumId="22">
    <w:nsid w:val="22221A70"/>
    <w:multiLevelType w:val="hybridMultilevel"/>
    <w:lvl w:ilvl="0">
      <w:lvlJc w:val="left"/>
      <w:lvlText w:val="%1."/>
      <w:numFmt w:val="decimal"/>
      <w:start w:val="3"/>
    </w:lvl>
  </w:abstractNum>
  <w:abstractNum w:abstractNumId="23">
    <w:nsid w:val="4516DDE9"/>
    <w:multiLevelType w:val="hybridMultilevel"/>
    <w:lvl w:ilvl="0">
      <w:lvlJc w:val="left"/>
      <w:lvlText w:val="%1."/>
      <w:numFmt w:val="decimal"/>
      <w:start w:val="4"/>
    </w:lvl>
  </w:abstractNum>
  <w:abstractNum w:abstractNumId="24">
    <w:nsid w:val="3006C83E"/>
    <w:multiLevelType w:val="hybridMultilevel"/>
    <w:lvl w:ilvl="0">
      <w:lvlJc w:val="left"/>
      <w:lvlText w:val="%1."/>
      <w:numFmt w:val="decimal"/>
      <w:start w:val="5"/>
    </w:lvl>
  </w:abstractNum>
  <w:abstractNum w:abstractNumId="25">
    <w:nsid w:val="614FD4A1"/>
    <w:multiLevelType w:val="hybridMultilevel"/>
    <w:lvl w:ilvl="0">
      <w:lvlJc w:val="left"/>
      <w:lvlText w:val="%1."/>
      <w:numFmt w:val="decimal"/>
      <w:start w:val="6"/>
    </w:lvl>
  </w:abstractNum>
  <w:abstractNum w:abstractNumId="26">
    <w:nsid w:val="419AC241"/>
    <w:multiLevelType w:val="hybridMultilevel"/>
    <w:lvl w:ilvl="0">
      <w:lvlJc w:val="left"/>
      <w:lvlText w:val="%1."/>
      <w:numFmt w:val="decimal"/>
      <w:start w:val="7"/>
    </w:lvl>
  </w:abstractNum>
  <w:abstractNum w:abstractNumId="27">
    <w:nsid w:val="5577F8E1"/>
    <w:multiLevelType w:val="hybridMultilevel"/>
    <w:lvl w:ilvl="0">
      <w:lvlJc w:val="left"/>
      <w:lvlText w:val="%1."/>
      <w:numFmt w:val="decimal"/>
      <w:start w:val="8"/>
    </w:lvl>
  </w:abstractNum>
  <w:abstractNum w:abstractNumId="28">
    <w:nsid w:val="440BADFC"/>
    <w:multiLevelType w:val="hybridMultilevel"/>
    <w:lvl w:ilvl="0">
      <w:lvlJc w:val="left"/>
      <w:lvlText w:val="%1."/>
      <w:numFmt w:val="decimal"/>
      <w:start w:val="9"/>
    </w:lvl>
  </w:abstractNum>
  <w:abstractNum w:abstractNumId="29">
    <w:nsid w:val="5072367"/>
    <w:multiLevelType w:val="hybridMultilevel"/>
    <w:lvl w:ilvl="0">
      <w:lvlJc w:val="left"/>
      <w:lvlText w:val="%1."/>
      <w:numFmt w:val="decimal"/>
      <w:start w:val="10"/>
    </w:lvl>
  </w:abstractNum>
  <w:abstractNum w:abstractNumId="30">
    <w:nsid w:val="3804823E"/>
    <w:multiLevelType w:val="hybridMultilevel"/>
    <w:lvl w:ilvl="0">
      <w:lvlJc w:val="left"/>
      <w:lvlText w:val="%1."/>
      <w:numFmt w:val="decimal"/>
      <w:start w:val="11"/>
    </w:lvl>
  </w:abstractNum>
  <w:abstractNum w:abstractNumId="31">
    <w:nsid w:val="77465F01"/>
    <w:multiLevelType w:val="hybridMultilevel"/>
    <w:lvl w:ilvl="0">
      <w:lvlJc w:val="left"/>
      <w:lvlText w:val="%1."/>
      <w:numFmt w:val="decimal"/>
      <w:start w:val="12"/>
    </w:lvl>
  </w:abstractNum>
  <w:abstractNum w:abstractNumId="32">
    <w:nsid w:val="7724C67E"/>
    <w:multiLevelType w:val="hybridMultilevel"/>
    <w:lvl w:ilvl="0">
      <w:lvlJc w:val="left"/>
      <w:lvlText w:val="%1."/>
      <w:numFmt w:val="decimal"/>
      <w:start w:val="13"/>
    </w:lvl>
  </w:abstractNum>
  <w:abstractNum w:abstractNumId="33">
    <w:nsid w:val="5C482A97"/>
    <w:multiLevelType w:val="hybridMultilevel"/>
    <w:lvl w:ilvl="0">
      <w:lvlJc w:val="left"/>
      <w:lvlText w:val="%1."/>
      <w:numFmt w:val="decimal"/>
      <w:start w:val="14"/>
    </w:lvl>
  </w:abstractNum>
  <w:abstractNum w:abstractNumId="34">
    <w:nsid w:val="2463B9EA"/>
    <w:multiLevelType w:val="hybridMultilevel"/>
    <w:lvl w:ilvl="0">
      <w:lvlJc w:val="left"/>
      <w:lvlText w:val="%1."/>
      <w:numFmt w:val="decimal"/>
      <w:start w:val="15"/>
    </w:lvl>
  </w:abstractNum>
  <w:abstractNum w:abstractNumId="35">
    <w:nsid w:val="5E884ADC"/>
    <w:multiLevelType w:val="hybridMultilevel"/>
    <w:lvl w:ilvl="0">
      <w:lvlJc w:val="left"/>
      <w:lvlText w:val="%1."/>
      <w:numFmt w:val="decimal"/>
      <w:start w:val="16"/>
    </w:lvl>
  </w:abstractNum>
  <w:abstractNum w:abstractNumId="36">
    <w:nsid w:val="51EAD36B"/>
    <w:multiLevelType w:val="hybridMultilevel"/>
    <w:lvl w:ilvl="0">
      <w:lvlJc w:val="left"/>
      <w:lvlText w:val="%1."/>
      <w:numFmt w:val="decimal"/>
      <w:start w:val="17"/>
    </w:lvl>
  </w:abstractNum>
  <w:abstractNum w:abstractNumId="37">
    <w:nsid w:val="2D517796"/>
    <w:multiLevelType w:val="hybridMultilevel"/>
    <w:lvl w:ilvl="0">
      <w:lvlJc w:val="left"/>
      <w:lvlText w:val="%1."/>
      <w:numFmt w:val="decimal"/>
      <w:start w:val="18"/>
    </w:lvl>
  </w:abstractNum>
  <w:abstractNum w:abstractNumId="38">
    <w:nsid w:val="580BD78F"/>
    <w:multiLevelType w:val="hybridMultilevel"/>
    <w:lvl w:ilvl="0">
      <w:lvlJc w:val="left"/>
      <w:lvlText w:val="%1."/>
      <w:numFmt w:val="decimal"/>
      <w:start w:val="19"/>
    </w:lvl>
  </w:abstractNum>
  <w:abstractNum w:abstractNumId="39">
    <w:nsid w:val="153EA438"/>
    <w:multiLevelType w:val="hybridMultilevel"/>
    <w:lvl w:ilvl="0">
      <w:lvlJc w:val="left"/>
      <w:lvlText w:val="%1."/>
      <w:numFmt w:val="decimal"/>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2019-12-07T03:28:08Z</dcterms:created>
  <dcterms:modified xsi:type="dcterms:W3CDTF">2019-12-07T03:28:08Z</dcterms:modified>
</cp:coreProperties>
</file>