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March 31, 2016, there were 2,417,751,218 shares of Comcast Corporation Class A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80" w:type="dxa"/>
            <w:vAlign w:val="bottom"/>
            <w:gridSpan w:val="18"/>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gridSpan w:val="2"/>
          </w:tcPr>
          <w:p>
            <w:pPr>
              <w:ind w:left="200"/>
              <w:spacing w:after="0" w:line="190" w:lineRule="exact"/>
              <w:rPr>
                <w:sz w:val="20"/>
                <w:szCs w:val="20"/>
                <w:color w:val="auto"/>
              </w:rPr>
            </w:pPr>
            <w:r>
              <w:rPr>
                <w:rFonts w:ascii="Arial" w:cs="Arial" w:eastAsia="Arial" w:hAnsi="Arial"/>
                <w:sz w:val="18"/>
                <w:szCs w:val="18"/>
                <w:b w:val="1"/>
                <w:bCs w:val="1"/>
                <w:color w:val="auto"/>
              </w:rPr>
              <w:t>Item 1.</w:t>
            </w:r>
          </w:p>
        </w:tc>
        <w:tc>
          <w:tcPr>
            <w:tcW w:w="9360" w:type="dxa"/>
            <w:vAlign w:val="bottom"/>
            <w:gridSpan w:val="16"/>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Comcast Corporation Financial Statements</w:t>
              </w:r>
            </w:hyperlink>
          </w:p>
        </w:tc>
        <w:tc>
          <w:tcPr>
            <w:tcW w:w="720" w:type="dxa"/>
            <w:vAlign w:val="bottom"/>
          </w:tcPr>
          <w:p>
            <w:pPr>
              <w:jc w:val="right"/>
              <w:ind w:right="14"/>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 as of March 31, 2016 and December 31, 2015 (Unaudited)</w:t>
              </w:r>
            </w:hyperlink>
          </w:p>
        </w:tc>
        <w:tc>
          <w:tcPr>
            <w:tcW w:w="2400" w:type="dxa"/>
            <w:vAlign w:val="bottom"/>
            <w:gridSpan w:val="5"/>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6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Income for the Three Months Ended March 31, 2016 and 2015 (Unaudited)</w:t>
              </w:r>
            </w:hyperlink>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60" w:type="dxa"/>
            <w:vAlign w:val="bottom"/>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Comprehensive Income for the Three Months Ended March 31, 2016 and 2015 (Unaudited)</w:t>
              </w:r>
            </w:hyperlink>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 of Cash Flows for the Three Months Ended March 31, 2016 and 2015 (Unaudited)</w:t>
              </w:r>
            </w:hyperlink>
          </w:p>
        </w:tc>
        <w:tc>
          <w:tcPr>
            <w:tcW w:w="84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 of Changes in Equity for the Three Months Ended March 31, 2016 and 2015 (Unaudited)</w:t>
              </w:r>
            </w:hyperlink>
          </w:p>
        </w:tc>
        <w:tc>
          <w:tcPr>
            <w:tcW w:w="540" w:type="dxa"/>
            <w:vAlign w:val="bottom"/>
            <w:gridSpan w:val="2"/>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48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Condensed Consolidated Financial Statements (Unaudited)</w:t>
              </w:r>
            </w:hyperlink>
          </w:p>
        </w:tc>
        <w:tc>
          <w:tcPr>
            <w:tcW w:w="4560" w:type="dxa"/>
            <w:vAlign w:val="bottom"/>
            <w:gridSpan w:val="7"/>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936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060" w:type="dxa"/>
            <w:vAlign w:val="bottom"/>
            <w:gridSpan w:val="6"/>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4.</w:t>
            </w:r>
          </w:p>
        </w:tc>
        <w:tc>
          <w:tcPr>
            <w:tcW w:w="17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Controls and Procedures</w:t>
              </w:r>
            </w:hyperlink>
          </w:p>
        </w:tc>
        <w:tc>
          <w:tcPr>
            <w:tcW w:w="7620" w:type="dxa"/>
            <w:vAlign w:val="bottom"/>
            <w:gridSpan w:val="12"/>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gridSpan w:val="2"/>
          </w:tcPr>
          <w:p>
            <w:pPr>
              <w:ind w:left="200"/>
              <w:spacing w:after="0" w:line="190" w:lineRule="exact"/>
              <w:rPr>
                <w:sz w:val="20"/>
                <w:szCs w:val="20"/>
                <w:color w:val="auto"/>
              </w:rPr>
            </w:pPr>
            <w:r>
              <w:rPr>
                <w:rFonts w:ascii="Arial" w:cs="Arial" w:eastAsia="Arial" w:hAnsi="Arial"/>
                <w:sz w:val="18"/>
                <w:szCs w:val="18"/>
                <w:b w:val="1"/>
                <w:bCs w:val="1"/>
                <w:color w:val="auto"/>
              </w:rPr>
              <w:t>Item 1.</w:t>
            </w:r>
          </w:p>
        </w:tc>
        <w:tc>
          <w:tcPr>
            <w:tcW w:w="9360" w:type="dxa"/>
            <w:vAlign w:val="bottom"/>
            <w:gridSpan w:val="16"/>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20" w:type="dxa"/>
            <w:vAlign w:val="bottom"/>
          </w:tcPr>
          <w:p>
            <w:pPr>
              <w:jc w:val="right"/>
              <w:ind w:right="14"/>
              <w:spacing w:after="0" w:line="19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060" w:type="dxa"/>
            <w:vAlign w:val="bottom"/>
            <w:gridSpan w:val="13"/>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936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6.</w:t>
            </w:r>
          </w:p>
        </w:tc>
        <w:tc>
          <w:tcPr>
            <w:tcW w:w="4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5120" w:type="dxa"/>
            <w:vAlign w:val="bottom"/>
            <w:gridSpan w:val="9"/>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SIGNATURES</w:t>
              </w:r>
            </w:hyperlink>
          </w:p>
        </w:tc>
        <w:tc>
          <w:tcPr>
            <w:tcW w:w="2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NBCUniversal Media, LLC Financial Statements</w:t>
              </w:r>
            </w:hyperlink>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280" w:type="dxa"/>
            <w:vAlign w:val="bottom"/>
            <w:tcBorders>
              <w:top w:val="single" w:sz="8" w:color="0000EE"/>
              <w:bottom w:val="single" w:sz="8" w:color="auto"/>
            </w:tcBorders>
          </w:tcPr>
          <w:p>
            <w:pPr>
              <w:spacing w:after="0"/>
              <w:rPr>
                <w:sz w:val="10"/>
                <w:szCs w:val="10"/>
                <w:color w:val="auto"/>
              </w:rPr>
            </w:pPr>
          </w:p>
        </w:tc>
        <w:tc>
          <w:tcPr>
            <w:tcW w:w="420" w:type="dxa"/>
            <w:vAlign w:val="bottom"/>
            <w:tcBorders>
              <w:top w:val="single" w:sz="8" w:color="0000EE"/>
              <w:bottom w:val="single" w:sz="8" w:color="auto"/>
            </w:tcBorders>
          </w:tcPr>
          <w:p>
            <w:pPr>
              <w:spacing w:after="0"/>
              <w:rPr>
                <w:sz w:val="10"/>
                <w:szCs w:val="10"/>
                <w:color w:val="auto"/>
              </w:rPr>
            </w:pPr>
          </w:p>
        </w:tc>
        <w:tc>
          <w:tcPr>
            <w:tcW w:w="440" w:type="dxa"/>
            <w:vAlign w:val="bottom"/>
            <w:tcBorders>
              <w:top w:val="single" w:sz="8" w:color="0000EE"/>
              <w:bottom w:val="single" w:sz="8" w:color="auto"/>
            </w:tcBorders>
          </w:tcPr>
          <w:p>
            <w:pPr>
              <w:spacing w:after="0"/>
              <w:rPr>
                <w:sz w:val="10"/>
                <w:szCs w:val="10"/>
                <w:color w:val="auto"/>
              </w:rPr>
            </w:pPr>
          </w:p>
        </w:tc>
        <w:tc>
          <w:tcPr>
            <w:tcW w:w="400" w:type="dxa"/>
            <w:vAlign w:val="bottom"/>
            <w:tcBorders>
              <w:top w:val="single" w:sz="8" w:color="0000EE"/>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Quarterly Report on Form 10-Q is for the three months ended March 31, 2016. This Quarterly Report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spacing w:after="0" w:line="37"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rFonts w:ascii="Arial" w:cs="Arial" w:eastAsia="Arial" w:hAnsi="Arial"/>
          <w:sz w:val="16"/>
          <w:szCs w:val="16"/>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37"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rFonts w:ascii="Arial" w:cs="Arial" w:eastAsia="Arial" w:hAnsi="Arial"/>
          <w:sz w:val="16"/>
          <w:szCs w:val="16"/>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240" w:type="dxa"/>
            <w:vAlign w:val="bottom"/>
            <w:gridSpan w:val="2"/>
          </w:tcPr>
          <w:p>
            <w:pPr>
              <w:jc w:val="right"/>
              <w:ind w:right="213"/>
              <w:spacing w:after="0"/>
              <w:rPr>
                <w:sz w:val="20"/>
                <w:szCs w:val="20"/>
                <w:color w:val="auto"/>
              </w:rPr>
            </w:pPr>
            <w:r>
              <w:rPr>
                <w:rFonts w:ascii="Arial" w:cs="Arial" w:eastAsia="Arial" w:hAnsi="Arial"/>
                <w:sz w:val="14"/>
                <w:szCs w:val="14"/>
                <w:color w:val="auto"/>
              </w:rPr>
              <w:t>March 31,</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r>
      <w:tr>
        <w:trPr>
          <w:trHeight w:val="159"/>
        </w:trPr>
        <w:tc>
          <w:tcPr>
            <w:tcW w:w="91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line="159" w:lineRule="exact"/>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5,628</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6,375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rights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1,390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9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1,787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15,180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5,768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3,638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$48,611 and $48,100</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34,122</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59,364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33,458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 of accumulated amortization of $10,085 and $9,868</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16,832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2,237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6"/>
              </w:rPr>
              <w:t>170,599</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6,333</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participations and residuals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1,510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1,302</w:t>
            </w: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5,729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5,462</w:t>
            </w:r>
          </w:p>
        </w:tc>
      </w:tr>
      <w:tr>
        <w:trPr>
          <w:trHeight w:val="216"/>
        </w:trPr>
        <w:tc>
          <w:tcPr>
            <w:tcW w:w="9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4,119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19,084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51,515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33,821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10,431</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Preferred stock—authorized, 20,000,000 shares; issued, zero</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0"/>
              </w:rPr>
              <w:t>Class A common stock, $0.01 par value—authorized, 7,500,000,000 shares; issued, 2,854,146,732 and 2,869,349,502;</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91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outstanding, 2,417,751,218 and 2,432,953,988</w:t>
            </w:r>
          </w:p>
        </w:tc>
        <w:tc>
          <w:tcPr>
            <w:tcW w:w="42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29</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38,464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38,518</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21,750</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Treasury stock, 436,395,514 Class A common shares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9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52,642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1,870</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54,512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170,599</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113"/>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41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color w:val="auto"/>
                <w:w w:val="96"/>
              </w:rPr>
              <w:t>2016</w:t>
            </w:r>
          </w:p>
        </w:tc>
        <w:tc>
          <w:tcPr>
            <w:tcW w:w="14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18,790</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5,431</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14,701</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13,963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4,089</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3,535</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(1,311)</w:t>
            </w:r>
          </w:p>
        </w:tc>
        <w:tc>
          <w:tcPr>
            <w:tcW w:w="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2,224</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2,059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0.88</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b w:val="1"/>
                <w:bCs w:val="1"/>
                <w:color w:val="auto"/>
              </w:rPr>
              <w:t>0.87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0.275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440" w:type="dxa"/>
            <w:vAlign w:val="bottom"/>
            <w:gridSpan w:val="2"/>
          </w:tcPr>
          <w:p>
            <w:pPr>
              <w:jc w:val="right"/>
              <w:ind w:right="74"/>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jc w:val="right"/>
              <w:ind w:right="3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$ 2,224</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6"/>
              </w:rPr>
              <w:t>$ 2,141</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Unrealized gains (losses) on marketable securities, net of deferred taxes of $(1) and $—</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$18 and $23</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Realized (gains) losses on marketable securities, net of deferred taxes of $1 and $—</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Realized (gains) losses on cash flow hedges, net of deferred taxes of $(10) and $(22)</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$(2) and $—</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$(58) and $23</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2,451</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$ 2,224</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6"/>
              </w:rPr>
              <w:t>$ 2,017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3"/>
          </w:tcPr>
          <w:p>
            <w:pPr>
              <w:jc w:val="right"/>
              <w:ind w:right="73"/>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39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89"/>
              </w:rPr>
              <w:t>2016</w:t>
            </w: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93"/>
              </w:rPr>
              <w:t>5,110</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6"/>
              </w:rPr>
              <w:t>$ 5,245</w:t>
            </w:r>
          </w:p>
        </w:tc>
        <w:tc>
          <w:tcPr>
            <w:tcW w:w="0" w:type="dxa"/>
            <w:vAlign w:val="bottom"/>
          </w:tcPr>
          <w:p>
            <w:pPr>
              <w:spacing w:after="0"/>
              <w:rPr>
                <w:sz w:val="1"/>
                <w:szCs w:val="1"/>
                <w:color w:val="auto"/>
              </w:rPr>
            </w:pPr>
          </w:p>
        </w:tc>
      </w:tr>
      <w:tr>
        <w:trPr>
          <w:trHeight w:val="210"/>
        </w:trPr>
        <w:tc>
          <w:tcPr>
            <w:tcW w:w="99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(1,885)</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w:t>
            </w: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and construction of real estate properties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110</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56</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borrowings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3"/>
              </w:rPr>
              <w:t>3,323</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70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(1,249)</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70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9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12</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120</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(3,524)</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3"/>
              </w:rPr>
              <w:t>3,333</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2,295</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7"/>
        </w:trPr>
        <w:tc>
          <w:tcPr>
            <w:tcW w:w="9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93"/>
              </w:rPr>
              <w:t>5,628</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6"/>
              </w:rPr>
              <w:t>$ 3,937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Borders>
              <w:right w:val="single" w:sz="8" w:color="auto"/>
            </w:tcBorders>
          </w:tcPr>
          <w:p>
            <w:pPr>
              <w:jc w:val="center"/>
              <w:ind w:right="372"/>
              <w:spacing w:after="0"/>
              <w:rPr>
                <w:sz w:val="20"/>
                <w:szCs w:val="20"/>
                <w:color w:val="auto"/>
              </w:rPr>
            </w:pPr>
            <w:r>
              <w:rPr>
                <w:rFonts w:ascii="Arial" w:cs="Arial" w:eastAsia="Arial" w:hAnsi="Arial"/>
                <w:sz w:val="14"/>
                <w:szCs w:val="14"/>
                <w:color w:val="auto"/>
                <w:w w:val="85"/>
              </w:rPr>
              <w:t>Redeemable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Borders>
              <w:right w:val="single" w:sz="8" w:color="auto"/>
            </w:tcBorders>
            <w:gridSpan w:val="2"/>
          </w:tcPr>
          <w:p>
            <w:pPr>
              <w:ind w:left="360"/>
              <w:spacing w:after="0" w:line="149" w:lineRule="exact"/>
              <w:rPr>
                <w:sz w:val="20"/>
                <w:szCs w:val="20"/>
                <w:color w:val="auto"/>
              </w:rPr>
            </w:pPr>
            <w:r>
              <w:rPr>
                <w:rFonts w:ascii="Arial" w:cs="Arial" w:eastAsia="Arial" w:hAnsi="Arial"/>
                <w:sz w:val="14"/>
                <w:szCs w:val="14"/>
                <w:color w:val="auto"/>
              </w:rPr>
              <w:t>Noncontrolling</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3"/>
              </w:rPr>
              <w:t>Interests and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5"/>
              </w:rPr>
              <w:t>Redeemable</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w w:val="87"/>
              </w:rPr>
              <w:t>Common Stock</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Borders>
              <w:right w:val="single" w:sz="8" w:color="auto"/>
            </w:tcBorders>
            <w:vMerge w:val="restart"/>
          </w:tcPr>
          <w:p>
            <w:pPr>
              <w:jc w:val="center"/>
              <w:ind w:right="392"/>
              <w:spacing w:after="0" w:line="135" w:lineRule="exact"/>
              <w:rPr>
                <w:sz w:val="20"/>
                <w:szCs w:val="20"/>
                <w:color w:val="auto"/>
              </w:rPr>
            </w:pPr>
            <w:r>
              <w:rPr>
                <w:rFonts w:ascii="Arial" w:cs="Arial" w:eastAsia="Arial" w:hAnsi="Arial"/>
                <w:sz w:val="14"/>
                <w:szCs w:val="14"/>
                <w:color w:val="auto"/>
                <w:w w:val="88"/>
              </w:rPr>
              <w:t>Subsidiary</w:t>
            </w:r>
          </w:p>
        </w:tc>
        <w:tc>
          <w:tcPr>
            <w:tcW w:w="1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6"/>
                <w:szCs w:val="6"/>
                <w:color w:val="auto"/>
              </w:rPr>
            </w:pPr>
          </w:p>
        </w:tc>
        <w:tc>
          <w:tcPr>
            <w:tcW w:w="720" w:type="dxa"/>
            <w:vAlign w:val="bottom"/>
            <w:gridSpan w:val="2"/>
            <w:vMerge w:val="restart"/>
          </w:tcPr>
          <w:p>
            <w:pPr>
              <w:ind w:left="100"/>
              <w:spacing w:after="0" w:line="135"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6"/>
                <w:szCs w:val="6"/>
                <w:color w:val="auto"/>
              </w:rPr>
            </w:pPr>
          </w:p>
        </w:tc>
        <w:tc>
          <w:tcPr>
            <w:tcW w:w="940" w:type="dxa"/>
            <w:vAlign w:val="bottom"/>
            <w:vMerge w:val="restart"/>
          </w:tcPr>
          <w:p>
            <w:pPr>
              <w:jc w:val="center"/>
              <w:ind w:right="132"/>
              <w:spacing w:after="0" w:line="135"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right w:val="single" w:sz="8" w:color="auto"/>
            </w:tcBorders>
          </w:tcPr>
          <w:p>
            <w:pPr>
              <w:jc w:val="center"/>
              <w:ind w:right="392"/>
              <w:spacing w:after="0" w:line="149" w:lineRule="exact"/>
              <w:rPr>
                <w:sz w:val="20"/>
                <w:szCs w:val="20"/>
                <w:color w:val="auto"/>
              </w:rPr>
            </w:pPr>
            <w:r>
              <w:rPr>
                <w:rFonts w:ascii="Arial" w:cs="Arial" w:eastAsia="Arial" w:hAnsi="Arial"/>
                <w:sz w:val="14"/>
                <w:szCs w:val="14"/>
                <w:color w:val="auto"/>
                <w:w w:val="85"/>
              </w:rPr>
              <w:t>Preferred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Paid-In</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Retained</w:t>
            </w: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Stock at</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Comprehensive</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1120" w:type="dxa"/>
            <w:vAlign w:val="bottom"/>
            <w:tcBorders>
              <w:right w:val="single" w:sz="8" w:color="auto"/>
            </w:tcBorders>
          </w:tcPr>
          <w:p>
            <w:pPr>
              <w:jc w:val="center"/>
              <w:ind w:right="372"/>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5"/>
                <w:szCs w:val="15"/>
                <w:color w:val="auto"/>
              </w:rPr>
            </w:pPr>
          </w:p>
        </w:tc>
        <w:tc>
          <w:tcPr>
            <w:tcW w:w="400" w:type="dxa"/>
            <w:vAlign w:val="bottom"/>
          </w:tcPr>
          <w:p>
            <w:pPr>
              <w:jc w:val="center"/>
              <w:ind w:left="52"/>
              <w:spacing w:after="0"/>
              <w:rPr>
                <w:sz w:val="20"/>
                <w:szCs w:val="20"/>
                <w:color w:val="auto"/>
              </w:rPr>
            </w:pPr>
            <w:r>
              <w:rPr>
                <w:rFonts w:ascii="Arial" w:cs="Arial" w:eastAsia="Arial" w:hAnsi="Arial"/>
                <w:sz w:val="14"/>
                <w:szCs w:val="14"/>
                <w:color w:val="auto"/>
                <w:w w:val="85"/>
              </w:rPr>
              <w:t>A</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w w:val="87"/>
              </w:rPr>
              <w:t>Capital</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2014</w:t>
            </w:r>
          </w:p>
        </w:tc>
        <w:tc>
          <w:tcPr>
            <w:tcW w:w="440" w:type="dxa"/>
            <w:vAlign w:val="bottom"/>
            <w:tcBorders>
              <w:top w:val="single" w:sz="8" w:color="auto"/>
            </w:tcBorders>
            <w:shd w:val="clear" w:color="auto" w:fill="E5E5E5"/>
          </w:tcPr>
          <w:p>
            <w:pPr>
              <w:ind w:left="360"/>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1,066</w:t>
            </w:r>
          </w:p>
        </w:tc>
        <w:tc>
          <w:tcPr>
            <w:tcW w:w="180" w:type="dxa"/>
            <w:vAlign w:val="bottom"/>
            <w:tcBorders>
              <w:top w:val="single" w:sz="8" w:color="auto"/>
            </w:tcBorders>
            <w:shd w:val="clear" w:color="auto" w:fill="E5E5E5"/>
          </w:tcPr>
          <w:p>
            <w:pPr>
              <w:spacing w:after="0"/>
              <w:rPr>
                <w:sz w:val="12"/>
                <w:szCs w:val="12"/>
                <w:color w:val="auto"/>
              </w:rPr>
            </w:pPr>
          </w:p>
        </w:tc>
        <w:tc>
          <w:tcPr>
            <w:tcW w:w="400" w:type="dxa"/>
            <w:vAlign w:val="bottom"/>
            <w:tcBorders>
              <w:top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20" w:type="dxa"/>
            <w:vAlign w:val="bottom"/>
            <w:tcBorders>
              <w:top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38,805</w:t>
            </w:r>
          </w:p>
        </w:tc>
        <w:tc>
          <w:tcPr>
            <w:tcW w:w="7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$ 21,539</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(146)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357</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232</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4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(407)</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(1,593)</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4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(630)</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440" w:type="dxa"/>
            <w:vAlign w:val="bottom"/>
            <w:shd w:val="clear" w:color="auto" w:fill="E5E5E5"/>
          </w:tcPr>
          <w:p>
            <w:pPr>
              <w:spacing w:after="0"/>
              <w:rPr>
                <w:sz w:val="11"/>
                <w:szCs w:val="11"/>
                <w:color w:val="auto"/>
              </w:rPr>
            </w:pPr>
          </w:p>
        </w:tc>
        <w:tc>
          <w:tcPr>
            <w:tcW w:w="112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40" w:type="dxa"/>
            <w:vAlign w:val="bottom"/>
            <w:shd w:val="clear" w:color="auto" w:fill="E5E5E5"/>
          </w:tcPr>
          <w:p>
            <w:pPr>
              <w:spacing w:after="0"/>
              <w:rPr>
                <w:sz w:val="13"/>
                <w:szCs w:val="13"/>
                <w:color w:val="auto"/>
              </w:rPr>
            </w:pPr>
          </w:p>
        </w:tc>
        <w:tc>
          <w:tcPr>
            <w:tcW w:w="1120" w:type="dxa"/>
            <w:vAlign w:val="bottom"/>
            <w:tcBorders>
              <w:right w:val="single" w:sz="8" w:color="auto"/>
            </w:tcBorders>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(34)</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40" w:type="dxa"/>
            <w:vAlign w:val="bottom"/>
          </w:tcPr>
          <w:p>
            <w:pPr>
              <w:spacing w:after="0"/>
              <w:rPr>
                <w:sz w:val="12"/>
                <w:szCs w:val="12"/>
                <w:color w:val="auto"/>
              </w:rPr>
            </w:pPr>
          </w:p>
        </w:tc>
        <w:tc>
          <w:tcPr>
            <w:tcW w:w="112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tcBorders>
              <w:bottom w:val="single" w:sz="8" w:color="auto"/>
            </w:tcBorders>
            <w:shd w:val="clear" w:color="auto" w:fill="E5E5E5"/>
          </w:tcPr>
          <w:p>
            <w:pPr>
              <w:spacing w:after="0"/>
              <w:rPr>
                <w:sz w:val="12"/>
                <w:szCs w:val="12"/>
                <w:color w:val="auto"/>
              </w:rPr>
            </w:pPr>
          </w:p>
        </w:tc>
        <w:tc>
          <w:tcPr>
            <w:tcW w:w="112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2,059</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56</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March 31, 2015</w:t>
            </w:r>
          </w:p>
        </w:tc>
        <w:tc>
          <w:tcPr>
            <w:tcW w:w="44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1,099</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38,660</w:t>
            </w:r>
          </w:p>
        </w:tc>
        <w:tc>
          <w:tcPr>
            <w:tcW w:w="7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$ 21,186</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(188)</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340</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$52,511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December 31, 2015</w:t>
            </w:r>
          </w:p>
        </w:tc>
        <w:tc>
          <w:tcPr>
            <w:tcW w:w="440" w:type="dxa"/>
            <w:vAlign w:val="bottom"/>
            <w:shd w:val="clear" w:color="auto" w:fill="E5E5E5"/>
          </w:tcPr>
          <w:p>
            <w:pPr>
              <w:ind w:left="36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1,221</w:t>
            </w:r>
          </w:p>
        </w:tc>
        <w:tc>
          <w:tcPr>
            <w:tcW w:w="180" w:type="dxa"/>
            <w:vAlign w:val="bottom"/>
            <w:shd w:val="clear" w:color="auto" w:fill="E5E5E5"/>
          </w:tcPr>
          <w:p>
            <w:pPr>
              <w:spacing w:after="0"/>
              <w:rPr>
                <w:sz w:val="12"/>
                <w:szCs w:val="12"/>
                <w:color w:val="auto"/>
              </w:rPr>
            </w:pPr>
          </w:p>
        </w:tc>
        <w:tc>
          <w:tcPr>
            <w:tcW w:w="400" w:type="dxa"/>
            <w:vAlign w:val="bottom"/>
            <w:shd w:val="clear" w:color="auto" w:fill="E5E5E5"/>
          </w:tcPr>
          <w:p>
            <w:pPr>
              <w:jc w:val="center"/>
              <w:ind w:left="52"/>
              <w:spacing w:after="0" w:line="149" w:lineRule="exact"/>
              <w:rPr>
                <w:sz w:val="20"/>
                <w:szCs w:val="20"/>
                <w:color w:val="auto"/>
              </w:rPr>
            </w:pPr>
            <w:r>
              <w:rPr>
                <w:rFonts w:ascii="Arial" w:cs="Arial" w:eastAsia="Arial" w:hAnsi="Arial"/>
                <w:sz w:val="14"/>
                <w:szCs w:val="14"/>
                <w:color w:val="auto"/>
                <w:w w:val="85"/>
              </w:rPr>
              <w:t>$29</w:t>
            </w:r>
          </w:p>
        </w:tc>
        <w:tc>
          <w:tcPr>
            <w:tcW w:w="4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38,518</w:t>
            </w:r>
          </w:p>
        </w:tc>
        <w:tc>
          <w:tcPr>
            <w:tcW w:w="7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$ 21,413</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1,709</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8"/>
              </w:rPr>
              <w:t>$53,978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176</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4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(990)</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4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(670)</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137</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440" w:type="dxa"/>
            <w:vAlign w:val="bottom"/>
            <w:shd w:val="clear" w:color="auto" w:fill="E5E5E5"/>
          </w:tcPr>
          <w:p>
            <w:pPr>
              <w:spacing w:after="0"/>
              <w:rPr>
                <w:sz w:val="11"/>
                <w:szCs w:val="11"/>
                <w:color w:val="auto"/>
              </w:rPr>
            </w:pPr>
          </w:p>
        </w:tc>
        <w:tc>
          <w:tcPr>
            <w:tcW w:w="112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40" w:type="dxa"/>
            <w:vAlign w:val="bottom"/>
            <w:shd w:val="clear" w:color="auto" w:fill="E5E5E5"/>
          </w:tcPr>
          <w:p>
            <w:pPr>
              <w:spacing w:after="0"/>
              <w:rPr>
                <w:sz w:val="13"/>
                <w:szCs w:val="13"/>
                <w:color w:val="auto"/>
              </w:rPr>
            </w:pPr>
          </w:p>
        </w:tc>
        <w:tc>
          <w:tcPr>
            <w:tcW w:w="112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(5)</w:t>
            </w:r>
          </w:p>
        </w:tc>
        <w:tc>
          <w:tcPr>
            <w:tcW w:w="18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(36)</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40" w:type="dxa"/>
            <w:vAlign w:val="bottom"/>
          </w:tcPr>
          <w:p>
            <w:pPr>
              <w:spacing w:after="0"/>
              <w:rPr>
                <w:sz w:val="12"/>
                <w:szCs w:val="12"/>
                <w:color w:val="auto"/>
              </w:rPr>
            </w:pPr>
          </w:p>
        </w:tc>
        <w:tc>
          <w:tcPr>
            <w:tcW w:w="112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tcBorders>
              <w:bottom w:val="single" w:sz="8" w:color="auto"/>
            </w:tcBorders>
            <w:shd w:val="clear" w:color="auto" w:fill="E5E5E5"/>
          </w:tcPr>
          <w:p>
            <w:pPr>
              <w:spacing w:after="0"/>
              <w:rPr>
                <w:sz w:val="12"/>
                <w:szCs w:val="12"/>
                <w:color w:val="auto"/>
              </w:rPr>
            </w:pPr>
          </w:p>
        </w:tc>
        <w:tc>
          <w:tcPr>
            <w:tcW w:w="112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2,134</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March 31, 2016</w:t>
            </w:r>
          </w:p>
        </w:tc>
        <w:tc>
          <w:tcPr>
            <w:tcW w:w="44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1,236</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$29</w:t>
            </w:r>
          </w:p>
        </w:tc>
        <w:tc>
          <w:tcPr>
            <w:tcW w:w="4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38,464</w:t>
            </w:r>
          </w:p>
        </w:tc>
        <w:tc>
          <w:tcPr>
            <w:tcW w:w="7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$ 21,750</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(84)</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1,870</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$54,512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 to conform to classifications used in 2016.</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February 2016, the FASB updated the accounting guidance related to leases. The updated accounting guidance requires lessees to recognize a right-of-use asset and a lease liability on the balance sheet for all leases with the exception of short-term leases.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updated guidance is effective for us as of January 1, 2017 and early adoption is permitted. The updated guidance provides companies with alternative methods of adoption, with certain items that are allowed to be applied retrospectively and certain other items that are only to be applied prospectively in the period of adoption. We are currently in the process of determining our method of adoption of this updated accounting guidance.</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had adopted all provisions of the updated guidance as of January 1, 2016, it would have increased net income attributable to Comcast by $111 million and it would have increased net cash provided by operating activities and decreased net cash provided by (used in) financing activities each by $289 million for the three months ended March 31, 2016. The most significant impact of implementing the new guidance will occur in the first quarter of each year as a result of the vesting of restricted stock awards, which primarily occurs in March.</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Three Months Ended March 31</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2"/>
              <w:spacing w:after="0" w:line="131" w:lineRule="exact"/>
              <w:rPr>
                <w:sz w:val="20"/>
                <w:szCs w:val="20"/>
                <w:color w:val="auto"/>
              </w:rPr>
            </w:pPr>
            <w:r>
              <w:rPr>
                <w:rFonts w:ascii="Arial" w:cs="Arial" w:eastAsia="Arial" w:hAnsi="Arial"/>
                <w:sz w:val="14"/>
                <w:szCs w:val="14"/>
                <w:color w:val="auto"/>
                <w:w w:val="86"/>
              </w:rPr>
              <w:t>Net Income</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2"/>
              <w:spacing w:after="0" w:line="149" w:lineRule="exact"/>
              <w:rPr>
                <w:sz w:val="20"/>
                <w:szCs w:val="20"/>
                <w:color w:val="auto"/>
              </w:rPr>
            </w:pPr>
            <w:r>
              <w:rPr>
                <w:rFonts w:ascii="Arial" w:cs="Arial" w:eastAsia="Arial" w:hAnsi="Arial"/>
                <w:sz w:val="14"/>
                <w:szCs w:val="14"/>
                <w:color w:val="auto"/>
                <w:w w:val="90"/>
              </w:rPr>
              <w:t>Attributable to</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20" w:type="dxa"/>
            <w:vAlign w:val="bottom"/>
          </w:tcPr>
          <w:p>
            <w:pPr>
              <w:spacing w:after="0"/>
              <w:rPr>
                <w:sz w:val="12"/>
                <w:szCs w:val="12"/>
                <w:color w:val="auto"/>
              </w:rPr>
            </w:pPr>
          </w:p>
        </w:tc>
        <w:tc>
          <w:tcPr>
            <w:tcW w:w="9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2"/>
              <w:spacing w:after="0" w:line="159" w:lineRule="exact"/>
              <w:rPr>
                <w:sz w:val="20"/>
                <w:szCs w:val="20"/>
                <w:color w:val="auto"/>
              </w:rPr>
            </w:pPr>
            <w:r>
              <w:rPr>
                <w:rFonts w:ascii="Arial" w:cs="Arial" w:eastAsia="Arial" w:hAnsi="Arial"/>
                <w:sz w:val="14"/>
                <w:szCs w:val="14"/>
                <w:color w:val="auto"/>
                <w:w w:val="90"/>
              </w:rPr>
              <w:t>Corporation</w:t>
            </w:r>
          </w:p>
        </w:tc>
        <w:tc>
          <w:tcPr>
            <w:tcW w:w="82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Shares</w:t>
            </w:r>
          </w:p>
        </w:tc>
        <w:tc>
          <w:tcPr>
            <w:tcW w:w="98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2,134</w:t>
            </w:r>
          </w:p>
        </w:tc>
        <w:tc>
          <w:tcPr>
            <w:tcW w:w="82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2,434</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0.88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2,059</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2,520</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0.82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2,134</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2,462</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0.87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2,059</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2,556</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0.81</w:t>
            </w:r>
          </w:p>
        </w:tc>
      </w:tr>
      <w:tr>
        <w:trPr>
          <w:trHeight w:val="363"/>
        </w:trPr>
        <w:tc>
          <w:tcPr>
            <w:tcW w:w="544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months ended March 31, 2016 and 2015.</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13, 2015, NBCUniversal acquired a 51% economic interest in the Universal Studios theme park in Osaka, Japan (“Universal Studios Japan”) for $1.5 billion. The acquisition was funded through cash on hand and borrowings under our commercial paper program.</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NBCUniversal’s 51% interest. Universal Studios Japan’s results of operations are reported in our Theme Parks segment following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the limited amount of time since the date of acquisition, the assets and liabilities of Universal Studios Japan were recorded at their historical carrying value. We will adjust these amounts to fair value as valuations are completed and we obtain information necessary to complete the analyses, but no later than one year from the acquisition date. The 49% noncontrolling interest in Universal Studios Japan is recorded in the equity section of our consolidated financial statements and has been recorded based on the total value of Universal Studios Japan implied in the transaction. For purposes of this preliminary allocation, the excess of the total value implied in the transaction over the historical carrying value has been recorded as goodwill.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900" w:type="dxa"/>
            <w:vAlign w:val="bottom"/>
          </w:tcPr>
          <w:p>
            <w:pPr>
              <w:jc w:val="right"/>
              <w:ind w:right="2912"/>
              <w:spacing w:after="0"/>
              <w:rPr>
                <w:sz w:val="20"/>
                <w:szCs w:val="20"/>
                <w:color w:val="auto"/>
              </w:rPr>
            </w:pPr>
            <w:r>
              <w:rPr>
                <w:rFonts w:ascii="Arial" w:cs="Arial" w:eastAsia="Arial" w:hAnsi="Arial"/>
                <w:sz w:val="18"/>
                <w:szCs w:val="18"/>
                <w:b w:val="1"/>
                <w:bCs w:val="1"/>
                <w:color w:val="auto"/>
              </w:rPr>
              <w:t>Preliminary Allocation of Purchase Price</w:t>
            </w:r>
          </w:p>
        </w:tc>
        <w:tc>
          <w:tcPr>
            <w:tcW w:w="102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6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642</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690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69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162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(2,442)</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6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7"/>
              </w:rPr>
              <w:t>5,381</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6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w w:val="97"/>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consolidated revenue and net income attributable to Comcast Corporation for the three months ended March 31, 2016 included $293 million and $18 million, respectively, from the acquisition of Universal Studios Japan.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based on historical results of operations and is subject to change as valuations are completed and additional analysis is obtained.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320" w:type="dxa"/>
            <w:vAlign w:val="bottom"/>
            <w:gridSpan w:val="2"/>
          </w:tcPr>
          <w:p>
            <w:pPr>
              <w:ind w:left="2080"/>
              <w:spacing w:after="0"/>
              <w:rPr>
                <w:sz w:val="20"/>
                <w:szCs w:val="20"/>
                <w:color w:val="auto"/>
              </w:rPr>
            </w:pPr>
            <w:r>
              <w:rPr>
                <w:rFonts w:ascii="Arial" w:cs="Arial" w:eastAsia="Arial" w:hAnsi="Arial"/>
                <w:sz w:val="14"/>
                <w:szCs w:val="14"/>
                <w:color w:val="auto"/>
                <w:w w:val="93"/>
              </w:rPr>
              <w:t>Three Months Ended</w:t>
            </w:r>
          </w:p>
        </w:tc>
      </w:tr>
      <w:tr>
        <w:trPr>
          <w:trHeight w:val="159"/>
        </w:trPr>
        <w:tc>
          <w:tcPr>
            <w:tcW w:w="81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amounts)</w:t>
            </w:r>
          </w:p>
        </w:tc>
        <w:tc>
          <w:tcPr>
            <w:tcW w:w="2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w w:val="88"/>
              </w:rPr>
              <w:t>March 31, 2015</w:t>
            </w:r>
          </w:p>
        </w:tc>
      </w:tr>
      <w:tr>
        <w:trPr>
          <w:trHeight w:val="210"/>
        </w:trPr>
        <w:tc>
          <w:tcPr>
            <w:tcW w:w="81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200" w:type="dxa"/>
            <w:vAlign w:val="bottom"/>
            <w:shd w:val="clear" w:color="auto" w:fill="E5E5E5"/>
          </w:tcPr>
          <w:p>
            <w:pPr>
              <w:ind w:left="20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18,137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ind w:left="20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2,191</w:t>
            </w:r>
          </w:p>
        </w:tc>
      </w:tr>
      <w:tr>
        <w:trPr>
          <w:trHeight w:val="216"/>
        </w:trPr>
        <w:tc>
          <w:tcPr>
            <w:tcW w:w="810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2200" w:type="dxa"/>
            <w:vAlign w:val="bottom"/>
            <w:shd w:val="clear" w:color="auto" w:fill="E5E5E5"/>
          </w:tcPr>
          <w:p>
            <w:pPr>
              <w:ind w:left="20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2,084</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2200" w:type="dxa"/>
            <w:vAlign w:val="bottom"/>
          </w:tcPr>
          <w:p>
            <w:pPr>
              <w:ind w:left="20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0.83</w:t>
            </w:r>
          </w:p>
        </w:tc>
      </w:tr>
      <w:tr>
        <w:trPr>
          <w:trHeight w:val="216"/>
        </w:trPr>
        <w:tc>
          <w:tcPr>
            <w:tcW w:w="8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2200" w:type="dxa"/>
            <w:vAlign w:val="bottom"/>
            <w:tcBorders>
              <w:bottom w:val="single" w:sz="8" w:color="auto"/>
            </w:tcBorders>
            <w:shd w:val="clear" w:color="auto" w:fill="E5E5E5"/>
          </w:tcPr>
          <w:p>
            <w:pPr>
              <w:ind w:left="20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0.82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000" w:type="dxa"/>
            <w:vAlign w:val="bottom"/>
            <w:gridSpan w:val="2"/>
          </w:tcPr>
          <w:p>
            <w:pPr>
              <w:ind w:left="306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6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w w:val="89"/>
              </w:rPr>
              <w:t>2016</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620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tcPr>
          <w:p>
            <w:pPr>
              <w:ind w:left="30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4"/>
              <w:spacing w:after="0"/>
              <w:rPr>
                <w:sz w:val="20"/>
                <w:szCs w:val="20"/>
                <w:color w:val="auto"/>
              </w:rPr>
            </w:pPr>
            <w:r>
              <w:rPr>
                <w:rFonts w:ascii="Arial" w:cs="Arial" w:eastAsia="Arial" w:hAnsi="Arial"/>
                <w:sz w:val="18"/>
                <w:szCs w:val="18"/>
                <w:color w:val="auto"/>
                <w:w w:val="93"/>
              </w:rPr>
              <w:t>1,238</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1,275</w:t>
            </w: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188</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226</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1,003</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2,429</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2,408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Television Costs:</w:t>
            </w: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1,633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1,573</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617</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2,250</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2,310</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2,479</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2,350</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7,158</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7,068</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1,390</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1,213</w:t>
            </w:r>
          </w:p>
        </w:tc>
      </w:tr>
      <w:tr>
        <w:trPr>
          <w:trHeight w:val="217"/>
        </w:trPr>
        <w:tc>
          <w:tcPr>
            <w:tcW w:w="6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80" w:type="dxa"/>
            <w:vAlign w:val="bottom"/>
            <w:tcBorders>
              <w:bottom w:val="single" w:sz="8" w:color="auto"/>
            </w:tcBorders>
            <w:shd w:val="clear" w:color="auto" w:fill="E5E5E5"/>
          </w:tcPr>
          <w:p>
            <w:pPr>
              <w:ind w:left="30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b w:val="1"/>
                <w:bCs w:val="1"/>
                <w:color w:val="auto"/>
                <w:w w:val="93"/>
              </w:rPr>
              <w:t>5,768</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5,855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420" w:type="dxa"/>
            <w:vAlign w:val="bottom"/>
            <w:gridSpan w:val="2"/>
          </w:tcPr>
          <w:p>
            <w:pPr>
              <w:ind w:left="5500"/>
              <w:spacing w:after="0"/>
              <w:rPr>
                <w:sz w:val="20"/>
                <w:szCs w:val="20"/>
                <w:color w:val="auto"/>
              </w:rPr>
            </w:pPr>
            <w:r>
              <w:rPr>
                <w:rFonts w:ascii="Arial" w:cs="Arial" w:eastAsia="Arial" w:hAnsi="Arial"/>
                <w:sz w:val="14"/>
                <w:szCs w:val="14"/>
                <w:color w:val="auto"/>
              </w:rPr>
              <w:t>March 31,</w:t>
            </w: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w w:val="95"/>
              </w:rPr>
              <w:t>December 31,</w:t>
            </w:r>
          </w:p>
        </w:tc>
      </w:tr>
      <w:tr>
        <w:trPr>
          <w:trHeight w:val="159"/>
        </w:trPr>
        <w:tc>
          <w:tcPr>
            <w:tcW w:w="37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w w:val="89"/>
              </w:rPr>
              <w:t>2016</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5600" w:type="dxa"/>
            <w:vAlign w:val="bottom"/>
            <w:shd w:val="clear" w:color="auto" w:fill="E5E5E5"/>
          </w:tcPr>
          <w:p>
            <w:pPr>
              <w:ind w:left="54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165</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Equity Method:</w:t>
            </w: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7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Atairos</w:t>
            </w:r>
          </w:p>
        </w:tc>
        <w:tc>
          <w:tcPr>
            <w:tcW w:w="56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389</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Hulu</w:t>
            </w:r>
          </w:p>
        </w:tc>
        <w:tc>
          <w:tcPr>
            <w:tcW w:w="560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216"/>
        </w:trPr>
        <w:tc>
          <w:tcPr>
            <w:tcW w:w="37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6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529</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494</w:t>
            </w:r>
          </w:p>
        </w:tc>
      </w:tr>
      <w:tr>
        <w:trPr>
          <w:trHeight w:val="210"/>
        </w:trPr>
        <w:tc>
          <w:tcPr>
            <w:tcW w:w="37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w w:val="97"/>
              </w:rPr>
              <w:t>1,077</w:t>
            </w:r>
          </w:p>
        </w:tc>
        <w:tc>
          <w:tcPr>
            <w:tcW w:w="5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678</w:t>
            </w:r>
          </w:p>
        </w:tc>
      </w:tr>
      <w:tr>
        <w:trPr>
          <w:trHeight w:val="216"/>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Cost Method:</w:t>
            </w:r>
          </w:p>
        </w:tc>
        <w:tc>
          <w:tcPr>
            <w:tcW w:w="56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AirTouch</w:t>
            </w:r>
          </w:p>
        </w:tc>
        <w:tc>
          <w:tcPr>
            <w:tcW w:w="560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w w:val="97"/>
              </w:rPr>
              <w:t>1,587</w:t>
            </w:r>
          </w:p>
        </w:tc>
        <w:tc>
          <w:tcPr>
            <w:tcW w:w="5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1,583</w:t>
            </w:r>
          </w:p>
        </w:tc>
      </w:tr>
      <w:tr>
        <w:trPr>
          <w:trHeight w:val="216"/>
        </w:trPr>
        <w:tc>
          <w:tcPr>
            <w:tcW w:w="37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6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884</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902</w:t>
            </w:r>
          </w:p>
        </w:tc>
      </w:tr>
      <w:tr>
        <w:trPr>
          <w:trHeight w:val="210"/>
        </w:trPr>
        <w:tc>
          <w:tcPr>
            <w:tcW w:w="37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97"/>
              </w:rPr>
              <w:t>2,471</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2,485</w:t>
            </w:r>
          </w:p>
        </w:tc>
      </w:tr>
      <w:tr>
        <w:trPr>
          <w:trHeight w:val="210"/>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56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w w:val="97"/>
              </w:rPr>
              <w:t>3,713</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3,330</w:t>
            </w:r>
          </w:p>
        </w:tc>
      </w:tr>
      <w:tr>
        <w:trPr>
          <w:trHeight w:val="216"/>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75</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r>
      <w:tr>
        <w:trPr>
          <w:trHeight w:val="217"/>
        </w:trPr>
        <w:tc>
          <w:tcPr>
            <w:tcW w:w="3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5600" w:type="dxa"/>
            <w:vAlign w:val="bottom"/>
            <w:tcBorders>
              <w:bottom w:val="single" w:sz="8" w:color="auto"/>
            </w:tcBorders>
            <w:shd w:val="clear" w:color="auto" w:fill="E5E5E5"/>
          </w:tcPr>
          <w:p>
            <w:pPr>
              <w:ind w:left="54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b w:val="1"/>
                <w:bCs w:val="1"/>
                <w:color w:val="auto"/>
                <w:w w:val="97"/>
              </w:rPr>
              <w:t>3,638</w:t>
            </w:r>
          </w:p>
        </w:tc>
        <w:tc>
          <w:tcPr>
            <w:tcW w:w="5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3,224</w:t>
            </w:r>
          </w:p>
        </w:tc>
      </w:tr>
      <w:tr>
        <w:trPr>
          <w:trHeight w:val="363"/>
        </w:trPr>
        <w:tc>
          <w:tcPr>
            <w:tcW w:w="3760" w:type="dxa"/>
            <w:vAlign w:val="bottom"/>
          </w:tcPr>
          <w:p>
            <w:pPr>
              <w:spacing w:after="0"/>
              <w:rPr>
                <w:sz w:val="24"/>
                <w:szCs w:val="24"/>
                <w:color w:val="auto"/>
              </w:rPr>
            </w:pPr>
          </w:p>
        </w:tc>
        <w:tc>
          <w:tcPr>
            <w:tcW w:w="5600" w:type="dxa"/>
            <w:vAlign w:val="bottom"/>
          </w:tcPr>
          <w:p>
            <w:pPr>
              <w:jc w:val="right"/>
              <w:ind w:right="3517"/>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Income (Loss),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440" w:type="dxa"/>
            <w:vAlign w:val="bottom"/>
            <w:gridSpan w:val="4"/>
          </w:tcPr>
          <w:p>
            <w:pPr>
              <w:jc w:val="right"/>
              <w:ind w:right="75"/>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375"/>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w w:val="83"/>
              </w:rPr>
              <w:t>2016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Mark to market adjustments on derivative component of prepaid forward sale agreements and indexed debt instruments</w:t>
            </w:r>
          </w:p>
        </w:tc>
        <w:tc>
          <w:tcPr>
            <w:tcW w:w="220" w:type="dxa"/>
            <w:vAlign w:val="bottom"/>
          </w:tcPr>
          <w:p>
            <w:pPr>
              <w:spacing w:after="0"/>
              <w:rPr>
                <w:sz w:val="18"/>
                <w:szCs w:val="18"/>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9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2015, we entered into an agreement to establish Atairos Group, Inc. (“Atairos”), a strategic company focused on investing in and operating companies in a range of industries and business sectors, both domestically and internationally. The agreement became effective as of January 1, 2016. Atairos has a term of up to 12 years and is controlled by management companies led by our former CFO through interests that carry all of the voting rights. We are the only investor other than our former CFO and the other management company employees. We have committed to fund up to $4 billion in the aggregate at any one time in Atairos, subject to certain offsets, and $40 million annually to fund a management fee, subject to certain adjustments, while the management company investors have committed to fund up to $100 million (with at least $40 million to be funded by our former CFO, subject to his continued role with Atairos). Our economic interests do not carry voting rights and obligate us to absorb approximately 99% of any losses and provide us the right to receive approximately 86.5% of any residual returns in Atairos, in either case on a cumulative basis.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related parties with our former CFO or the management companies. We therefore do not consolidate Atairos and account for this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2016, we provided capital contributions totaling $404 million to Atairos.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2016 and 2015, we recognized our proportionate share of losses of $25 million and $11 million, respectively, related to our investment in Hulu.</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March 31, 2016,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31, 2016, our debt had a carrying value of $55.6 billion and an estimated fair value of $63.4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March 2016, we issued $1.1 billion aggregate principal amount of 2.75% senior notes due 2023 and $2.2 billion aggregate principal amount of 3.15% senior notes due 2026. We intend to use the proceeds from these offerings for working capital and general corporate purposes, which may include the repayment of debt.</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April 2016, we repaid at maturity $1 billion aggregate principal amount of 2.875% senior notes due 2016 and $700 million aggregate principal amount of NBCUniversal Enterprise Inc.’s (“NBCUniversal Enterprise”) senior notes due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2016, amounts available under our consolidated revolving credit facilities, net of amounts outstanding under our commercial paper programs and outstanding letters of credit, totaled $6.9 billion, which included $900 million available under NBCUniversal Enterprise’s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NBCUniversal Enterprise had $450 million face amount of commercial paper outstanding.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color w:val="auto"/>
                <w:w w:val="91"/>
              </w:rPr>
              <w:t>Fair Value as of</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March 31,</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10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3"/>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2"/>
        </w:trPr>
        <w:tc>
          <w:tcPr>
            <w:tcW w:w="8020" w:type="dxa"/>
            <w:vAlign w:val="bottom"/>
            <w:gridSpan w:val="2"/>
            <w:vMerge w:val="continue"/>
          </w:tcPr>
          <w:p>
            <w:pPr>
              <w:spacing w:after="0"/>
              <w:rPr>
                <w:sz w:val="12"/>
                <w:szCs w:val="12"/>
                <w:color w:val="auto"/>
              </w:rPr>
            </w:pPr>
          </w:p>
        </w:tc>
        <w:tc>
          <w:tcPr>
            <w:tcW w:w="6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Level 1</w:t>
            </w:r>
          </w:p>
        </w:tc>
        <w:tc>
          <w:tcPr>
            <w:tcW w:w="60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Level 2</w:t>
            </w:r>
          </w:p>
        </w:tc>
        <w:tc>
          <w:tcPr>
            <w:tcW w:w="6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Level 3</w:t>
            </w:r>
          </w:p>
        </w:tc>
        <w:tc>
          <w:tcPr>
            <w:tcW w:w="580" w:type="dxa"/>
            <w:vAlign w:val="bottom"/>
            <w:gridSpan w:val="2"/>
          </w:tcPr>
          <w:p>
            <w:pPr>
              <w:jc w:val="right"/>
              <w:ind w:right="72"/>
              <w:spacing w:after="0" w:line="142" w:lineRule="exact"/>
              <w:rPr>
                <w:sz w:val="20"/>
                <w:szCs w:val="20"/>
                <w:color w:val="auto"/>
              </w:rPr>
            </w:pPr>
            <w:r>
              <w:rPr>
                <w:rFonts w:ascii="Arial" w:cs="Arial" w:eastAsia="Arial" w:hAnsi="Arial"/>
                <w:sz w:val="14"/>
                <w:szCs w:val="14"/>
                <w:color w:val="auto"/>
              </w:rPr>
              <w:t>Total</w:t>
            </w:r>
          </w:p>
        </w:tc>
        <w:tc>
          <w:tcPr>
            <w:tcW w:w="260" w:type="dxa"/>
            <w:vAlign w:val="bottom"/>
          </w:tcPr>
          <w:p>
            <w:pPr>
              <w:spacing w:after="0"/>
              <w:rPr>
                <w:sz w:val="12"/>
                <w:szCs w:val="12"/>
                <w:color w:val="auto"/>
              </w:rPr>
            </w:pPr>
          </w:p>
        </w:tc>
        <w:tc>
          <w:tcPr>
            <w:tcW w:w="70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Trading securities</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E5E5E5"/>
          </w:tcPr>
          <w:p>
            <w:pPr>
              <w:spacing w:after="0"/>
              <w:rPr>
                <w:sz w:val="18"/>
                <w:szCs w:val="18"/>
                <w:color w:val="auto"/>
              </w:rPr>
            </w:pPr>
          </w:p>
        </w:tc>
        <w:tc>
          <w:tcPr>
            <w:tcW w:w="3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shd w:val="clear" w:color="auto" w:fill="E5E5E5"/>
          </w:tcPr>
          <w:p>
            <w:pPr>
              <w:spacing w:after="0"/>
              <w:rPr>
                <w:sz w:val="18"/>
                <w:szCs w:val="18"/>
                <w:color w:val="auto"/>
              </w:rPr>
            </w:pPr>
          </w:p>
        </w:tc>
        <w:tc>
          <w:tcPr>
            <w:tcW w:w="3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6"/>
              </w:rPr>
              <w:t>130</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9"/>
              </w:rPr>
              <w:t>20</w:t>
            </w: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202</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243</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142</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142</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142</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6"/>
              </w:rPr>
              <w:t>142</w:t>
            </w:r>
          </w:p>
        </w:tc>
        <w:tc>
          <w:tcPr>
            <w:tcW w:w="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2016, the fair value of the NBCUniversal Enterprise redeemable subsidiary preferred stock was $757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plans primarily consist of awards of RSUs and stock options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2016, we granted 5.9 million RSUs and 20.7 million stock options related to our annual management awards. The weighted-average fair values associated with these grants were $59.50 per RSU and $11.45 per stock option.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4"/>
          </w:tcPr>
          <w:p>
            <w:pPr>
              <w:jc w:val="right"/>
              <w:ind w:right="7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96"/>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w w:val="83"/>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31, 2016, we had unrecognized pretax compensation expense of $903 million and $496 million related to nonvested RSUs and nonvested stock options,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$ 6,952</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7,595</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$ 6,375</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6,896</w:t>
            </w:r>
          </w:p>
        </w:tc>
        <w:tc>
          <w:tcPr>
            <w:tcW w:w="0" w:type="dxa"/>
            <w:vAlign w:val="bottom"/>
          </w:tcPr>
          <w:p>
            <w:pPr>
              <w:spacing w:after="0"/>
              <w:rPr>
                <w:sz w:val="1"/>
                <w:szCs w:val="1"/>
                <w:color w:val="auto"/>
              </w:rPr>
            </w:pPr>
          </w:p>
        </w:tc>
      </w:tr>
      <w:tr>
        <w:trPr>
          <w:trHeight w:val="403"/>
        </w:trPr>
        <w:tc>
          <w:tcPr>
            <w:tcW w:w="8540" w:type="dxa"/>
            <w:vAlign w:val="bottom"/>
          </w:tcPr>
          <w:p>
            <w:pPr>
              <w:jc w:val="center"/>
              <w:ind w:left="2794"/>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40" w:type="dxa"/>
            <w:vAlign w:val="bottom"/>
          </w:tcPr>
          <w:p>
            <w:pPr>
              <w:spacing w:after="0"/>
              <w:rPr>
                <w:sz w:val="22"/>
                <w:szCs w:val="22"/>
                <w:color w:val="auto"/>
              </w:rPr>
            </w:pPr>
          </w:p>
        </w:tc>
        <w:tc>
          <w:tcPr>
            <w:tcW w:w="2180" w:type="dxa"/>
            <w:vAlign w:val="bottom"/>
            <w:gridSpan w:val="3"/>
          </w:tcPr>
          <w:p>
            <w:pPr>
              <w:ind w:left="1000"/>
              <w:spacing w:after="0"/>
              <w:rPr>
                <w:sz w:val="20"/>
                <w:szCs w:val="20"/>
                <w:color w:val="auto"/>
              </w:rPr>
            </w:pPr>
            <w:r>
              <w:rPr>
                <w:rFonts w:ascii="Arial" w:cs="Arial" w:eastAsia="Arial" w:hAnsi="Arial"/>
                <w:sz w:val="14"/>
                <w:szCs w:val="14"/>
                <w:color w:val="auto"/>
              </w:rPr>
              <w:t>March 31,</w:t>
            </w: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2016</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300" w:type="dxa"/>
            <w:vAlign w:val="bottom"/>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552"/>
              <w:spacing w:after="0"/>
              <w:rPr>
                <w:sz w:val="20"/>
                <w:szCs w:val="20"/>
                <w:color w:val="auto"/>
              </w:rPr>
            </w:pPr>
            <w:r>
              <w:rPr>
                <w:rFonts w:ascii="Arial" w:cs="Arial" w:eastAsia="Arial" w:hAnsi="Arial"/>
                <w:sz w:val="18"/>
                <w:szCs w:val="18"/>
                <w:color w:val="auto"/>
              </w:rPr>
              <w:t>2</w:t>
            </w:r>
          </w:p>
        </w:tc>
        <w:tc>
          <w:tcPr>
            <w:tcW w:w="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1300" w:type="dxa"/>
            <w:vAlign w:val="bottom"/>
          </w:tcPr>
          <w:p>
            <w:pPr>
              <w:spacing w:after="0"/>
              <w:rPr>
                <w:sz w:val="18"/>
                <w:szCs w:val="18"/>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w w:val="93"/>
              </w:rPr>
              <w:t>(60)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552"/>
              <w:spacing w:after="0"/>
              <w:rPr>
                <w:sz w:val="20"/>
                <w:szCs w:val="20"/>
                <w:color w:val="auto"/>
              </w:rPr>
            </w:pPr>
            <w:r>
              <w:rPr>
                <w:rFonts w:ascii="Arial" w:cs="Arial" w:eastAsia="Arial" w:hAnsi="Arial"/>
                <w:sz w:val="18"/>
                <w:szCs w:val="18"/>
                <w:color w:val="auto"/>
              </w:rPr>
              <w:t>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color w:val="auto"/>
                <w:w w:val="93"/>
              </w:rPr>
              <w:t>(34)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300" w:type="dxa"/>
            <w:vAlign w:val="bottom"/>
            <w:tcBorders>
              <w:bottom w:val="single" w:sz="8" w:color="auto"/>
            </w:tcBorders>
            <w:shd w:val="clear" w:color="auto" w:fill="E5E5E5"/>
          </w:tcPr>
          <w:p>
            <w:pPr>
              <w:ind w:left="9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shd w:val="clear" w:color="auto" w:fill="E5E5E5"/>
          </w:tcPr>
          <w:p>
            <w:pPr>
              <w:jc w:val="right"/>
              <w:ind w:right="492"/>
              <w:spacing w:after="0"/>
              <w:rPr>
                <w:sz w:val="20"/>
                <w:szCs w:val="20"/>
                <w:color w:val="auto"/>
              </w:rPr>
            </w:pPr>
            <w:r>
              <w:rPr>
                <w:rFonts w:ascii="Arial" w:cs="Arial" w:eastAsia="Arial" w:hAnsi="Arial"/>
                <w:sz w:val="18"/>
                <w:szCs w:val="18"/>
                <w:b w:val="1"/>
                <w:bCs w:val="1"/>
                <w:color w:val="auto"/>
                <w:w w:val="93"/>
              </w:rPr>
              <w:t>(84)</w:t>
            </w:r>
          </w:p>
        </w:tc>
        <w:tc>
          <w:tcPr>
            <w:tcW w:w="1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403"/>
        </w:trPr>
        <w:tc>
          <w:tcPr>
            <w:tcW w:w="8540" w:type="dxa"/>
            <w:vAlign w:val="bottom"/>
          </w:tcPr>
          <w:p>
            <w:pPr>
              <w:jc w:val="center"/>
              <w:ind w:left="281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jc w:val="right"/>
              <w:ind w:right="74"/>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8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$ 2,224</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2,141</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2,278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2,066</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30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55</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30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16</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Film and television costs, net</w:t>
            </w:r>
          </w:p>
        </w:tc>
        <w:tc>
          <w:tcPr>
            <w:tcW w:w="1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$ 5,110</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3"/>
              </w:rPr>
              <w:t>5,245</w:t>
            </w:r>
          </w:p>
        </w:tc>
        <w:tc>
          <w:tcPr>
            <w:tcW w:w="0" w:type="dxa"/>
            <w:vAlign w:val="bottom"/>
          </w:tcPr>
          <w:p>
            <w:pPr>
              <w:spacing w:after="0"/>
              <w:rPr>
                <w:sz w:val="1"/>
                <w:szCs w:val="1"/>
                <w:color w:val="auto"/>
              </w:rPr>
            </w:pPr>
          </w:p>
        </w:tc>
      </w:tr>
      <w:tr>
        <w:trPr>
          <w:trHeight w:val="363"/>
        </w:trPr>
        <w:tc>
          <w:tcPr>
            <w:tcW w:w="8540" w:type="dxa"/>
            <w:vAlign w:val="bottom"/>
          </w:tcPr>
          <w:p>
            <w:pPr>
              <w:jc w:val="center"/>
              <w:ind w:left="2814"/>
              <w:spacing w:after="0"/>
              <w:rPr>
                <w:sz w:val="20"/>
                <w:szCs w:val="20"/>
                <w:color w:val="auto"/>
              </w:rPr>
            </w:pPr>
            <w:r>
              <w:rPr>
                <w:rFonts w:ascii="Arial" w:cs="Arial" w:eastAsia="Arial" w:hAnsi="Arial"/>
                <w:sz w:val="18"/>
                <w:szCs w:val="18"/>
                <w:color w:val="auto"/>
                <w:w w:val="99"/>
              </w:rPr>
              <w:t>13</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4"/>
          </w:tcPr>
          <w:p>
            <w:pPr>
              <w:jc w:val="right"/>
              <w:ind w:right="79"/>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99"/>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w w:val="83"/>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2016:</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$1.1 billion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$670 million for a quarterly cash dividend of $0.275 per common share to be paid in April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Split-Dollar Life Insurance Agreements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disclosed, in connection with the passing of our founder, Ralph J. Roberts, we made a lump sum payment in April 2016 to settle all of the benefit obligation liabilities related to split-dollar life insurance agreements with him. In connection with this settlement, in the second quarter of 2016 we will record an operating expense of $116 million and will eliminate substantially all of our liabilities related to split-dollar agreements, which are disclosed in Note 12 of our consolidated financial statements included in our 2015 Annual Report on Form 10-K.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6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and voice services to residential customers under the XFINITY brand; we also provide these and other services to business customers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8" w:lineRule="exact"/>
        <w:rPr>
          <w:sz w:val="20"/>
          <w:szCs w:val="20"/>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color w:val="auto"/>
              </w:rPr>
              <w:t>Three Months Ended March 31, 2016</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0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1"/>
                <w:szCs w:val="11"/>
                <w:color w:val="auto"/>
              </w:rPr>
            </w:pPr>
          </w:p>
        </w:tc>
        <w:tc>
          <w:tcPr>
            <w:tcW w:w="660" w:type="dxa"/>
            <w:vAlign w:val="bottom"/>
          </w:tcPr>
          <w:p>
            <w:pPr>
              <w:jc w:val="right"/>
              <w:ind w:right="274"/>
              <w:spacing w:after="0" w:line="133" w:lineRule="exact"/>
              <w:rPr>
                <w:sz w:val="20"/>
                <w:szCs w:val="20"/>
                <w:color w:val="auto"/>
              </w:rPr>
            </w:pPr>
            <w:r>
              <w:rPr>
                <w:rFonts w:ascii="Arial" w:cs="Arial" w:eastAsia="Arial" w:hAnsi="Arial"/>
                <w:sz w:val="14"/>
                <w:szCs w:val="14"/>
                <w:color w:val="auto"/>
              </w:rPr>
              <w:t>and</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$ 12,204</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4,889</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1,843</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9"/>
              </w:rPr>
              <w:t>$ 3,046</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2,453</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956</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190</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1,383</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86</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6,861</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414</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3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3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$ 18,790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6,367</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2,278</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$ 4,089</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1,885</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color w:val="auto"/>
              </w:rPr>
              <w:t>Three Months Ended March 31, 2015</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0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1"/>
                <w:szCs w:val="11"/>
                <w:color w:val="auto"/>
              </w:rPr>
            </w:pPr>
          </w:p>
        </w:tc>
        <w:tc>
          <w:tcPr>
            <w:tcW w:w="660" w:type="dxa"/>
            <w:vAlign w:val="bottom"/>
          </w:tcPr>
          <w:p>
            <w:pPr>
              <w:jc w:val="right"/>
              <w:ind w:right="274"/>
              <w:spacing w:after="0" w:line="133" w:lineRule="exact"/>
              <w:rPr>
                <w:sz w:val="20"/>
                <w:szCs w:val="20"/>
                <w:color w:val="auto"/>
              </w:rPr>
            </w:pPr>
            <w:r>
              <w:rPr>
                <w:rFonts w:ascii="Arial" w:cs="Arial" w:eastAsia="Arial" w:hAnsi="Arial"/>
                <w:sz w:val="14"/>
                <w:szCs w:val="14"/>
                <w:color w:val="auto"/>
              </w:rPr>
              <w:t>and</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$ 11,441</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4,658</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1,680</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9"/>
              </w:rPr>
              <w:t>$ 2,978</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2,359</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184</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2,248</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6,604</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1,475</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364</w:t>
            </w:r>
          </w:p>
        </w:tc>
        <w:tc>
          <w:tcPr>
            <w:tcW w:w="7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1,111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3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3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$ 17,853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5,956</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2,066</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$ 3,890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2560" w:type="dxa"/>
            <w:vAlign w:val="bottom"/>
          </w:tcPr>
          <w:p>
            <w:pPr>
              <w:jc w:val="right"/>
              <w:ind w:right="572"/>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2016 and 2015, Cable Communications segment revenue was derived from the following sources: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600" w:type="dxa"/>
            <w:vAlign w:val="bottom"/>
            <w:gridSpan w:val="2"/>
          </w:tcPr>
          <w:p>
            <w:pPr>
              <w:jc w:val="right"/>
              <w:ind w:right="172"/>
              <w:spacing w:after="0"/>
              <w:rPr>
                <w:sz w:val="20"/>
                <w:szCs w:val="20"/>
                <w:color w:val="auto"/>
              </w:rPr>
            </w:pPr>
            <w:r>
              <w:rPr>
                <w:rFonts w:ascii="Arial" w:cs="Arial" w:eastAsia="Arial" w:hAnsi="Arial"/>
                <w:sz w:val="14"/>
                <w:szCs w:val="14"/>
                <w:color w:val="auto"/>
              </w:rPr>
              <w:t>Three Months Ended</w:t>
            </w:r>
          </w:p>
        </w:tc>
      </w:tr>
      <w:tr>
        <w:trPr>
          <w:trHeight w:val="159"/>
        </w:trPr>
        <w:tc>
          <w:tcPr>
            <w:tcW w:w="946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560" w:type="dxa"/>
            <w:vAlign w:val="bottom"/>
            <w:tcBorders>
              <w:bottom w:val="single" w:sz="8" w:color="auto"/>
            </w:tcBorders>
          </w:tcPr>
          <w:p>
            <w:pPr>
              <w:spacing w:after="0"/>
              <w:rPr>
                <w:sz w:val="13"/>
                <w:szCs w:val="13"/>
                <w:color w:val="auto"/>
              </w:rPr>
            </w:pPr>
          </w:p>
        </w:tc>
      </w:tr>
      <w:tr>
        <w:trPr>
          <w:trHeight w:val="142"/>
        </w:trPr>
        <w:tc>
          <w:tcPr>
            <w:tcW w:w="9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83"/>
              </w:rPr>
              <w:t>2015</w:t>
            </w:r>
          </w:p>
        </w:tc>
      </w:tr>
      <w:tr>
        <w:trPr>
          <w:trHeight w:val="142"/>
        </w:trPr>
        <w:tc>
          <w:tcPr>
            <w:tcW w:w="94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0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r>
      <w:tr>
        <w:trPr>
          <w:trHeight w:val="149"/>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r>
      <w:tr>
        <w:trPr>
          <w:trHeight w:val="149"/>
        </w:trPr>
        <w:tc>
          <w:tcPr>
            <w:tcW w:w="946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10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26.8%</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26.6%</w:t>
            </w:r>
          </w:p>
        </w:tc>
      </w:tr>
      <w:tr>
        <w:trPr>
          <w:trHeight w:val="149"/>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r>
      <w:tr>
        <w:trPr>
          <w:trHeight w:val="149"/>
        </w:trPr>
        <w:tc>
          <w:tcPr>
            <w:tcW w:w="94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0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10.7%</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94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49"/>
        </w:trPr>
        <w:tc>
          <w:tcPr>
            <w:tcW w:w="94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5.2%</w:t>
            </w:r>
          </w:p>
        </w:tc>
        <w:tc>
          <w:tcPr>
            <w:tcW w:w="5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9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100.0%</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the three months ended March 31, 2016 and 2015, 2.9% and 2.8%, respectively, of Cable Communications segment revenue was derived from franchise and other regulatory fees.</w:t>
      </w:r>
    </w:p>
    <w:p>
      <w:pPr>
        <w:spacing w:after="0" w:line="78" w:lineRule="exact"/>
        <w:rPr>
          <w:sz w:val="20"/>
          <w:szCs w:val="20"/>
          <w:color w:val="auto"/>
        </w:rPr>
      </w:pPr>
    </w:p>
    <w:p>
      <w:pPr>
        <w:ind w:left="34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Beginning in the first quarter of 2016, certain operations and businesses, including several strategic business initiatives, that were previously presented in Corporate and Other are now presented in our Cable Communications segment to reflect a change in our management reporting presentation. For segment reporting purposes, we have adjusted all periods presented to reflect this change.</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w:t>
      </w:r>
    </w:p>
    <w:p>
      <w:pPr>
        <w:spacing w:after="0" w:line="55"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and total NBCUniversal, which resulted in a corresponding offsetting adjustment in Eliminations to reconcile to consolidated totals.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 addition, the Comcast and Comcast Cable Communications, LLC $6.25 billion revolving credit facility due 2017 (the “Comcast revolving credit facility”) and the Comcast commercial paper program are also fully and unconditionally guaranteed by NBCUniversal. The Comcast commercial paper program is supported by the Comcast revolving credit facility.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CCCL Parent also fully and unconditionally guarantee NBCUniversal Enterprise’s $4 billion senior notes, as well as the NBCUniversal Enterprise revolving credit facility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$3.5 billion of Universal Studios Japan term loans.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4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2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4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960" w:type="dxa"/>
            <w:vAlign w:val="bottom"/>
            <w:gridSpan w:val="2"/>
          </w:tcPr>
          <w:p>
            <w:pPr>
              <w:jc w:val="right"/>
              <w:ind w:right="153"/>
              <w:spacing w:after="0"/>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color w:val="auto"/>
                <w:w w:val="96"/>
              </w:rPr>
              <w:t>Parent</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178</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5,450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5,628</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6,375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6,375</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1,390</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1,689</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1,787</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14,904</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15,180</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5,768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5,768</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3,155</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3,638</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90,281</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113,635</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121,305</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43,623</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110,013</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(478,857)</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33,911</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34,122</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33,458</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33,458</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16,821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16,832</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1,258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2,059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(1,310)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2,237</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91,876</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113,782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86"/>
              </w:rPr>
              <w:t>121,305</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44,350</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279,453</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8"/>
              </w:rPr>
              <w:t>(480,167)</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170,599</w:t>
            </w: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2"/>
              </w:rPr>
              <w:t>Accounts payable and accrued expenses related to trade</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6,306</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6,333</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1,510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4,216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7,122</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1,749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1,366</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4,119</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3,571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13,398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19,084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33,406</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2,650</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8,208</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7,120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51,515</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68</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34,293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33,821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2,257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7,195</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10,431</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1,236</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1,236</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52,613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112,692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6"/>
              </w:rPr>
              <w:t>118,250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33,574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214,341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(478,857)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52,613</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52,642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112,692</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118,250</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33,574</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214,341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(478,857)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52,642</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1,870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1,870</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52,642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112,692</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86"/>
              </w:rPr>
              <w:t>118,250</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33,574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216,211</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8"/>
              </w:rPr>
              <w:t>(478,857)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54,512</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91,876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113,782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86"/>
              </w:rPr>
              <w:t>121,305</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44,350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279,453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8"/>
              </w:rPr>
              <w:t>(480,167)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170,599</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53"/>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0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79"/>
              </w:rPr>
              <w:t>Comcast</w:t>
            </w:r>
          </w:p>
        </w:tc>
        <w:tc>
          <w:tcPr>
            <w:tcW w:w="240" w:type="dxa"/>
            <w:vAlign w:val="bottom"/>
          </w:tcPr>
          <w:p>
            <w:pPr>
              <w:spacing w:after="0"/>
              <w:rPr>
                <w:sz w:val="12"/>
                <w:szCs w:val="12"/>
                <w:color w:val="auto"/>
              </w:rPr>
            </w:pPr>
          </w:p>
        </w:tc>
        <w:tc>
          <w:tcPr>
            <w:tcW w:w="70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w w:val="87"/>
              </w:rPr>
              <w:t>Parent</w:t>
            </w:r>
          </w:p>
        </w:tc>
        <w:tc>
          <w:tcPr>
            <w:tcW w:w="940" w:type="dxa"/>
            <w:vAlign w:val="bottom"/>
            <w:gridSpan w:val="2"/>
          </w:tcPr>
          <w:p>
            <w:pPr>
              <w:jc w:val="right"/>
              <w:ind w:right="133"/>
              <w:spacing w:after="0"/>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color w:val="auto"/>
                <w:w w:val="92"/>
              </w:rPr>
              <w:t>Parent</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1,881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6,896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1,813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11,803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5,855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2,761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3,224</w:t>
            </w:r>
          </w:p>
        </w:tc>
      </w:tr>
      <w:tr>
        <w:trPr>
          <w:trHeight w:val="208"/>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87,142</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111,241</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119,354</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42,441</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109,598</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33,455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32,945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16,934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2,114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Accounts payable and accrued expenses related to trade</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creditors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6,199</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1,572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3,961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6,764</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1,149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1,394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13,205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31,106</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2,650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8,211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34,098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7,258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08"/>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w w:val="89"/>
              </w:rPr>
              <w:t>Redeemable noncontrolling interests and redeemable subsidiary</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1,221</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52,240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52,240</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212,150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4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94"/>
              </w:rPr>
              <w:t>Comcast</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gridSpan w:val="2"/>
          </w:tcPr>
          <w:p>
            <w:pPr>
              <w:jc w:val="right"/>
              <w:ind w:right="52"/>
              <w:spacing w:after="0"/>
              <w:rPr>
                <w:sz w:val="20"/>
                <w:szCs w:val="20"/>
                <w:color w:val="auto"/>
              </w:rPr>
            </w:pPr>
            <w:r>
              <w:rPr>
                <w:rFonts w:ascii="Arial" w:cs="Arial" w:eastAsia="Arial" w:hAnsi="Arial"/>
                <w:sz w:val="14"/>
                <w:szCs w:val="14"/>
                <w:color w:val="auto"/>
              </w:rPr>
              <w:t>Parent</w:t>
            </w:r>
          </w:p>
        </w:tc>
        <w:tc>
          <w:tcPr>
            <w:tcW w:w="920" w:type="dxa"/>
            <w:vAlign w:val="bottom"/>
            <w:gridSpan w:val="2"/>
          </w:tcPr>
          <w:p>
            <w:pPr>
              <w:ind w:left="24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18,790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18,790</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18,790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18,790</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5,431</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5,431</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5,333</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5,525</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1,467</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1,467</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1,777</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1,785</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493</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14,500</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14,701</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4,290</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4,089</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32</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2,366</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2,264</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2,114</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(9,043)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1,915</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2,261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2,055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1,302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956</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(9,043)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2,009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2,261</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2,055</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1,007</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5,246</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(9,043)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(1,453)</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2,134</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2,262</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2,076</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3,793</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(9,043)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2,224</w:t>
            </w: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6"/>
              </w:rPr>
              <w:t>Net (income) loss attributable to noncontrolling interests and</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9"/>
        </w:trPr>
        <w:tc>
          <w:tcPr>
            <w:tcW w:w="20" w:type="dxa"/>
            <w:vAlign w:val="bottom"/>
          </w:tcPr>
          <w:p>
            <w:pPr>
              <w:spacing w:after="0"/>
              <w:rPr>
                <w:sz w:val="19"/>
                <w:szCs w:val="19"/>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2,134</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2,262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2,076</w:t>
            </w:r>
          </w:p>
        </w:tc>
        <w:tc>
          <w:tcPr>
            <w:tcW w:w="3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1,002</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3,703</w:t>
            </w:r>
          </w:p>
        </w:tc>
        <w:tc>
          <w:tcPr>
            <w:tcW w:w="3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(9,043)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2,134</w:t>
            </w:r>
          </w:p>
        </w:tc>
      </w:tr>
      <w:tr>
        <w:trPr>
          <w:trHeight w:val="202"/>
        </w:trPr>
        <w:tc>
          <w:tcPr>
            <w:tcW w:w="20" w:type="dxa"/>
            <w:vAlign w:val="bottom"/>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Comprehensive income (loss) attributable to Comcast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2,224</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2,306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2,078</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1,146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3,705</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(9,235)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2,224</w:t>
            </w: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17,853</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17,853</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17,853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17,853</w:t>
            </w:r>
          </w:p>
        </w:tc>
      </w:tr>
      <w:tr>
        <w:trPr>
          <w:trHeight w:val="210"/>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5,463</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5,463</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4,855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5,074</w:t>
            </w: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1,360</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1,360</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1,626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1,634</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w:t>
            </w:r>
          </w:p>
        </w:tc>
      </w:tr>
      <w:tr>
        <w:trPr>
          <w:trHeight w:val="210"/>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13,735</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13,963</w:t>
            </w: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4,118</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3,890</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2,322</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2,226</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1,992</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(8,623)</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102</w:t>
            </w:r>
          </w:p>
        </w:tc>
      </w:tr>
      <w:tr>
        <w:trPr>
          <w:trHeight w:val="210"/>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8"/>
              </w:rPr>
              <w:t>1,908</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2,225</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1,919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989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(8,623)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10"/>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1,917</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2,225</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1,919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5,107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(8,623)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3,402</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r>
      <w:tr>
        <w:trPr>
          <w:trHeight w:val="210"/>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2,059</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2,225</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1,944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3,684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(8,623)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2,141</w:t>
            </w: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Net (income) loss attributable to noncontrolling interests and</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9"/>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8"/>
              </w:rPr>
              <w:t>2,059</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2,225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1,944</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852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3,602</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(8,623)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2,059</w:t>
            </w:r>
          </w:p>
        </w:tc>
      </w:tr>
      <w:tr>
        <w:trPr>
          <w:trHeight w:val="202"/>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2,017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2,209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1,942</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801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3,601</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(8,553)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2,017</w:t>
            </w: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5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CCCL</w:t>
            </w:r>
          </w:p>
        </w:tc>
        <w:tc>
          <w:tcPr>
            <w:tcW w:w="1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color w:val="auto"/>
                <w:w w:val="77"/>
              </w:rPr>
              <w:t>Parent</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color w:val="auto"/>
              </w:rPr>
              <w:t>Holdings</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Parent</w:t>
            </w:r>
          </w:p>
        </w:tc>
        <w:tc>
          <w:tcPr>
            <w:tcW w:w="1240" w:type="dxa"/>
            <w:vAlign w:val="bottom"/>
            <w:gridSpan w:val="2"/>
          </w:tcPr>
          <w:p>
            <w:pPr>
              <w:jc w:val="right"/>
              <w:ind w:right="212"/>
              <w:spacing w:after="0"/>
              <w:rPr>
                <w:sz w:val="20"/>
                <w:szCs w:val="20"/>
                <w:color w:val="auto"/>
              </w:rPr>
            </w:pPr>
            <w:r>
              <w:rPr>
                <w:rFonts w:ascii="Arial" w:cs="Arial" w:eastAsia="Arial" w:hAnsi="Arial"/>
                <w:sz w:val="14"/>
                <w:szCs w:val="14"/>
                <w:color w:val="auto"/>
              </w:rPr>
              <w:t>Media Parent</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(490)</w:t>
            </w:r>
          </w:p>
        </w:tc>
        <w:tc>
          <w:tcPr>
            <w:tcW w:w="36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78</w:t>
            </w:r>
          </w:p>
        </w:tc>
        <w:tc>
          <w:tcPr>
            <w:tcW w:w="46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(391)</w:t>
            </w:r>
          </w:p>
        </w:tc>
        <w:tc>
          <w:tcPr>
            <w:tcW w:w="32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5,913</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5,110</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(679)</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7"/>
              </w:rPr>
              <w:t>(78)</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694</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(1,882)</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(378)</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(378)</w:t>
            </w:r>
          </w:p>
        </w:tc>
      </w:tr>
      <w:tr>
        <w:trPr>
          <w:trHeight w:val="208"/>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properties</w:t>
            </w:r>
          </w:p>
        </w:tc>
        <w:tc>
          <w:tcPr>
            <w:tcW w:w="3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7"/>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2"/>
              </w:rPr>
              <w:t>Proceeds from sales of businesses and investments</w:t>
            </w:r>
          </w:p>
        </w:tc>
        <w:tc>
          <w:tcPr>
            <w:tcW w:w="3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(682)</w:t>
            </w:r>
          </w:p>
        </w:tc>
        <w:tc>
          <w:tcPr>
            <w:tcW w:w="3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7"/>
              </w:rPr>
              <w:t>(78)</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(2,108)</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(2,709)</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short-term</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borrowings, net</w:t>
            </w:r>
          </w:p>
        </w:tc>
        <w:tc>
          <w:tcPr>
            <w:tcW w:w="3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3,323</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3,323</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(44)</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3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w w:val="84"/>
              </w:rPr>
              <w:t>(1,249)</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(611)</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3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08"/>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 and</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dividends for redeemable subsidiary preferred</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3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(77)</w:t>
            </w:r>
          </w:p>
        </w:tc>
        <w:tc>
          <w:tcPr>
            <w:tcW w:w="3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1,172</w:t>
            </w:r>
          </w:p>
        </w:tc>
        <w:tc>
          <w:tcPr>
            <w:tcW w:w="3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932</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3,333</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414</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1,881</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2,295</w:t>
            </w:r>
          </w:p>
        </w:tc>
      </w:tr>
      <w:tr>
        <w:trPr>
          <w:trHeight w:val="217"/>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178</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5,450</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5,628</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35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CCCL</w:t>
            </w:r>
          </w:p>
        </w:tc>
        <w:tc>
          <w:tcPr>
            <w:tcW w:w="12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NBCUniversal</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color w:val="auto"/>
                <w:w w:val="77"/>
              </w:rPr>
              <w:t>Parent</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124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(294)</w:t>
            </w:r>
          </w:p>
        </w:tc>
        <w:tc>
          <w:tcPr>
            <w:tcW w:w="36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34</w:t>
            </w:r>
          </w:p>
        </w:tc>
        <w:tc>
          <w:tcPr>
            <w:tcW w:w="48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(361)</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5,867</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5,245</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3,609</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(34)</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(3,897)</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(1,720)</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w:t>
            </w:r>
          </w:p>
        </w:tc>
      </w:tr>
      <w:tr>
        <w:trPr>
          <w:trHeight w:val="208"/>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properties</w:t>
            </w:r>
          </w:p>
        </w:tc>
        <w:tc>
          <w:tcPr>
            <w:tcW w:w="3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2"/>
              </w:rPr>
              <w:t>Proceeds from sales of businesses and investments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181</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3,603</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(34)</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(5,580)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(repayments of) short-term</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3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7"/>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3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84"/>
              </w:rPr>
              <w:t>(2,000)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28</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r>
      <w:tr>
        <w:trPr>
          <w:trHeight w:val="208"/>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 and</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w w:val="98"/>
              </w:rPr>
              <w:t>dividends for redeemable subsidiary preferred</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stock</w:t>
            </w:r>
          </w:p>
        </w:tc>
        <w:tc>
          <w:tcPr>
            <w:tcW w:w="3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7"/>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135</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84"/>
              </w:rPr>
              <w:t>(3,309)</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(214)</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73</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385</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3,525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3,910</w:t>
            </w:r>
          </w:p>
        </w:tc>
      </w:tr>
      <w:tr>
        <w:trPr>
          <w:trHeight w:val="217"/>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339</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3,598</w:t>
            </w:r>
          </w:p>
        </w:tc>
        <w:tc>
          <w:tcPr>
            <w:tcW w:w="3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3,937</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one of the nation’s largest providers of video, high-speed Internet and voice services (“cable services”) to residential customers under the XFINITY brand, and we also provide these and other services to business customers. As of March 31, 2016, our cable systems had 28.0 million total customer relationships; served 22.4 million video customers, 23.8 million high-speed Internet customers and 11.6 million voice customers; and passed more than 55 million homes and businesses. Our Cable Communications segment generates revenue primarily from residential and business customers subscribing to our cable services, which we market individually and as bundled services, and from the sale of advertising. During the three months ended March 31, 2016, our Cable Communications segment generated 65% of our consolidated revenue and 77%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various international cable networks, our cable television studio production operations, and related digital media properties. Our Cable Networks segment generates revenue primarily from the distribution of our cable network programming to multichannel video providers, from the sale of advertising units on our cable networks and related digital media properties, from the licensing of our owned programming to cable and broadcast networks and subscription video on demand services, and from the sale of our owned programming through digital distributors such as iTunes. Our Cable Networks segment also generates revenue from the production of programming for third-party networks and subscription video on demand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units on our broadcast networks, owned local television stations and related digital media properties, from the licensing of our owned programming to various distribution platforms, including to cable and broadcast networks as well as to subscription video on demand services, from fees received under retransmission consent agreements, and from the sale of our owned programming on standard-definition video discs and Blu-ray discs (together, “DVDs”) and in digital formats.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Universal Pictures, Illumination and Focus Features names. Our Filmed Entertainment segment generates revenue primarily from the worldwide theatrical release of our owned and acquired films for exhibition in movie theaters, from the licensing of our owned and acquired films through various distribution platforms, and from the sale of our owned and acquired films on DVDs and in digital formats. Our Filmed Entertainment segment also generates revenue from producing and licensing live stage plays, from distributing filmed entertainment produced by third parties, and from Fandango, our movie ticketing and entertainment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Florida and Hollywood, California. In November 2015, NBCUniversal acquired a 51% interest in the Universal Studios theme park in Osaka, Japan (“Universal Studios Japan”). In addition, along with a consortium of Chinese state-owned companies, we are developing a theme park in China. Our Theme Parks segment generates revenue primarily from ticket sales and guest spending at our theme parks, as well as from licensing and other fees for intellectual property licenses and other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additional information on the competition our businesses face, see Item 1A: Risk Factors included in our 2015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alternative methods for viewing content may adversely affect our businesses and challenge existing business models.”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Revenue in our Cable Communications, Cable Networks and Broadcast Television segments is subject to cyclical advertising patterns and changes in viewership levels. Our U.S. advertising revenue is generally higher 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1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 and through digital distribution services.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and weather variations, local entertainment offerings and the opening of new attractions. Our theme parks generally experience peak attendance during the summer months when schools are closed and during early winter and spring holiday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right"/>
              <w:ind w:right="174"/>
              <w:spacing w:after="0"/>
              <w:rPr>
                <w:sz w:val="20"/>
                <w:szCs w:val="20"/>
                <w:color w:val="auto"/>
              </w:rPr>
            </w:pPr>
            <w:r>
              <w:rPr>
                <w:rFonts w:ascii="Arial" w:cs="Arial" w:eastAsia="Arial" w:hAnsi="Arial"/>
                <w:sz w:val="14"/>
                <w:szCs w:val="14"/>
                <w:color w:val="auto"/>
                <w:w w:val="87"/>
              </w:rPr>
              <w:t>Three Months Ended</w:t>
            </w:r>
          </w:p>
        </w:tc>
        <w:tc>
          <w:tcPr>
            <w:tcW w:w="9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474"/>
              <w:spacing w:after="0" w:line="159" w:lineRule="exact"/>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216"/>
              <w:spacing w:after="0" w:line="142" w:lineRule="exact"/>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2"/>
                <w:szCs w:val="12"/>
                <w:color w:val="auto"/>
              </w:rPr>
            </w:pPr>
          </w:p>
        </w:tc>
        <w:tc>
          <w:tcPr>
            <w:tcW w:w="620" w:type="dxa"/>
            <w:vAlign w:val="bottom"/>
          </w:tcPr>
          <w:p>
            <w:pPr>
              <w:jc w:val="right"/>
              <w:ind w:right="214"/>
              <w:spacing w:after="0" w:line="142" w:lineRule="exact"/>
              <w:rPr>
                <w:sz w:val="20"/>
                <w:szCs w:val="20"/>
                <w:color w:val="auto"/>
              </w:rPr>
            </w:pPr>
            <w:r>
              <w:rPr>
                <w:rFonts w:ascii="Arial" w:cs="Arial" w:eastAsia="Arial" w:hAnsi="Arial"/>
                <w:sz w:val="14"/>
                <w:szCs w:val="14"/>
                <w:color w:val="auto"/>
                <w:w w:val="96"/>
              </w:rPr>
              <w:t>2015</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w w:val="83"/>
              </w:rPr>
              <w:t>18,790</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3"/>
              </w:rPr>
              <w:t>17,853</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5,431</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5,463</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5,525</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5,074</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1,360</w:t>
            </w:r>
          </w:p>
        </w:tc>
        <w:tc>
          <w:tcPr>
            <w:tcW w:w="9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1,634</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493</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432</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4,089</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3,890</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(488)</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3,535</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3,402</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(1,311)</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(1,261)</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2,224</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2,141</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Cable Networks and Theme Parks segments accounted for the increase in consolidated revenue for the three months ended March 31, 2016. The increase in our Theme Parks segment was associated with the acquisition of a 51% interest in Universal Studios Japan in November 2015. The increase in consolidated revenue was partially offset by a decrease in revenue in our Broadcast Television and Filmed Entertainment segments. Consolidated revenue for the three months ended March 31, 2015 includes $376 million of revenue associated with our broadcast of the 2015 Super Bowl in February 2015.</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Cable Networks, Filmed Entertainment and Theme Parks segments accounted for substantially all of the increase in consolidated operating costs and expenses for the three months ended March 31, 2016. The increase in our Theme Parks segment was associated with the acquisition of a 51% interest in Universal Studios Japan in November 2015. The increase in consolidated operating costs and expenses was partially offset by lower operating costs and expenses in our Broadcast Television segment, which is primarily due to our broadcast of the 2015 Super Bowl in the prior year period. For the three months ended March 31, 2015, our consolidated operating costs and expenses also include transaction-related costs associated with the Time Warner Cable merger and the divestiture transactions of $99 million.</w:t>
      </w:r>
    </w:p>
    <w:p>
      <w:pPr>
        <w:spacing w:after="0" w:line="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Operating costs and expenses for our segments is discussed separately below under the heading “Segment Operating Results.” Operating costs and expenses for our corporate and other businesses is discussed separately below under the heading “Corporate and Other Results of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00" w:type="dxa"/>
            <w:vAlign w:val="bottom"/>
            <w:gridSpan w:val="2"/>
          </w:tcPr>
          <w:p>
            <w:pPr>
              <w:jc w:val="right"/>
              <w:ind w:right="96"/>
              <w:spacing w:after="0"/>
              <w:rPr>
                <w:sz w:val="20"/>
                <w:szCs w:val="20"/>
                <w:color w:val="auto"/>
              </w:rPr>
            </w:pPr>
            <w:r>
              <w:rPr>
                <w:rFonts w:ascii="Arial" w:cs="Arial" w:eastAsia="Arial" w:hAnsi="Arial"/>
                <w:sz w:val="14"/>
                <w:szCs w:val="14"/>
                <w:color w:val="auto"/>
                <w:w w:val="99"/>
              </w:rPr>
              <w:t>Three Months Ended</w:t>
            </w:r>
          </w:p>
        </w:tc>
        <w:tc>
          <w:tcPr>
            <w:tcW w:w="920" w:type="dxa"/>
            <w:vAlign w:val="bottom"/>
          </w:tcPr>
          <w:p>
            <w:pPr>
              <w:jc w:val="right"/>
              <w:ind w:right="199"/>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90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gridSpan w:val="2"/>
          </w:tcPr>
          <w:p>
            <w:pPr>
              <w:jc w:val="right"/>
              <w:ind w:right="396"/>
              <w:spacing w:after="0" w:line="159" w:lineRule="exact"/>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95"/>
              </w:rPr>
              <w:t>(Decrease)</w:t>
            </w:r>
          </w:p>
        </w:tc>
        <w:tc>
          <w:tcPr>
            <w:tcW w:w="0" w:type="dxa"/>
            <w:vAlign w:val="bottom"/>
          </w:tcPr>
          <w:p>
            <w:pPr>
              <w:spacing w:after="0"/>
              <w:rPr>
                <w:sz w:val="1"/>
                <w:szCs w:val="1"/>
                <w:color w:val="auto"/>
              </w:rPr>
            </w:pPr>
          </w:p>
        </w:tc>
      </w:tr>
      <w:tr>
        <w:trPr>
          <w:trHeight w:val="142"/>
        </w:trPr>
        <w:tc>
          <w:tcPr>
            <w:tcW w:w="90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color w:val="auto"/>
              </w:rPr>
              <w:t>2016</w:t>
            </w:r>
          </w:p>
        </w:tc>
        <w:tc>
          <w:tcPr>
            <w:tcW w:w="7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p>
        </w:tc>
        <w:tc>
          <w:tcPr>
            <w:tcW w:w="76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$ 1,843</w:t>
            </w:r>
          </w:p>
        </w:tc>
        <w:tc>
          <w:tcPr>
            <w:tcW w:w="7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$ 1,680</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NBCUniversal</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414</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364</w:t>
            </w: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9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Corporate and Other</w:t>
            </w:r>
          </w:p>
        </w:tc>
        <w:tc>
          <w:tcPr>
            <w:tcW w:w="76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$ 2,278</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$ 2,066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depreciation and amortization expenses increased for the three months ended March 31, 2016 primarily due to increases in capital expenditures, as well as expenditures for software, in our Cable Communications segment in recent years and the acquisition of a 51% interest in Universal Studios Japan in NBCUniversal’s Theme Parks segment. We continue to invest in customer premise equipment, primarily for our X1 platform, wireless gateways and Cloud DVR technology, and in equipment to increase our network capacity. In addition, because these assets generally have shorter estimated useful lives, our depreciation expenses have increased.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12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adjusted prior period segment operating results to reflect certain changes in our management reporting presentation. See Note 12 to Comcast’s condensed consolidated financial statements and Note 10 to NBCUniversal’s condensed consolidated financial statements for additional information on these changes.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77"/>
              <w:spacing w:after="0"/>
              <w:rPr>
                <w:sz w:val="20"/>
                <w:szCs w:val="20"/>
                <w:color w:val="auto"/>
              </w:rPr>
            </w:pPr>
            <w:r>
              <w:rPr>
                <w:rFonts w:ascii="Arial" w:cs="Arial" w:eastAsia="Arial" w:hAnsi="Arial"/>
                <w:sz w:val="14"/>
                <w:szCs w:val="14"/>
                <w:color w:val="auto"/>
              </w:rPr>
              <w:t>Three Months Ended</w:t>
            </w:r>
          </w:p>
        </w:tc>
        <w:tc>
          <w:tcPr>
            <w:tcW w:w="1260" w:type="dxa"/>
            <w:vAlign w:val="bottom"/>
            <w:gridSpan w:val="2"/>
          </w:tcPr>
          <w:p>
            <w:pPr>
              <w:jc w:val="right"/>
              <w:ind w:right="3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97"/>
              <w:spacing w:after="0" w:line="159" w:lineRule="exact"/>
              <w:rPr>
                <w:sz w:val="20"/>
                <w:szCs w:val="20"/>
                <w:color w:val="auto"/>
              </w:rPr>
            </w:pPr>
            <w:r>
              <w:rPr>
                <w:rFonts w:ascii="Arial" w:cs="Arial" w:eastAsia="Arial" w:hAnsi="Arial"/>
                <w:sz w:val="14"/>
                <w:szCs w:val="14"/>
                <w:color w:val="auto"/>
              </w:rPr>
              <w:t>March 31</w:t>
            </w:r>
          </w:p>
        </w:tc>
        <w:tc>
          <w:tcPr>
            <w:tcW w:w="126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55"/>
              <w:spacing w:after="0" w:line="142" w:lineRule="exact"/>
              <w:rPr>
                <w:sz w:val="20"/>
                <w:szCs w:val="20"/>
                <w:color w:val="auto"/>
              </w:rPr>
            </w:pPr>
            <w:r>
              <w:rPr>
                <w:rFonts w:ascii="Arial" w:cs="Arial" w:eastAsia="Arial" w:hAnsi="Arial"/>
                <w:sz w:val="14"/>
                <w:szCs w:val="14"/>
                <w:color w:val="auto"/>
                <w:w w:val="89"/>
              </w:rPr>
              <w:t>2016</w:t>
            </w:r>
          </w:p>
        </w:tc>
        <w:tc>
          <w:tcPr>
            <w:tcW w:w="140" w:type="dxa"/>
            <w:vAlign w:val="bottom"/>
          </w:tcPr>
          <w:p>
            <w:pPr>
              <w:spacing w:after="0"/>
              <w:rPr>
                <w:sz w:val="12"/>
                <w:szCs w:val="12"/>
                <w:color w:val="auto"/>
              </w:rPr>
            </w:pPr>
          </w:p>
        </w:tc>
        <w:tc>
          <w:tcPr>
            <w:tcW w:w="50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9"/>
              </w:rPr>
              <w:t>2015</w:t>
            </w:r>
          </w:p>
        </w:tc>
        <w:tc>
          <w:tcPr>
            <w:tcW w:w="70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860"/>
              <w:spacing w:after="0"/>
              <w:rPr>
                <w:sz w:val="20"/>
                <w:szCs w:val="20"/>
                <w:color w:val="auto"/>
              </w:rPr>
            </w:pPr>
            <w:r>
              <w:rPr>
                <w:rFonts w:ascii="Arial" w:cs="Arial" w:eastAsia="Arial" w:hAnsi="Arial"/>
                <w:sz w:val="18"/>
                <w:szCs w:val="18"/>
                <w:color w:val="auto"/>
              </w:rPr>
              <w:t>Video</w:t>
            </w:r>
          </w:p>
        </w:tc>
        <w:tc>
          <w:tcPr>
            <w:tcW w:w="430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93"/>
              </w:rPr>
              <w:t>5,538</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5,331</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$207</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High-speed Internet</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w w:val="93"/>
              </w:rPr>
              <w:t>3,275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3,044</w:t>
            </w:r>
          </w:p>
        </w:tc>
        <w:tc>
          <w:tcPr>
            <w:tcW w:w="700" w:type="dxa"/>
            <w:vAlign w:val="bottom"/>
          </w:tcPr>
          <w:p>
            <w:pPr>
              <w:jc w:val="right"/>
              <w:ind w:right="95"/>
              <w:spacing w:after="0"/>
              <w:rPr>
                <w:sz w:val="20"/>
                <w:szCs w:val="20"/>
                <w:color w:val="auto"/>
              </w:rPr>
            </w:pPr>
            <w:r>
              <w:rPr>
                <w:rFonts w:ascii="Arial" w:cs="Arial" w:eastAsia="Arial" w:hAnsi="Arial"/>
                <w:sz w:val="18"/>
                <w:szCs w:val="18"/>
                <w:color w:val="auto"/>
              </w:rPr>
              <w:t>231</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860"/>
              <w:spacing w:after="0"/>
              <w:rPr>
                <w:sz w:val="20"/>
                <w:szCs w:val="20"/>
                <w:color w:val="auto"/>
              </w:rPr>
            </w:pPr>
            <w:r>
              <w:rPr>
                <w:rFonts w:ascii="Arial" w:cs="Arial" w:eastAsia="Arial" w:hAnsi="Arial"/>
                <w:sz w:val="18"/>
                <w:szCs w:val="18"/>
                <w:color w:val="auto"/>
              </w:rPr>
              <w:t>Voice</w:t>
            </w:r>
          </w:p>
        </w:tc>
        <w:tc>
          <w:tcPr>
            <w:tcW w:w="3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906</w:t>
            </w:r>
          </w:p>
        </w:tc>
        <w:tc>
          <w:tcPr>
            <w:tcW w:w="7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(10)</w:t>
            </w:r>
          </w:p>
        </w:tc>
        <w:tc>
          <w:tcPr>
            <w:tcW w:w="5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Business services</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w w:val="93"/>
              </w:rPr>
              <w:t>1,311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1,116</w:t>
            </w:r>
          </w:p>
        </w:tc>
        <w:tc>
          <w:tcPr>
            <w:tcW w:w="700" w:type="dxa"/>
            <w:vAlign w:val="bottom"/>
          </w:tcPr>
          <w:p>
            <w:pPr>
              <w:jc w:val="right"/>
              <w:ind w:right="95"/>
              <w:spacing w:after="0"/>
              <w:rPr>
                <w:sz w:val="20"/>
                <w:szCs w:val="20"/>
                <w:color w:val="auto"/>
              </w:rPr>
            </w:pPr>
            <w:r>
              <w:rPr>
                <w:rFonts w:ascii="Arial" w:cs="Arial" w:eastAsia="Arial" w:hAnsi="Arial"/>
                <w:sz w:val="18"/>
                <w:szCs w:val="18"/>
                <w:color w:val="auto"/>
              </w:rPr>
              <w:t>195</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499</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60</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1"/>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625</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80</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940" w:type="dxa"/>
            <w:vAlign w:val="bottom"/>
            <w:gridSpan w:val="4"/>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12,204</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11,441</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763</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w:t>
            </w:r>
          </w:p>
        </w:tc>
        <w:tc>
          <w:tcPr>
            <w:tcW w:w="3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93"/>
              </w:rPr>
              <w:t>2,891</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2,644</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Technical and product support</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w w:val="93"/>
              </w:rPr>
              <w:t>1,530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1,440</w:t>
            </w:r>
          </w:p>
        </w:tc>
        <w:tc>
          <w:tcPr>
            <w:tcW w:w="700" w:type="dxa"/>
            <w:vAlign w:val="bottom"/>
          </w:tcPr>
          <w:p>
            <w:pPr>
              <w:jc w:val="right"/>
              <w:ind w:right="95"/>
              <w:spacing w:after="0"/>
              <w:rPr>
                <w:sz w:val="20"/>
                <w:szCs w:val="20"/>
                <w:color w:val="auto"/>
              </w:rPr>
            </w:pPr>
            <w:r>
              <w:rPr>
                <w:rFonts w:ascii="Arial" w:cs="Arial" w:eastAsia="Arial" w:hAnsi="Arial"/>
                <w:sz w:val="18"/>
                <w:szCs w:val="18"/>
                <w:color w:val="auto"/>
              </w:rPr>
              <w:t>90</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Customer service</w:t>
            </w:r>
          </w:p>
        </w:tc>
        <w:tc>
          <w:tcPr>
            <w:tcW w:w="3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582</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47</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Franchise and other regulatory fees</w:t>
            </w: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w:t>
            </w:r>
          </w:p>
        </w:tc>
        <w:tc>
          <w:tcPr>
            <w:tcW w:w="7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789</w:t>
            </w:r>
          </w:p>
        </w:tc>
        <w:tc>
          <w:tcPr>
            <w:tcW w:w="7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48</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3"/>
              </w:rPr>
              <w:t>1,063</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69</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6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93"/>
              </w:rPr>
              <w:t>7,315</w:t>
            </w:r>
          </w:p>
        </w:tc>
        <w:tc>
          <w:tcPr>
            <w:tcW w:w="1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6,783</w:t>
            </w:r>
          </w:p>
        </w:tc>
        <w:tc>
          <w:tcPr>
            <w:tcW w:w="7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532</w:t>
            </w:r>
          </w:p>
        </w:tc>
        <w:tc>
          <w:tcPr>
            <w:tcW w:w="5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Operating income before depreciation and amortization</w:t>
            </w:r>
          </w:p>
        </w:tc>
        <w:tc>
          <w:tcPr>
            <w:tcW w:w="4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w w:val="93"/>
              </w:rPr>
              <w:t>4,889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4,658</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$231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300" w:type="dxa"/>
            <w:vAlign w:val="bottom"/>
            <w:gridSpan w:val="3"/>
          </w:tcPr>
          <w:p>
            <w:pPr>
              <w:jc w:val="right"/>
              <w:ind w:right="2352"/>
              <w:spacing w:after="0"/>
              <w:rPr>
                <w:sz w:val="20"/>
                <w:szCs w:val="20"/>
                <w:color w:val="auto"/>
              </w:rPr>
            </w:pPr>
            <w:r>
              <w:rPr>
                <w:rFonts w:ascii="Arial" w:cs="Arial" w:eastAsia="Arial" w:hAnsi="Arial"/>
                <w:sz w:val="18"/>
                <w:szCs w:val="18"/>
                <w:b w:val="1"/>
                <w:bCs w:val="1"/>
                <w:color w:val="auto"/>
              </w:rPr>
              <w:t>Customer Metrics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3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Total Customers</w:t>
            </w:r>
          </w:p>
        </w:tc>
        <w:tc>
          <w:tcPr>
            <w:tcW w:w="1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8"/>
              </w:rPr>
              <w:t>Net Additional Customers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3"/>
          </w:tcPr>
          <w:p>
            <w:pPr>
              <w:jc w:val="center"/>
              <w:ind w:left="17"/>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6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15"/>
              <w:spacing w:after="0" w:line="159" w:lineRule="exact"/>
              <w:rPr>
                <w:sz w:val="20"/>
                <w:szCs w:val="20"/>
                <w:color w:val="auto"/>
              </w:rPr>
            </w:pPr>
            <w:r>
              <w:rPr>
                <w:rFonts w:ascii="Arial" w:cs="Arial" w:eastAsia="Arial" w:hAnsi="Arial"/>
                <w:sz w:val="14"/>
                <w:szCs w:val="14"/>
                <w:color w:val="auto"/>
                <w:w w:val="95"/>
              </w:rPr>
              <w:t>March 31</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left="55"/>
              <w:spacing w:after="0" w:line="159" w:lineRule="exact"/>
              <w:rPr>
                <w:sz w:val="20"/>
                <w:szCs w:val="20"/>
                <w:color w:val="auto"/>
              </w:rPr>
            </w:pPr>
            <w:r>
              <w:rPr>
                <w:rFonts w:ascii="Arial" w:cs="Arial" w:eastAsia="Arial" w:hAnsi="Arial"/>
                <w:sz w:val="14"/>
                <w:szCs w:val="14"/>
                <w:color w:val="auto"/>
                <w:w w:val="89"/>
              </w:rPr>
              <w:t>March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gridSpan w:val="2"/>
          </w:tcPr>
          <w:p>
            <w:pPr>
              <w:jc w:val="right"/>
              <w:ind w:right="92"/>
              <w:spacing w:after="0" w:line="142" w:lineRule="exact"/>
              <w:rPr>
                <w:sz w:val="20"/>
                <w:szCs w:val="20"/>
                <w:color w:val="auto"/>
              </w:rPr>
            </w:pPr>
            <w:r>
              <w:rPr>
                <w:rFonts w:ascii="Arial" w:cs="Arial" w:eastAsia="Arial" w:hAnsi="Arial"/>
                <w:sz w:val="14"/>
                <w:szCs w:val="14"/>
                <w:color w:val="auto"/>
              </w:rPr>
              <w:t>2016</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2015</w:t>
            </w:r>
          </w:p>
        </w:tc>
        <w:tc>
          <w:tcPr>
            <w:tcW w:w="140" w:type="dxa"/>
            <w:vAlign w:val="bottom"/>
          </w:tcPr>
          <w:p>
            <w:pPr>
              <w:spacing w:after="0"/>
              <w:rPr>
                <w:sz w:val="12"/>
                <w:szCs w:val="12"/>
                <w:color w:val="auto"/>
              </w:rPr>
            </w:pPr>
          </w:p>
        </w:tc>
        <w:tc>
          <w:tcPr>
            <w:tcW w:w="1200" w:type="dxa"/>
            <w:vAlign w:val="bottom"/>
            <w:gridSpan w:val="2"/>
          </w:tcPr>
          <w:p>
            <w:pPr>
              <w:jc w:val="right"/>
              <w:ind w:right="475"/>
              <w:spacing w:after="0" w:line="142" w:lineRule="exact"/>
              <w:rPr>
                <w:sz w:val="20"/>
                <w:szCs w:val="20"/>
                <w:color w:val="auto"/>
              </w:rPr>
            </w:pPr>
            <w:r>
              <w:rPr>
                <w:rFonts w:ascii="Arial" w:cs="Arial" w:eastAsia="Arial" w:hAnsi="Arial"/>
                <w:sz w:val="14"/>
                <w:szCs w:val="14"/>
                <w:color w:val="auto"/>
              </w:rPr>
              <w:t>2016</w:t>
            </w:r>
          </w:p>
        </w:tc>
        <w:tc>
          <w:tcPr>
            <w:tcW w:w="560" w:type="dxa"/>
            <w:vAlign w:val="bottom"/>
          </w:tcPr>
          <w:p>
            <w:pPr>
              <w:jc w:val="right"/>
              <w:ind w:right="214"/>
              <w:spacing w:after="0" w:line="142" w:lineRule="exact"/>
              <w:rPr>
                <w:sz w:val="20"/>
                <w:szCs w:val="20"/>
                <w:color w:val="auto"/>
              </w:rPr>
            </w:pPr>
            <w:r>
              <w:rPr>
                <w:rFonts w:ascii="Arial" w:cs="Arial" w:eastAsia="Arial" w:hAnsi="Arial"/>
                <w:sz w:val="14"/>
                <w:szCs w:val="14"/>
                <w:color w:val="auto"/>
                <w:w w:val="76"/>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4300" w:type="dxa"/>
            <w:vAlign w:val="bottom"/>
            <w:tcBorders>
              <w:top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color w:val="auto"/>
              </w:rPr>
              <w:t>27,970</w:t>
            </w:r>
          </w:p>
        </w:tc>
        <w:tc>
          <w:tcPr>
            <w:tcW w:w="7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27,234</w:t>
            </w:r>
          </w:p>
        </w:tc>
        <w:tc>
          <w:tcPr>
            <w:tcW w:w="5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w w:val="93"/>
              </w:rPr>
              <w:t>269</w:t>
            </w:r>
          </w:p>
        </w:tc>
        <w:tc>
          <w:tcPr>
            <w:tcW w:w="56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Single product customers</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8,410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8,399</w:t>
            </w:r>
          </w:p>
        </w:tc>
        <w:tc>
          <w:tcPr>
            <w:tcW w:w="500" w:type="dxa"/>
            <w:vAlign w:val="bottom"/>
          </w:tcPr>
          <w:p>
            <w:pPr>
              <w:spacing w:after="0"/>
              <w:rPr>
                <w:sz w:val="18"/>
                <w:szCs w:val="18"/>
                <w:color w:val="auto"/>
              </w:rPr>
            </w:pPr>
          </w:p>
        </w:tc>
        <w:tc>
          <w:tcPr>
            <w:tcW w:w="700" w:type="dxa"/>
            <w:vAlign w:val="bottom"/>
          </w:tcPr>
          <w:p>
            <w:pPr>
              <w:jc w:val="right"/>
              <w:ind w:right="315"/>
              <w:spacing w:after="0"/>
              <w:rPr>
                <w:sz w:val="20"/>
                <w:szCs w:val="20"/>
                <w:color w:val="auto"/>
              </w:rPr>
            </w:pPr>
            <w:r>
              <w:rPr>
                <w:rFonts w:ascii="Arial" w:cs="Arial" w:eastAsia="Arial" w:hAnsi="Arial"/>
                <w:sz w:val="18"/>
                <w:szCs w:val="18"/>
                <w:color w:val="auto"/>
              </w:rPr>
              <w:t>45</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Double product customers</w:t>
            </w:r>
          </w:p>
        </w:tc>
        <w:tc>
          <w:tcPr>
            <w:tcW w:w="430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9,346</w:t>
            </w:r>
          </w:p>
        </w:tc>
        <w:tc>
          <w:tcPr>
            <w:tcW w:w="7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8,890</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w w:val="93"/>
              </w:rPr>
              <w:t>125</w:t>
            </w:r>
          </w:p>
        </w:tc>
        <w:tc>
          <w:tcPr>
            <w:tcW w:w="5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Triple product customers</w:t>
            </w:r>
          </w:p>
        </w:tc>
        <w:tc>
          <w:tcPr>
            <w:tcW w:w="4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10,214</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9,945</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99</w:t>
            </w: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430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22,400</w:t>
            </w:r>
          </w:p>
        </w:tc>
        <w:tc>
          <w:tcPr>
            <w:tcW w:w="7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22,375</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53</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23,767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22,369</w:t>
            </w:r>
          </w:p>
        </w:tc>
        <w:tc>
          <w:tcPr>
            <w:tcW w:w="500" w:type="dxa"/>
            <w:vAlign w:val="bottom"/>
          </w:tcPr>
          <w:p>
            <w:pPr>
              <w:spacing w:after="0"/>
              <w:rPr>
                <w:sz w:val="18"/>
                <w:szCs w:val="18"/>
                <w:color w:val="auto"/>
              </w:rPr>
            </w:pPr>
          </w:p>
        </w:tc>
        <w:tc>
          <w:tcPr>
            <w:tcW w:w="700" w:type="dxa"/>
            <w:vAlign w:val="bottom"/>
          </w:tcPr>
          <w:p>
            <w:pPr>
              <w:jc w:val="right"/>
              <w:ind w:right="315"/>
              <w:spacing w:after="0"/>
              <w:rPr>
                <w:sz w:val="20"/>
                <w:szCs w:val="20"/>
                <w:color w:val="auto"/>
              </w:rPr>
            </w:pPr>
            <w:r>
              <w:rPr>
                <w:rFonts w:ascii="Arial" w:cs="Arial" w:eastAsia="Arial" w:hAnsi="Arial"/>
                <w:sz w:val="18"/>
                <w:szCs w:val="18"/>
                <w:color w:val="auto"/>
                <w:w w:val="93"/>
              </w:rPr>
              <w:t>438</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430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color w:val="auto"/>
              </w:rPr>
              <w:t>11,577</w:t>
            </w:r>
          </w:p>
        </w:tc>
        <w:tc>
          <w:tcPr>
            <w:tcW w:w="7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11,270</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w w:val="93"/>
              </w:rPr>
              <w:t>102</w:t>
            </w:r>
          </w:p>
        </w:tc>
        <w:tc>
          <w:tcPr>
            <w:tcW w:w="5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monthly total revenue per customer relationship</w:t>
            </w:r>
          </w:p>
        </w:tc>
        <w:tc>
          <w:tcPr>
            <w:tcW w:w="4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$146.15</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$140.54</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4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operating margin is operating income before depreciation and amortization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revenue increased 3.9% for the three months ended March 31, 2016 compared to the same period in 2015. The primary contributors to revenue growth were rate adjustments and, to a lesser extent, an increase in the number of residential customers subscribing to additional services such as premium channels and advanced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services, which collectively resulted in an increase in revenue of 4.3%. We have in the past, and may in the future, experience declines in the number of residential video customers due to competitive pressures and the impact of rate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High-speed Internet revenue increased 7.6% for the three months ended March 31, 2016 compared to the same period in 2015. An increase in the number of residential customers receiving our high-speed Internet service accounted for an increase in revenue of 5.9% for the three months ended March 31, 2016. The remaining increase in revenue for the three months ended March 31, 2016 was primarily due to an increase in the number of customers receiving higher levels of service and rate adjustments. Our customer base continues to grow as consumers continue to choose our high-speed Internet service and seek higher-speed offerings.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Voice revenue decreased 1.1% for the three months ended March 31, 2016 compared to the same period in 2015. While the number of residential customers receiving voice services through our discounted bundled service offerings increased for the three months ended March 31, 2016, revenue was negatively impacted by the allocation of voice revenue for our customers who receive bundled services. The amount allocated to voice revenue in the rate charged for bundled services decreased for the three months ended March 31, 2016 because video and high-speed Internet rates increased while voice rates remained relatively flat.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services revenue increased 17.5% for the three months ended March 31, 2016 compared to the same period in 2015. The increase was primarily due to an increase in the number of small business customers as well as continued growth in our medium-sized business services, including Ethernet network and advanced voice services. We believe the increase in the number of business customers is primarily the result of our efforts to gain market share from competitors by offering competitive services and pricing.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increased 12.1% for the three months ended March 31, 2016 compared to the same period in 2015 primarily due to increases in our national advertising market and political advertising revenue. Excluding political advertising revenue, advertising revenue increased 7.6% for the three months ended March 31, 2016 compared to the same period in 2015.</w:t>
      </w:r>
    </w:p>
    <w:p>
      <w:pPr>
        <w:spacing w:after="0" w:line="4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For the three months ended March 31, 2016 and 2015, 5% and 4%,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14.8% for the three months ended March 31, 2016 compared to the same period in 2015 primarily due to an increase in cable franchise and other regulatory fees and an increase in revenue from our home security and automation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expenses increased for the three months ended March 31, 2016 compared to the same period in 2015 primarily due to increases in programming license fees, including contract renewals, retransmission consent fees, sports programming costs and fees to secure rights for additional programming for our customers across an increasing number of platforms.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Technical and product support expenses increased for the three months ended March 31, 2016 compared to the same period in 2015 primarily due to expenses related to the development, delivery and support of our enhanced devices, including our X1 set-top boxes, Cloud DVR technology and wireless gateways, and the continued growth in business services and home security and automation services. The increase was also due to expenses related to investments we are making to improve the customer experience.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Customer service expenses increased for the three months ended March 31, 2016 compared to the same period in 2015 primarily due to increased support for improving the customer experience and an increase in total labor costs associated with increases in customer service activity. The increase in customer service activity was due to sales and support activities associated with the continued deployment of our enhanced devices and services, which include our X1 platform, wireless gateways, and home security and automation services, and the continued growth in business services.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months ended March 31, 2016 compared to the same period in 2015 primarily due to increases in the revenue on which the fees apply.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months ended March 31, 2016 compared to the same period in 2015 primarily due to an increase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costs and expenses increased for the three months ended March 31, 2016 compared to the same period in 2015 primarily due to an increase in costs to support our advertising sales business, as well as an increase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3"/>
              </w:rPr>
              <w:t>Three Months Ended March 31</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color w:val="auto"/>
                <w:w w:val="97"/>
              </w:rPr>
              <w:t>Increase/(Decrease)</w:t>
            </w:r>
          </w:p>
        </w:tc>
      </w:tr>
      <w:tr>
        <w:trPr>
          <w:trHeight w:val="142"/>
        </w:trPr>
        <w:tc>
          <w:tcPr>
            <w:tcW w:w="6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w w:val="83"/>
              </w:rPr>
              <w:t>2016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right="182"/>
              <w:spacing w:after="0" w:line="142" w:lineRule="exact"/>
              <w:rPr>
                <w:sz w:val="20"/>
                <w:szCs w:val="20"/>
                <w:color w:val="auto"/>
              </w:rPr>
            </w:pPr>
            <w:r>
              <w:rPr>
                <w:rFonts w:ascii="Arial" w:cs="Arial" w:eastAsia="Arial" w:hAnsi="Arial"/>
                <w:sz w:val="14"/>
                <w:szCs w:val="14"/>
                <w:color w:val="auto"/>
                <w:w w:val="96"/>
              </w:rPr>
              <w:t>%</w:t>
            </w:r>
          </w:p>
        </w:tc>
      </w:tr>
      <w:tr>
        <w:trPr>
          <w:trHeight w:val="115"/>
        </w:trPr>
        <w:tc>
          <w:tcPr>
            <w:tcW w:w="6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156"/>
              <w:spacing w:after="0" w:line="115" w:lineRule="exact"/>
              <w:rPr>
                <w:sz w:val="20"/>
                <w:szCs w:val="20"/>
                <w:color w:val="auto"/>
              </w:rPr>
            </w:pPr>
            <w:r>
              <w:rPr>
                <w:rFonts w:ascii="Arial" w:cs="Arial" w:eastAsia="Arial" w:hAnsi="Arial"/>
                <w:sz w:val="12"/>
                <w:szCs w:val="12"/>
                <w:color w:val="auto"/>
                <w:w w:val="98"/>
              </w:rPr>
              <w:t>Pro Forma</w:t>
            </w:r>
          </w:p>
        </w:tc>
        <w:tc>
          <w:tcPr>
            <w:tcW w:w="78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Pro Forma</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jc w:val="center"/>
              <w:ind w:right="162"/>
              <w:spacing w:after="0" w:line="115" w:lineRule="exact"/>
              <w:rPr>
                <w:sz w:val="20"/>
                <w:szCs w:val="20"/>
                <w:color w:val="auto"/>
              </w:rPr>
            </w:pPr>
            <w:r>
              <w:rPr>
                <w:rFonts w:ascii="Arial" w:cs="Arial" w:eastAsia="Arial" w:hAnsi="Arial"/>
                <w:sz w:val="12"/>
                <w:szCs w:val="12"/>
                <w:color w:val="auto"/>
              </w:rPr>
              <w:t>Pro Forma</w:t>
            </w:r>
          </w:p>
        </w:tc>
      </w:tr>
      <w:tr>
        <w:trPr>
          <w:trHeight w:val="176"/>
        </w:trPr>
        <w:tc>
          <w:tcPr>
            <w:tcW w:w="6300" w:type="dxa"/>
            <w:vAlign w:val="bottom"/>
          </w:tcPr>
          <w:p>
            <w:pPr>
              <w:spacing w:after="0"/>
              <w:rPr>
                <w:sz w:val="20"/>
                <w:szCs w:val="20"/>
                <w:color w:val="auto"/>
              </w:rPr>
            </w:pPr>
            <w:r>
              <w:rPr>
                <w:rFonts w:ascii="Arial" w:cs="Arial" w:eastAsia="Arial" w:hAnsi="Arial"/>
                <w:sz w:val="14"/>
                <w:szCs w:val="14"/>
                <w:color w:val="auto"/>
              </w:rPr>
              <w:t>(in millions)</w:t>
            </w:r>
          </w:p>
        </w:tc>
        <w:tc>
          <w:tcPr>
            <w:tcW w:w="700" w:type="dxa"/>
            <w:vAlign w:val="bottom"/>
            <w:gridSpan w:val="2"/>
          </w:tcPr>
          <w:p>
            <w:pPr>
              <w:jc w:val="right"/>
              <w:ind w:right="94"/>
              <w:spacing w:after="0"/>
              <w:rPr>
                <w:sz w:val="20"/>
                <w:szCs w:val="20"/>
                <w:color w:val="auto"/>
              </w:rPr>
            </w:pPr>
            <w:r>
              <w:rPr>
                <w:rFonts w:ascii="Arial" w:cs="Arial" w:eastAsia="Arial" w:hAnsi="Arial"/>
                <w:sz w:val="14"/>
                <w:szCs w:val="14"/>
                <w:color w:val="auto"/>
              </w:rPr>
              <w:t>Actual</w:t>
            </w:r>
          </w:p>
        </w:tc>
        <w:tc>
          <w:tcPr>
            <w:tcW w:w="140" w:type="dxa"/>
            <w:vAlign w:val="bottom"/>
          </w:tcPr>
          <w:p>
            <w:pPr>
              <w:spacing w:after="0"/>
              <w:rPr>
                <w:sz w:val="15"/>
                <w:szCs w:val="15"/>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color w:val="auto"/>
              </w:rPr>
              <w:t>Actual</w:t>
            </w:r>
          </w:p>
        </w:tc>
        <w:tc>
          <w:tcPr>
            <w:tcW w:w="100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Adjustments</w:t>
            </w:r>
            <w:r>
              <w:rPr>
                <w:rFonts w:ascii="Arial" w:cs="Arial" w:eastAsia="Arial" w:hAnsi="Arial"/>
                <w:sz w:val="20"/>
                <w:szCs w:val="20"/>
                <w:color w:val="auto"/>
                <w:vertAlign w:val="superscript"/>
              </w:rPr>
              <w:t>(a)</w:t>
            </w:r>
          </w:p>
        </w:tc>
        <w:tc>
          <w:tcPr>
            <w:tcW w:w="900" w:type="dxa"/>
            <w:vAlign w:val="bottom"/>
            <w:gridSpan w:val="3"/>
          </w:tcPr>
          <w:p>
            <w:pPr>
              <w:ind w:left="100"/>
              <w:spacing w:after="0"/>
              <w:rPr>
                <w:sz w:val="20"/>
                <w:szCs w:val="20"/>
                <w:color w:val="auto"/>
              </w:rPr>
            </w:pPr>
            <w:r>
              <w:rPr>
                <w:rFonts w:ascii="Arial" w:cs="Arial" w:eastAsia="Arial" w:hAnsi="Arial"/>
                <w:sz w:val="14"/>
                <w:szCs w:val="14"/>
                <w:color w:val="auto"/>
              </w:rPr>
              <w:t>Combined</w:t>
            </w:r>
          </w:p>
        </w:tc>
        <w:tc>
          <w:tcPr>
            <w:tcW w:w="740" w:type="dxa"/>
            <w:vAlign w:val="bottom"/>
          </w:tcPr>
          <w:p>
            <w:pPr>
              <w:jc w:val="right"/>
              <w:ind w:right="196"/>
              <w:spacing w:after="0"/>
              <w:rPr>
                <w:sz w:val="20"/>
                <w:szCs w:val="20"/>
                <w:color w:val="auto"/>
              </w:rPr>
            </w:pPr>
            <w:r>
              <w:rPr>
                <w:rFonts w:ascii="Arial" w:cs="Arial" w:eastAsia="Arial" w:hAnsi="Arial"/>
                <w:sz w:val="14"/>
                <w:szCs w:val="14"/>
                <w:color w:val="auto"/>
              </w:rPr>
              <w:t>Actual</w:t>
            </w:r>
          </w:p>
        </w:tc>
        <w:tc>
          <w:tcPr>
            <w:tcW w:w="900" w:type="dxa"/>
            <w:vAlign w:val="bottom"/>
          </w:tcPr>
          <w:p>
            <w:pPr>
              <w:jc w:val="center"/>
              <w:ind w:right="182"/>
              <w:spacing w:after="0"/>
              <w:rPr>
                <w:sz w:val="20"/>
                <w:szCs w:val="20"/>
                <w:color w:val="auto"/>
              </w:rPr>
            </w:pPr>
            <w:r>
              <w:rPr>
                <w:rFonts w:ascii="Arial" w:cs="Arial" w:eastAsia="Arial" w:hAnsi="Arial"/>
                <w:sz w:val="14"/>
                <w:szCs w:val="14"/>
                <w:color w:val="auto"/>
                <w:w w:val="87"/>
              </w:rPr>
              <w:t>Combined</w:t>
            </w:r>
          </w:p>
        </w:tc>
      </w:tr>
      <w:tr>
        <w:trPr>
          <w:trHeight w:val="210"/>
        </w:trPr>
        <w:tc>
          <w:tcPr>
            <w:tcW w:w="6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E5E5E5"/>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E5E5E5"/>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2,453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2,359</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2,359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900" w:type="dxa"/>
            <w:vAlign w:val="bottom"/>
          </w:tcPr>
          <w:p>
            <w:pPr>
              <w:spacing w:after="0"/>
              <w:rPr>
                <w:sz w:val="18"/>
                <w:szCs w:val="18"/>
                <w:color w:val="auto"/>
              </w:rPr>
            </w:pPr>
          </w:p>
        </w:tc>
      </w:tr>
      <w:tr>
        <w:trPr>
          <w:trHeight w:val="216"/>
        </w:trPr>
        <w:tc>
          <w:tcPr>
            <w:tcW w:w="6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2,084</w:t>
            </w:r>
          </w:p>
        </w:tc>
        <w:tc>
          <w:tcPr>
            <w:tcW w:w="1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2,248</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3"/>
              </w:rPr>
              <w:t>2,248</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(7.3)</w:t>
            </w:r>
          </w:p>
        </w:tc>
        <w:tc>
          <w:tcPr>
            <w:tcW w:w="900" w:type="dxa"/>
            <w:vAlign w:val="bottom"/>
            <w:shd w:val="clear" w:color="auto" w:fill="E5E5E5"/>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1,383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1,446</w:t>
            </w: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1,446</w:t>
            </w:r>
          </w:p>
        </w:tc>
        <w:tc>
          <w:tcPr>
            <w:tcW w:w="12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18"/>
                <w:szCs w:val="18"/>
                <w:color w:val="auto"/>
              </w:rPr>
            </w:pPr>
          </w:p>
        </w:tc>
      </w:tr>
      <w:tr>
        <w:trPr>
          <w:trHeight w:val="216"/>
        </w:trPr>
        <w:tc>
          <w:tcPr>
            <w:tcW w:w="6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1,026</w:t>
            </w:r>
          </w:p>
        </w:tc>
        <w:tc>
          <w:tcPr>
            <w:tcW w:w="1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57.5</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9.6%</w:t>
            </w:r>
          </w:p>
        </w:tc>
      </w:tr>
      <w:tr>
        <w:trPr>
          <w:trHeight w:val="216"/>
        </w:trPr>
        <w:tc>
          <w:tcPr>
            <w:tcW w:w="6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5E5E5"/>
            </w:tcBorders>
          </w:tcPr>
          <w:p>
            <w:pPr>
              <w:spacing w:after="0"/>
              <w:rPr>
                <w:sz w:val="18"/>
                <w:szCs w:val="18"/>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900" w:type="dxa"/>
            <w:vAlign w:val="bottom"/>
            <w:tcBorders>
              <w:bottom w:val="single" w:sz="8" w:color="auto"/>
            </w:tcBorders>
          </w:tcPr>
          <w:p>
            <w:pPr>
              <w:spacing w:after="0"/>
              <w:rPr>
                <w:sz w:val="18"/>
                <w:szCs w:val="18"/>
                <w:color w:val="auto"/>
              </w:rPr>
            </w:pPr>
          </w:p>
        </w:tc>
      </w:tr>
      <w:tr>
        <w:trPr>
          <w:trHeight w:val="217"/>
        </w:trPr>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4"/>
              </w:rPr>
              <w:t>6,861</w:t>
            </w:r>
          </w:p>
        </w:tc>
        <w:tc>
          <w:tcPr>
            <w:tcW w:w="14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6,604</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284</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3"/>
              </w:rPr>
              <w:t>6,888</w:t>
            </w:r>
          </w:p>
        </w:tc>
        <w:tc>
          <w:tcPr>
            <w:tcW w:w="12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3.9%</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(0.4)%</w:t>
            </w: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956</w:t>
            </w:r>
          </w:p>
        </w:tc>
        <w:tc>
          <w:tcPr>
            <w:tcW w:w="3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w:t>
            </w:r>
          </w:p>
        </w:tc>
        <w:tc>
          <w:tcPr>
            <w:tcW w:w="900" w:type="dxa"/>
            <w:vAlign w:val="bottom"/>
            <w:shd w:val="clear" w:color="auto" w:fill="E5E5E5"/>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56.5</w:t>
            </w:r>
          </w:p>
        </w:tc>
        <w:tc>
          <w:tcPr>
            <w:tcW w:w="900" w:type="dxa"/>
            <w:vAlign w:val="bottom"/>
          </w:tcPr>
          <w:p>
            <w:pPr>
              <w:spacing w:after="0"/>
              <w:rPr>
                <w:sz w:val="18"/>
                <w:szCs w:val="18"/>
                <w:color w:val="auto"/>
              </w:rPr>
            </w:pPr>
          </w:p>
        </w:tc>
      </w:tr>
      <w:tr>
        <w:trPr>
          <w:trHeight w:val="216"/>
        </w:trPr>
        <w:tc>
          <w:tcPr>
            <w:tcW w:w="6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(43.1)</w:t>
            </w:r>
          </w:p>
        </w:tc>
        <w:tc>
          <w:tcPr>
            <w:tcW w:w="900" w:type="dxa"/>
            <w:vAlign w:val="bottom"/>
            <w:shd w:val="clear" w:color="auto" w:fill="E5E5E5"/>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53.6</w:t>
            </w:r>
          </w:p>
        </w:tc>
        <w:tc>
          <w:tcPr>
            <w:tcW w:w="900" w:type="dxa"/>
            <w:vAlign w:val="bottom"/>
          </w:tcPr>
          <w:p>
            <w:pPr>
              <w:jc w:val="right"/>
              <w:ind w:right="62"/>
              <w:spacing w:after="0"/>
              <w:rPr>
                <w:sz w:val="20"/>
                <w:szCs w:val="20"/>
                <w:color w:val="auto"/>
              </w:rPr>
            </w:pPr>
            <w:r>
              <w:rPr>
                <w:rFonts w:ascii="Arial" w:cs="Arial" w:eastAsia="Arial" w:hAnsi="Arial"/>
                <w:sz w:val="18"/>
                <w:szCs w:val="18"/>
                <w:color w:val="auto"/>
              </w:rPr>
              <w:t>3.3%</w:t>
            </w:r>
          </w:p>
        </w:tc>
      </w:tr>
      <w:tr>
        <w:trPr>
          <w:trHeight w:val="216"/>
        </w:trPr>
        <w:tc>
          <w:tcPr>
            <w:tcW w:w="6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NM</w:t>
            </w:r>
          </w:p>
        </w:tc>
        <w:tc>
          <w:tcPr>
            <w:tcW w:w="900" w:type="dxa"/>
            <w:vAlign w:val="bottom"/>
            <w:tcBorders>
              <w:bottom w:val="single" w:sz="8" w:color="auto"/>
            </w:tcBorders>
            <w:shd w:val="clear" w:color="auto" w:fill="E5E5E5"/>
          </w:tcPr>
          <w:p>
            <w:pPr>
              <w:spacing w:after="0"/>
              <w:rPr>
                <w:sz w:val="18"/>
                <w:szCs w:val="18"/>
                <w:color w:val="auto"/>
              </w:rPr>
            </w:pPr>
          </w:p>
        </w:tc>
      </w:tr>
      <w:tr>
        <w:trPr>
          <w:trHeight w:val="21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1,622</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1,475</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119</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1,594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jc w:val="both"/>
        <w:ind w:left="34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costs related to transaction-related costs, integration activities, cost savings or synergies that have been or may be achieved by the combined businesses. The pro forma amounts are based on historical results of operations and are subject to change as valuations are completed and additional analysis is obtained. Pro forma amounts are not necessarily indicative of what our results would have been had we operated Universal Studios Japan since January 1, 2014, nor of our future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color w:val="auto"/>
                <w:w w:val="99"/>
              </w:rPr>
              <w:t>Three Months Ended</w:t>
            </w:r>
          </w:p>
        </w:tc>
        <w:tc>
          <w:tcPr>
            <w:tcW w:w="1120" w:type="dxa"/>
            <w:vAlign w:val="bottom"/>
            <w:gridSpan w:val="2"/>
          </w:tcPr>
          <w:p>
            <w:pPr>
              <w:jc w:val="right"/>
              <w:ind w:right="2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8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94"/>
              <w:spacing w:after="0" w:line="159" w:lineRule="exact"/>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3"/>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50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w w:val="88"/>
              </w:rPr>
              <w:t>1,438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1,358</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rPr>
              <w:t>$80</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851</w:t>
            </w:r>
          </w:p>
        </w:tc>
        <w:tc>
          <w:tcPr>
            <w:tcW w:w="5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150</w:t>
            </w: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88"/>
              </w:rPr>
              <w:t>2,453</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2,359</w:t>
            </w:r>
          </w:p>
        </w:tc>
        <w:tc>
          <w:tcPr>
            <w:tcW w:w="500" w:type="dxa"/>
            <w:vAlign w:val="bottom"/>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94</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88"/>
              </w:rPr>
              <w:t>1,058</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1,023</w:t>
            </w:r>
          </w:p>
        </w:tc>
        <w:tc>
          <w:tcPr>
            <w:tcW w:w="5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35</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133</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88"/>
              </w:rPr>
              <w:t>1,497</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1,461</w:t>
            </w: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956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898</w:t>
            </w:r>
          </w:p>
        </w:tc>
        <w:tc>
          <w:tcPr>
            <w:tcW w:w="5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$58</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Cable Networks revenue increased for the three months ended March 31, 2016 compared to the same period in 2015 primarily due to increases in distribution revenue and content licensing and other revenue. The increase in distribution revenue was primarily due to increases in the contractual rates charged under distribution agreements and contract renewals which were partially offset by a decline in the number of subscribers at our cable networks. The increase in content licensing and other revenue was primarily due to the timing of content provided under our licensing agreements. Advertising revenue was flat for the three months ended March 31, 2016 compared to the same period in 2015 primarily due to the benefit from a reduction in deferred advertising revenue in the prior year period and continued declines in audience ratings at our networks, which were offset by higher prices for advertising units sold.</w:t>
      </w:r>
    </w:p>
    <w:p>
      <w:pPr>
        <w:spacing w:after="0" w:line="2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three months ended March 31, 2016 and 2015, 15% and 14%, respectively, of our Cable Networks segment revenue was generated from our Cable Communications segment. These amounts are eliminated in our condensed consolidated financial statements but are included in the amounts presented above.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March 31, 2016 compared to the same period in 2015 primarily due to an increase in programming and production costs. The increase in programming and production costs was primarily due to our continued investment in original programming, as well as sports programming rights costs.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color w:val="auto"/>
                <w:w w:val="99"/>
              </w:rPr>
              <w:t>Three Months Ended</w:t>
            </w:r>
          </w:p>
        </w:tc>
        <w:tc>
          <w:tcPr>
            <w:tcW w:w="1360" w:type="dxa"/>
            <w:vAlign w:val="bottom"/>
            <w:gridSpan w:val="2"/>
          </w:tcPr>
          <w:p>
            <w:pPr>
              <w:jc w:val="right"/>
              <w:ind w:right="4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8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94"/>
              <w:spacing w:after="0" w:line="159" w:lineRule="exact"/>
              <w:rPr>
                <w:sz w:val="20"/>
                <w:szCs w:val="20"/>
                <w:color w:val="auto"/>
              </w:rPr>
            </w:pPr>
            <w:r>
              <w:rPr>
                <w:rFonts w:ascii="Arial" w:cs="Arial" w:eastAsia="Arial" w:hAnsi="Arial"/>
                <w:sz w:val="14"/>
                <w:szCs w:val="14"/>
                <w:color w:val="auto"/>
              </w:rPr>
              <w:t>March 31</w:t>
            </w:r>
          </w:p>
        </w:tc>
        <w:tc>
          <w:tcPr>
            <w:tcW w:w="1360" w:type="dxa"/>
            <w:vAlign w:val="bottom"/>
            <w:tcBorders>
              <w:bottom w:val="single" w:sz="8" w:color="auto"/>
            </w:tcBorders>
            <w:gridSpan w:val="2"/>
          </w:tcPr>
          <w:p>
            <w:pPr>
              <w:jc w:val="right"/>
              <w:ind w:right="37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66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w w:val="93"/>
              </w:rPr>
              <w:t>1,275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1,539</w:t>
            </w:r>
          </w:p>
        </w:tc>
        <w:tc>
          <w:tcPr>
            <w:tcW w:w="660" w:type="dxa"/>
            <w:vAlign w:val="bottom"/>
          </w:tcPr>
          <w:p>
            <w:pPr>
              <w:jc w:val="right"/>
              <w:spacing w:after="0"/>
              <w:rPr>
                <w:sz w:val="20"/>
                <w:szCs w:val="20"/>
                <w:color w:val="auto"/>
              </w:rPr>
            </w:pPr>
            <w:r>
              <w:rPr>
                <w:rFonts w:ascii="Arial" w:cs="Arial" w:eastAsia="Arial" w:hAnsi="Arial"/>
                <w:sz w:val="18"/>
                <w:szCs w:val="18"/>
                <w:color w:val="auto"/>
              </w:rPr>
              <w:t>$(264)</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485</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5</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 and other</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224</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95</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93"/>
              </w:rPr>
              <w:t>2,084</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2,248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(164)</w:t>
            </w: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93"/>
              </w:rPr>
              <w:t>1,363</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1,626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(263)</w:t>
            </w: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310</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8</w:t>
            </w: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130</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3"/>
              </w:rPr>
              <w:t>1,800</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2,066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284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182</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$ 102</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revenue decreased for the three months ended March 31, 2016 compared to the same period in 2015 primarily due to additional advertising revenue in the prior year period associated with our broadcast of the 2015 Super Bowl. Excluding $376 million of revenue associated with our broadcast of the 2015 Super Bowl in the prior year period, revenue increased 11.4% primarily due to higher prices for and an increase in the volume of advertising units sold and the broadcast of one additional NFL game compared to the same period in 2015. Distribution and other revenue also increased due to increased fees recognized under our retransmission consent agreements.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decreased for the three months ended March 31, 2016 compared to the same period in 2015 primarily due to higher programming and production costs in the prior year period associated with our broadcast of the 2015 Super Bowl.</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500" w:type="dxa"/>
            <w:vAlign w:val="bottom"/>
            <w:gridSpan w:val="4"/>
          </w:tcPr>
          <w:p>
            <w:pPr>
              <w:jc w:val="right"/>
              <w:ind w:right="94"/>
              <w:spacing w:after="0"/>
              <w:rPr>
                <w:sz w:val="20"/>
                <w:szCs w:val="20"/>
                <w:color w:val="auto"/>
              </w:rPr>
            </w:pPr>
            <w:r>
              <w:rPr>
                <w:rFonts w:ascii="Arial" w:cs="Arial" w:eastAsia="Arial" w:hAnsi="Arial"/>
                <w:sz w:val="14"/>
                <w:szCs w:val="14"/>
                <w:color w:val="auto"/>
                <w:w w:val="99"/>
              </w:rPr>
              <w:t>Three Months Ended</w:t>
            </w:r>
          </w:p>
        </w:tc>
        <w:tc>
          <w:tcPr>
            <w:tcW w:w="1380" w:type="dxa"/>
            <w:vAlign w:val="bottom"/>
            <w:gridSpan w:val="2"/>
          </w:tcPr>
          <w:p>
            <w:pPr>
              <w:jc w:val="right"/>
              <w:ind w:right="4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8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94"/>
              <w:spacing w:after="0" w:line="159" w:lineRule="exact"/>
              <w:rPr>
                <w:sz w:val="20"/>
                <w:szCs w:val="20"/>
                <w:color w:val="auto"/>
              </w:rPr>
            </w:pPr>
            <w:r>
              <w:rPr>
                <w:rFonts w:ascii="Arial" w:cs="Arial" w:eastAsia="Arial" w:hAnsi="Arial"/>
                <w:sz w:val="14"/>
                <w:szCs w:val="14"/>
                <w:color w:val="auto"/>
              </w:rPr>
              <w:t>March 31</w:t>
            </w:r>
          </w:p>
        </w:tc>
        <w:tc>
          <w:tcPr>
            <w:tcW w:w="138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2015</w:t>
            </w:r>
          </w:p>
        </w:tc>
        <w:tc>
          <w:tcPr>
            <w:tcW w:w="6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371</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(36.4)%</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538</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114</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173</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47</w:t>
            </w: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b w:val="1"/>
                <w:bCs w:val="1"/>
                <w:color w:val="auto"/>
                <w:w w:val="93"/>
              </w:rPr>
              <w:t>1,383</w:t>
            </w:r>
          </w:p>
        </w:tc>
        <w:tc>
          <w:tcPr>
            <w:tcW w:w="2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w w:val="93"/>
              </w:rPr>
              <w:t>1,446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20" w:type="dxa"/>
            <w:vAlign w:val="bottom"/>
          </w:tcPr>
          <w:p>
            <w:pPr>
              <w:jc w:val="right"/>
              <w:ind w:right="134"/>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196</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13</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346</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93"/>
              </w:rPr>
              <w:t>1,216</w:t>
            </w: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93"/>
              </w:rPr>
              <w:t>1,153</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63</w:t>
            </w: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Filmed Entertainment revenue decreased for the three months ended March 31, 2016 compared to the same period in 2015 primarily due to decreases in theatrical revenue and home entertainment revenue, which were partially offset by increases in content licensing revenue and other revenue. The decrease in theatrical revenue was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primarily due to the strong performance of </w:t>
      </w:r>
      <w:r>
        <w:rPr>
          <w:rFonts w:ascii="Arial" w:cs="Arial" w:eastAsia="Arial" w:hAnsi="Arial"/>
          <w:sz w:val="18"/>
          <w:szCs w:val="18"/>
          <w:i w:val="1"/>
          <w:iCs w:val="1"/>
          <w:color w:val="auto"/>
        </w:rPr>
        <w:t>Fifty Shades of Grey</w:t>
      </w:r>
      <w:r>
        <w:rPr>
          <w:rFonts w:ascii="Arial" w:cs="Arial" w:eastAsia="Arial" w:hAnsi="Arial"/>
          <w:sz w:val="18"/>
          <w:szCs w:val="18"/>
          <w:color w:val="auto"/>
        </w:rPr>
        <w:t xml:space="preserve"> in the prior year period. The decrease in home entertainment revenue was primarily due to the strong performance of several releases in the prior year period, including </w:t>
      </w:r>
      <w:r>
        <w:rPr>
          <w:rFonts w:ascii="Arial" w:cs="Arial" w:eastAsia="Arial" w:hAnsi="Arial"/>
          <w:sz w:val="18"/>
          <w:szCs w:val="18"/>
          <w:i w:val="1"/>
          <w:iCs w:val="1"/>
          <w:color w:val="auto"/>
        </w:rPr>
        <w:t>Lucy</w:t>
      </w:r>
      <w:r>
        <w:rPr>
          <w:rFonts w:ascii="Arial" w:cs="Arial" w:eastAsia="Arial" w:hAnsi="Arial"/>
          <w:sz w:val="18"/>
          <w:szCs w:val="18"/>
          <w:color w:val="auto"/>
        </w:rPr>
        <w:t>. The increase in content licensing revenue was primarily due to the timing of when content was made available under licensing agreements as well as a new content licensing agreement. The increase in other revenue was primarily due to increases in Fandango revenue and consumer products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costs and expenses increased for the three months ended March 31, 2016 compared to the same period in 2015 primarily due to an increase in advertising, marketing and promotion expenses.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88"/>
              </w:rPr>
              <w:t>Three Months Ended March 31</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w w:val="93"/>
              </w:rPr>
              <w:t>Increase/(Decrease)</w:t>
            </w:r>
          </w:p>
        </w:tc>
        <w:tc>
          <w:tcPr>
            <w:tcW w:w="640" w:type="dxa"/>
            <w:vAlign w:val="bottom"/>
            <w:tcBorders>
              <w:bottom w:val="single" w:sz="8" w:color="auto"/>
            </w:tcBorders>
          </w:tcPr>
          <w:p>
            <w:pPr>
              <w:spacing w:after="0"/>
              <w:rPr>
                <w:sz w:val="14"/>
                <w:szCs w:val="14"/>
                <w:color w:val="auto"/>
              </w:rPr>
            </w:pPr>
          </w:p>
        </w:tc>
      </w:tr>
      <w:tr>
        <w:trPr>
          <w:trHeight w:val="131"/>
        </w:trPr>
        <w:tc>
          <w:tcPr>
            <w:tcW w:w="5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Pro Forma</w:t>
            </w:r>
          </w:p>
        </w:tc>
      </w:tr>
      <w:tr>
        <w:trPr>
          <w:trHeight w:val="159"/>
        </w:trPr>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00"/>
              <w:spacing w:after="0" w:line="159"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ind w:right="197"/>
              <w:spacing w:after="0" w:line="159"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380"/>
              <w:spacing w:after="0" w:line="159" w:lineRule="exact"/>
              <w:rPr>
                <w:sz w:val="20"/>
                <w:szCs w:val="20"/>
                <w:color w:val="auto"/>
              </w:rPr>
            </w:pPr>
            <w:r>
              <w:rPr>
                <w:rFonts w:ascii="Arial" w:cs="Arial" w:eastAsia="Arial" w:hAnsi="Arial"/>
                <w:sz w:val="14"/>
                <w:szCs w:val="14"/>
                <w:color w:val="auto"/>
              </w:rPr>
              <w:t>Actual</w:t>
            </w:r>
          </w:p>
        </w:tc>
        <w:tc>
          <w:tcPr>
            <w:tcW w:w="11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Combined</w:t>
            </w:r>
          </w:p>
        </w:tc>
      </w:tr>
      <w:tr>
        <w:trPr>
          <w:trHeight w:val="131"/>
        </w:trPr>
        <w:tc>
          <w:tcPr>
            <w:tcW w:w="5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57"/>
              <w:spacing w:after="0" w:line="131" w:lineRule="exact"/>
              <w:rPr>
                <w:sz w:val="20"/>
                <w:szCs w:val="20"/>
                <w:color w:val="auto"/>
              </w:rPr>
            </w:pPr>
            <w:r>
              <w:rPr>
                <w:rFonts w:ascii="Arial" w:cs="Arial" w:eastAsia="Arial" w:hAnsi="Arial"/>
                <w:sz w:val="14"/>
                <w:szCs w:val="14"/>
                <w:color w:val="auto"/>
              </w:rPr>
              <w:t>Pro Forma</w:t>
            </w:r>
          </w:p>
        </w:tc>
        <w:tc>
          <w:tcPr>
            <w:tcW w:w="680" w:type="dxa"/>
            <w:vAlign w:val="bottom"/>
            <w:tcBorders>
              <w:top w:val="single" w:sz="8" w:color="auto"/>
            </w:tcBorders>
            <w:gridSpan w:val="2"/>
          </w:tcPr>
          <w:p>
            <w:pPr>
              <w:jc w:val="right"/>
              <w:ind w:right="12"/>
              <w:spacing w:after="0" w:line="131" w:lineRule="exact"/>
              <w:rPr>
                <w:sz w:val="20"/>
                <w:szCs w:val="20"/>
                <w:color w:val="auto"/>
              </w:rPr>
            </w:pPr>
            <w:r>
              <w:rPr>
                <w:rFonts w:ascii="Arial" w:cs="Arial" w:eastAsia="Arial" w:hAnsi="Arial"/>
                <w:sz w:val="14"/>
                <w:szCs w:val="14"/>
                <w:color w:val="auto"/>
                <w:w w:val="84"/>
              </w:rPr>
              <w:t>Pro Forma</w:t>
            </w: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9"/>
        </w:trPr>
        <w:tc>
          <w:tcPr>
            <w:tcW w:w="570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480" w:type="dxa"/>
            <w:vAlign w:val="bottom"/>
          </w:tcPr>
          <w:p>
            <w:pPr>
              <w:jc w:val="right"/>
              <w:ind w:right="40"/>
              <w:spacing w:after="0" w:line="159" w:lineRule="exact"/>
              <w:rPr>
                <w:sz w:val="20"/>
                <w:szCs w:val="20"/>
                <w:color w:val="auto"/>
              </w:rPr>
            </w:pPr>
            <w:r>
              <w:rPr>
                <w:rFonts w:ascii="Arial" w:cs="Arial" w:eastAsia="Arial" w:hAnsi="Arial"/>
                <w:sz w:val="14"/>
                <w:szCs w:val="14"/>
                <w:color w:val="auto"/>
                <w:w w:val="87"/>
              </w:rPr>
              <w:t>Actual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9"/>
              <w:spacing w:after="0" w:line="159" w:lineRule="exact"/>
              <w:rPr>
                <w:sz w:val="20"/>
                <w:szCs w:val="20"/>
                <w:color w:val="auto"/>
              </w:rPr>
            </w:pPr>
            <w:r>
              <w:rPr>
                <w:rFonts w:ascii="Arial" w:cs="Arial" w:eastAsia="Arial" w:hAnsi="Arial"/>
                <w:sz w:val="14"/>
                <w:szCs w:val="14"/>
                <w:color w:val="auto"/>
              </w:rPr>
              <w:t>Actual</w:t>
            </w:r>
          </w:p>
        </w:tc>
        <w:tc>
          <w:tcPr>
            <w:tcW w:w="9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Adjustments</w:t>
            </w:r>
          </w:p>
        </w:tc>
        <w:tc>
          <w:tcPr>
            <w:tcW w:w="8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w w:val="87"/>
              </w:rPr>
              <w:t>Combined</w:t>
            </w:r>
          </w:p>
        </w:tc>
        <w:tc>
          <w:tcPr>
            <w:tcW w:w="560" w:type="dxa"/>
            <w:vAlign w:val="bottom"/>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7"/>
              <w:spacing w:after="0" w:line="159" w:lineRule="exact"/>
              <w:rPr>
                <w:sz w:val="20"/>
                <w:szCs w:val="20"/>
                <w:color w:val="auto"/>
              </w:rPr>
            </w:pPr>
            <w:r>
              <w:rPr>
                <w:rFonts w:ascii="Arial" w:cs="Arial" w:eastAsia="Arial" w:hAnsi="Arial"/>
                <w:sz w:val="14"/>
                <w:szCs w:val="14"/>
                <w:color w:val="auto"/>
              </w:rPr>
              <w:t>%</w:t>
            </w:r>
          </w:p>
        </w:tc>
      </w:tr>
      <w:tr>
        <w:trPr>
          <w:trHeight w:val="210"/>
        </w:trPr>
        <w:tc>
          <w:tcPr>
            <w:tcW w:w="5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1,026</w:t>
            </w:r>
          </w:p>
        </w:tc>
        <w:tc>
          <w:tcPr>
            <w:tcW w:w="6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E5E5E5"/>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284</w:t>
            </w:r>
          </w:p>
        </w:tc>
        <w:tc>
          <w:tcPr>
            <w:tcW w:w="22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E5E5E5"/>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$375</w:t>
            </w:r>
          </w:p>
        </w:tc>
        <w:tc>
          <w:tcPr>
            <w:tcW w:w="68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57.5%</w:t>
            </w:r>
          </w:p>
        </w:tc>
        <w:tc>
          <w:tcPr>
            <w:tcW w:w="120" w:type="dxa"/>
            <w:vAlign w:val="bottom"/>
            <w:tcBorders>
              <w:top w:val="single" w:sz="8" w:color="E5E5E5"/>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$91</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680" w:type="dxa"/>
            <w:vAlign w:val="bottom"/>
          </w:tcPr>
          <w:p>
            <w:pPr>
              <w:ind w:left="14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8"/>
                <w:szCs w:val="18"/>
                <w:color w:val="auto"/>
              </w:rPr>
              <w:t>79</w:t>
            </w:r>
          </w:p>
        </w:tc>
        <w:tc>
          <w:tcPr>
            <w:tcW w:w="640" w:type="dxa"/>
            <w:vAlign w:val="bottom"/>
          </w:tcPr>
          <w:p>
            <w:pPr>
              <w:jc w:val="right"/>
              <w:ind w:right="137"/>
              <w:spacing w:after="0"/>
              <w:rPr>
                <w:sz w:val="20"/>
                <w:szCs w:val="20"/>
                <w:color w:val="auto"/>
              </w:rPr>
            </w:pPr>
            <w:r>
              <w:rPr>
                <w:rFonts w:ascii="Arial" w:cs="Arial" w:eastAsia="Arial" w:hAnsi="Arial"/>
                <w:sz w:val="18"/>
                <w:szCs w:val="18"/>
                <w:color w:val="auto"/>
              </w:rPr>
              <w:t>13.7</w:t>
            </w:r>
          </w:p>
        </w:tc>
      </w:tr>
      <w:tr>
        <w:trPr>
          <w:trHeight w:val="217"/>
        </w:trPr>
        <w:tc>
          <w:tcPr>
            <w:tcW w:w="57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375</w:t>
            </w:r>
          </w:p>
        </w:tc>
        <w:tc>
          <w:tcPr>
            <w:tcW w:w="60" w:type="dxa"/>
            <w:vAlign w:val="bottom"/>
            <w:tcBorders>
              <w:top w:val="single" w:sz="8" w:color="auto"/>
              <w:bottom w:val="single" w:sz="8" w:color="auto"/>
            </w:tcBorders>
            <w:shd w:val="clear" w:color="auto" w:fill="E5E5E5"/>
          </w:tcPr>
          <w:p>
            <w:pPr>
              <w:spacing w:after="0"/>
              <w:rPr>
                <w:sz w:val="18"/>
                <w:szCs w:val="18"/>
                <w:color w:val="auto"/>
              </w:rPr>
            </w:pPr>
          </w:p>
        </w:tc>
        <w:tc>
          <w:tcPr>
            <w:tcW w:w="140" w:type="dxa"/>
            <w:vAlign w:val="bottom"/>
            <w:tcBorders>
              <w:top w:val="single" w:sz="8" w:color="E5E5E5"/>
              <w:bottom w:val="single" w:sz="8" w:color="E5E5E5"/>
            </w:tcBorders>
            <w:shd w:val="clear" w:color="auto" w:fill="E5E5E5"/>
          </w:tcPr>
          <w:p>
            <w:pPr>
              <w:spacing w:after="0"/>
              <w:rPr>
                <w:sz w:val="18"/>
                <w:szCs w:val="18"/>
                <w:color w:val="auto"/>
              </w:rPr>
            </w:pPr>
          </w:p>
        </w:tc>
        <w:tc>
          <w:tcPr>
            <w:tcW w:w="5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$244</w:t>
            </w:r>
          </w:p>
        </w:tc>
        <w:tc>
          <w:tcPr>
            <w:tcW w:w="3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119</w:t>
            </w:r>
          </w:p>
        </w:tc>
        <w:tc>
          <w:tcPr>
            <w:tcW w:w="220" w:type="dxa"/>
            <w:vAlign w:val="bottom"/>
            <w:tcBorders>
              <w:top w:val="single" w:sz="8" w:color="auto"/>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363</w:t>
            </w:r>
          </w:p>
        </w:tc>
        <w:tc>
          <w:tcPr>
            <w:tcW w:w="140" w:type="dxa"/>
            <w:vAlign w:val="bottom"/>
            <w:tcBorders>
              <w:top w:val="single" w:sz="8" w:color="E5E5E5"/>
              <w:bottom w:val="single" w:sz="8" w:color="E5E5E5"/>
            </w:tcBorders>
            <w:shd w:val="clear" w:color="auto" w:fill="E5E5E5"/>
          </w:tcPr>
          <w:p>
            <w:pPr>
              <w:spacing w:after="0"/>
              <w:rPr>
                <w:sz w:val="18"/>
                <w:szCs w:val="18"/>
                <w:color w:val="auto"/>
              </w:rPr>
            </w:pP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131</w:t>
            </w:r>
          </w:p>
        </w:tc>
        <w:tc>
          <w:tcPr>
            <w:tcW w:w="68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53.6%</w:t>
            </w:r>
          </w:p>
        </w:tc>
        <w:tc>
          <w:tcPr>
            <w:tcW w:w="120" w:type="dxa"/>
            <w:vAlign w:val="bottom"/>
            <w:tcBorders>
              <w:top w:val="single" w:sz="8" w:color="E5E5E5"/>
              <w:bottom w:val="single" w:sz="8" w:color="E5E5E5"/>
            </w:tcBorders>
            <w:shd w:val="clear" w:color="auto" w:fill="E5E5E5"/>
          </w:tcPr>
          <w:p>
            <w:pPr>
              <w:spacing w:after="0"/>
              <w:rPr>
                <w:sz w:val="18"/>
                <w:szCs w:val="18"/>
                <w:color w:val="auto"/>
              </w:rPr>
            </w:pPr>
          </w:p>
        </w:tc>
        <w:tc>
          <w:tcPr>
            <w:tcW w:w="500" w:type="dxa"/>
            <w:vAlign w:val="bottom"/>
            <w:tcBorders>
              <w:top w:val="single" w:sz="8" w:color="auto"/>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rPr>
              <w:t>$12</w:t>
            </w:r>
          </w:p>
        </w:tc>
        <w:tc>
          <w:tcPr>
            <w:tcW w:w="6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3.3%</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Theme Parks revenue increased for the three months ended March 31, 2016 compared to the pro forma combined revenue in the same period in 2015 primarily due to an increase in guest spending that was partially due to the benefit of a shift in the timing of spring holidays.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Operating costs and expenses increased for the three months ended March 31, 2016 compared to the pro forma combined operating costs and expenses in the same period in 2015 primarily due to pre-opening costs associated with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attraction in Hollywood and a new attraction in Japan.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three months ended March 31, 2016 compared to the same period in 2015 was primarily due to higher employee-related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540" w:type="dxa"/>
            <w:vAlign w:val="bottom"/>
            <w:gridSpan w:val="4"/>
          </w:tcPr>
          <w:p>
            <w:pPr>
              <w:jc w:val="right"/>
              <w:ind w:right="137"/>
              <w:spacing w:after="0"/>
              <w:rPr>
                <w:sz w:val="20"/>
                <w:szCs w:val="20"/>
                <w:color w:val="auto"/>
              </w:rPr>
            </w:pPr>
            <w:r>
              <w:rPr>
                <w:rFonts w:ascii="Arial" w:cs="Arial" w:eastAsia="Arial" w:hAnsi="Arial"/>
                <w:sz w:val="14"/>
                <w:szCs w:val="14"/>
                <w:color w:val="auto"/>
                <w:w w:val="99"/>
              </w:rPr>
              <w:t>Three Months Ended</w:t>
            </w:r>
          </w:p>
        </w:tc>
        <w:tc>
          <w:tcPr>
            <w:tcW w:w="1220" w:type="dxa"/>
            <w:vAlign w:val="bottom"/>
            <w:gridSpan w:val="2"/>
          </w:tcPr>
          <w:p>
            <w:pPr>
              <w:jc w:val="right"/>
              <w:ind w:right="35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86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457"/>
              <w:spacing w:after="0" w:line="159" w:lineRule="exact"/>
              <w:rPr>
                <w:sz w:val="20"/>
                <w:szCs w:val="20"/>
                <w:color w:val="auto"/>
              </w:rPr>
            </w:pPr>
            <w:r>
              <w:rPr>
                <w:rFonts w:ascii="Arial" w:cs="Arial" w:eastAsia="Arial" w:hAnsi="Arial"/>
                <w:sz w:val="14"/>
                <w:szCs w:val="14"/>
                <w:color w:val="auto"/>
              </w:rPr>
              <w:t>March 31</w:t>
            </w:r>
          </w:p>
        </w:tc>
        <w:tc>
          <w:tcPr>
            <w:tcW w:w="1220" w:type="dxa"/>
            <w:vAlign w:val="bottom"/>
            <w:tcBorders>
              <w:bottom w:val="single" w:sz="8" w:color="auto"/>
            </w:tcBorders>
            <w:gridSpan w:val="2"/>
          </w:tcPr>
          <w:p>
            <w:pPr>
              <w:jc w:val="right"/>
              <w:ind w:right="31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w w:val="83"/>
              </w:rPr>
              <w:t>2016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w w:val="89"/>
              </w:rPr>
              <w:t>2015</w:t>
            </w:r>
          </w:p>
        </w:tc>
        <w:tc>
          <w:tcPr>
            <w:tcW w:w="5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193</w:t>
            </w:r>
          </w:p>
        </w:tc>
        <w:tc>
          <w:tcPr>
            <w:tcW w:w="54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  6</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402</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(49)</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7"/>
        </w:trPr>
        <w:tc>
          <w:tcPr>
            <w:tcW w:w="8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(209)</w:t>
            </w:r>
          </w:p>
        </w:tc>
        <w:tc>
          <w:tcPr>
            <w:tcW w:w="54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$ 55</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for the three months ended March 31, 2016 compared to the same period in 2015 primarily due to an increase in revenue from several of our Comcast Spectacor businesses.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 Spectacor.</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transaction-related costs associated with the Time Warner Cable merger and divestiture transactions of $99 million for the three months ended March 31, 2015, Corporate and Other operating costs and expenses increased 16.9% for the three months ended March 31, 2016 primarily due to an increase in expenses related to corporate strategic business initiatives.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440" w:type="dxa"/>
            <w:vAlign w:val="bottom"/>
            <w:gridSpan w:val="4"/>
          </w:tcPr>
          <w:p>
            <w:pPr>
              <w:jc w:val="right"/>
              <w:ind w:right="76"/>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376"/>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3"/>
              </w:rPr>
              <w:t>2016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220" w:type="dxa"/>
            <w:vAlign w:val="bottom"/>
          </w:tcPr>
          <w:p>
            <w:pPr>
              <w:spacing w:after="0"/>
              <w:rPr>
                <w:sz w:val="18"/>
                <w:szCs w:val="18"/>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9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(554)</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increased for the three months ended March 31, 2016 compared to the same period in 2015 primarily due to an increase in our debt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2016 and 2015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 in equity in net income (losses) of investees, net for the three months ended March 31, 2016 compared to the same period in 2015 was primarily due to an increase in our proportionate share of losses at Hulu, LLC, as well as Atairos Group, Inc., which commenced operations in the current year period.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for the three months ended March 31, 2016 included a $108 million gain related to the sale of our investment in The Weather Channel’s product and technology businesses. Other income (expense), net for the three months ended March 31, 2015 included a $164 million gain related to the sale of a business.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months ended March 31, 2016 and 2015 reflects an effective income tax rate that differs from the federal statutory rate primarily due to state income taxes and adjustments associated with uncertain tax positions. We expect our 2016 annual effective tax rate to be in the range of 37% to 39%, absent changes in tax laws or significant changes in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440" w:type="dxa"/>
            <w:vAlign w:val="bottom"/>
            <w:gridSpan w:val="2"/>
          </w:tcPr>
          <w:p>
            <w:pPr>
              <w:jc w:val="right"/>
              <w:ind w:right="74"/>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jc w:val="right"/>
              <w:ind w:right="3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$ 4,089</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6"/>
              </w:rPr>
              <w:t>$ 3,890</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2,278</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0"/>
        </w:trPr>
        <w:tc>
          <w:tcPr>
            <w:tcW w:w="9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6,367</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153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(436)</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99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6,084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6,164</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(723)</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998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9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$ 5,110</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6"/>
              </w:rPr>
              <w:t>$ 5,245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variance in changes in operating assets and liabilities for the three months ended March 31, 2016 compared to the same period in 2015 was primarily due to an increase in certain benefit payments in the current year period, favorable timing of payments and receipts associated with our broadcast of the 2015 Super Bowl in the prior year period, and the timing of certain payments, including payroll, compared to the prior year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Net cash used in investing activities for the three months ended March 31, 2016 consisted primarily of cash paid for capital expenditures, intangible assets, purchases of investments, and acquisitions and construction of real estate properties, which were partially offset by proceeds from the sale of businesses and investments. Capital expenditures increased for the three months ended March 31, 2016 compared to the same period in 2015 primarily due to increased spending in our Cable Communications segment associated with our continued investment in scalable infrastructure to increase network capacity, increased investment in line extensions, as well as our continued spending on customer premise equipment related to the deployment of our X1 platform and wireless gateways. Capital expenditures in our NBCUniversal segments also increased primarily due to continued investment in our Universal theme parks, including Universal Studios Japan. Purchases of investments for the three months ended March 31, 2016 is comprised primarily of capital contributions of $404 million to Atairos Group,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for the three months ended March 31, 2016 consisted primarily of proceeds from borrowings, which were partially offset by repurchases of our common stock, repayments of debt and dividend payments.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2016, amounts available under our consolidated revolving credit facilities, net of amounts outstanding under our commercial paper programs and outstanding letters of credit, totaled $6.9 billion, which included $900 million available under the NBCUniversal Enterprise revolving credit facility.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2016, our Board of Directors increased our share repurchase program authorization to $10 billion, which does not have an expiration date. Under the authorization, we may repurchase shares in the open market or in private transactions. During the three months ended March 31, 2016, we repurchased a total of 22 million shares of our Class A common stock for approximately $1.25 billion. We expect to make $3.75 billion more in repurchases during the remainder of 2016, subject to market conditions.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approved a 10.0% increase in our dividend to $1.10 per share on an annualized basis and approved our first quarter dividend of $0.275 per share which was paid in April 2016. We expect to continue to pay quarterly dividends, although each dividend is subject to approval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2015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 to Comcast’s condensed consolidated financial statements included in this Quarterly Report on Form 10-Q for a discussion of legal proceedings.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2015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March 31, 2016.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center"/>
              <w:ind w:right="283"/>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860" w:type="dxa"/>
            <w:vAlign w:val="bottom"/>
          </w:tcPr>
          <w:p>
            <w:pPr>
              <w:spacing w:after="0"/>
              <w:rPr>
                <w:sz w:val="12"/>
                <w:szCs w:val="12"/>
                <w:color w:val="auto"/>
              </w:rPr>
            </w:pPr>
          </w:p>
        </w:tc>
        <w:tc>
          <w:tcPr>
            <w:tcW w:w="2460" w:type="dxa"/>
            <w:vAlign w:val="bottom"/>
          </w:tcPr>
          <w:p>
            <w:pPr>
              <w:jc w:val="center"/>
              <w:ind w:left="1022"/>
              <w:spacing w:after="0" w:line="149" w:lineRule="exact"/>
              <w:rPr>
                <w:sz w:val="20"/>
                <w:szCs w:val="20"/>
                <w:color w:val="auto"/>
              </w:rPr>
            </w:pPr>
            <w:r>
              <w:rPr>
                <w:rFonts w:ascii="Arial" w:cs="Arial" w:eastAsia="Arial" w:hAnsi="Arial"/>
                <w:sz w:val="14"/>
                <w:szCs w:val="14"/>
                <w:color w:val="auto"/>
                <w:w w:val="89"/>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860" w:type="dxa"/>
            <w:vAlign w:val="bottom"/>
          </w:tcPr>
          <w:p>
            <w:pPr>
              <w:spacing w:after="0"/>
              <w:rPr>
                <w:sz w:val="12"/>
                <w:szCs w:val="12"/>
                <w:color w:val="auto"/>
              </w:rPr>
            </w:pPr>
          </w:p>
        </w:tc>
        <w:tc>
          <w:tcPr>
            <w:tcW w:w="2460" w:type="dxa"/>
            <w:vAlign w:val="bottom"/>
          </w:tcPr>
          <w:p>
            <w:pPr>
              <w:jc w:val="center"/>
              <w:ind w:left="1002"/>
              <w:spacing w:after="0" w:line="149" w:lineRule="exact"/>
              <w:rPr>
                <w:sz w:val="20"/>
                <w:szCs w:val="20"/>
                <w:color w:val="auto"/>
              </w:rPr>
            </w:pPr>
            <w:r>
              <w:rPr>
                <w:rFonts w:ascii="Arial" w:cs="Arial" w:eastAsia="Arial" w:hAnsi="Arial"/>
                <w:sz w:val="14"/>
                <w:szCs w:val="14"/>
                <w:color w:val="auto"/>
                <w:w w:val="88"/>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2860" w:type="dxa"/>
            <w:vAlign w:val="bottom"/>
          </w:tcPr>
          <w:p>
            <w:pPr>
              <w:spacing w:after="0"/>
              <w:rPr>
                <w:sz w:val="12"/>
                <w:szCs w:val="12"/>
                <w:color w:val="auto"/>
              </w:rPr>
            </w:pPr>
          </w:p>
        </w:tc>
        <w:tc>
          <w:tcPr>
            <w:tcW w:w="2460" w:type="dxa"/>
            <w:vAlign w:val="bottom"/>
          </w:tcPr>
          <w:p>
            <w:pPr>
              <w:jc w:val="center"/>
              <w:ind w:left="1022"/>
              <w:spacing w:after="0" w:line="146" w:lineRule="exact"/>
              <w:rPr>
                <w:sz w:val="20"/>
                <w:szCs w:val="20"/>
                <w:color w:val="auto"/>
              </w:rPr>
            </w:pPr>
            <w:r>
              <w:rPr>
                <w:rFonts w:ascii="Arial" w:cs="Arial" w:eastAsia="Arial" w:hAnsi="Arial"/>
                <w:sz w:val="14"/>
                <w:szCs w:val="14"/>
                <w:color w:val="auto"/>
                <w:w w:val="81"/>
              </w:rPr>
              <w:t>Shares</w:t>
            </w: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46" w:lineRule="exact"/>
              <w:rPr>
                <w:sz w:val="20"/>
                <w:szCs w:val="20"/>
                <w:color w:val="auto"/>
              </w:rPr>
            </w:pPr>
            <w:r>
              <w:rPr>
                <w:rFonts w:ascii="Arial" w:cs="Arial" w:eastAsia="Arial" w:hAnsi="Arial"/>
                <w:sz w:val="14"/>
                <w:szCs w:val="14"/>
                <w:color w:val="auto"/>
                <w:w w:val="90"/>
              </w:rPr>
              <w:t>as Part of Publicly</w:t>
            </w:r>
          </w:p>
        </w:tc>
        <w:tc>
          <w:tcPr>
            <w:tcW w:w="360" w:type="dxa"/>
            <w:vAlign w:val="bottom"/>
          </w:tcPr>
          <w:p>
            <w:pPr>
              <w:spacing w:after="0"/>
              <w:rPr>
                <w:sz w:val="12"/>
                <w:szCs w:val="12"/>
                <w:color w:val="auto"/>
              </w:rPr>
            </w:pPr>
          </w:p>
        </w:tc>
        <w:tc>
          <w:tcPr>
            <w:tcW w:w="1280" w:type="dxa"/>
            <w:vAlign w:val="bottom"/>
          </w:tcPr>
          <w:p>
            <w:pPr>
              <w:jc w:val="center"/>
              <w:ind w:right="303"/>
              <w:spacing w:after="0" w:line="146"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460" w:type="dxa"/>
            <w:vAlign w:val="bottom"/>
            <w:tcBorders>
              <w:bottom w:val="single" w:sz="8" w:color="auto"/>
            </w:tcBorders>
          </w:tcPr>
          <w:p>
            <w:pPr>
              <w:jc w:val="center"/>
              <w:ind w:left="1022"/>
              <w:spacing w:after="0"/>
              <w:rPr>
                <w:sz w:val="20"/>
                <w:szCs w:val="20"/>
                <w:color w:val="auto"/>
              </w:rPr>
            </w:pPr>
            <w:r>
              <w:rPr>
                <w:rFonts w:ascii="Arial" w:cs="Arial" w:eastAsia="Arial" w:hAnsi="Arial"/>
                <w:sz w:val="14"/>
                <w:szCs w:val="14"/>
                <w:color w:val="auto"/>
                <w:w w:val="83"/>
              </w:rPr>
              <w:t>Purchased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860" w:type="dxa"/>
            <w:vAlign w:val="bottom"/>
            <w:shd w:val="clear" w:color="auto" w:fill="E5E5E5"/>
          </w:tcPr>
          <w:p>
            <w:pPr>
              <w:spacing w:after="0"/>
              <w:rPr>
                <w:sz w:val="20"/>
                <w:szCs w:val="20"/>
                <w:color w:val="auto"/>
              </w:rPr>
            </w:pPr>
            <w:r>
              <w:rPr>
                <w:rFonts w:ascii="Arial" w:cs="Arial" w:eastAsia="Arial" w:hAnsi="Arial"/>
                <w:sz w:val="18"/>
                <w:szCs w:val="18"/>
                <w:color w:val="auto"/>
              </w:rPr>
              <w:t>January 1-31, 2016</w:t>
            </w:r>
          </w:p>
        </w:tc>
        <w:tc>
          <w:tcPr>
            <w:tcW w:w="246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1,943,701</w:t>
            </w:r>
          </w:p>
        </w:tc>
        <w:tc>
          <w:tcPr>
            <w:tcW w:w="1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$53.77</w:t>
            </w:r>
          </w:p>
        </w:tc>
        <w:tc>
          <w:tcPr>
            <w:tcW w:w="192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1,941,876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w w:val="99"/>
              </w:rPr>
              <w:t>104,417,635</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$ 9,895,582,365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February 1-29, 2016</w:t>
            </w:r>
          </w:p>
        </w:tc>
        <w:tc>
          <w:tcPr>
            <w:tcW w:w="2460" w:type="dxa"/>
            <w:vAlign w:val="bottom"/>
          </w:tcPr>
          <w:p>
            <w:pPr>
              <w:jc w:val="right"/>
              <w:ind w:right="182"/>
              <w:spacing w:after="0"/>
              <w:rPr>
                <w:sz w:val="20"/>
                <w:szCs w:val="20"/>
                <w:color w:val="auto"/>
              </w:rPr>
            </w:pPr>
            <w:r>
              <w:rPr>
                <w:rFonts w:ascii="Arial" w:cs="Arial" w:eastAsia="Arial" w:hAnsi="Arial"/>
                <w:sz w:val="18"/>
                <w:szCs w:val="18"/>
                <w:color w:val="auto"/>
              </w:rPr>
              <w:t>9,079,717</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$55.26</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9,049,265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3"/>
              <w:spacing w:after="0"/>
              <w:rPr>
                <w:sz w:val="20"/>
                <w:szCs w:val="20"/>
                <w:color w:val="auto"/>
              </w:rPr>
            </w:pPr>
            <w:r>
              <w:rPr>
                <w:rFonts w:ascii="Arial" w:cs="Arial" w:eastAsia="Arial" w:hAnsi="Arial"/>
                <w:sz w:val="18"/>
                <w:szCs w:val="18"/>
                <w:color w:val="auto"/>
                <w:w w:val="99"/>
              </w:rPr>
              <w:t>500,000,000</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$ 9,395,582,365</w:t>
            </w:r>
          </w:p>
        </w:tc>
      </w:tr>
      <w:tr>
        <w:trPr>
          <w:trHeight w:val="216"/>
        </w:trPr>
        <w:tc>
          <w:tcPr>
            <w:tcW w:w="2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March 1-31, 2016</w:t>
            </w:r>
          </w:p>
        </w:tc>
        <w:tc>
          <w:tcPr>
            <w:tcW w:w="246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11,001,808</w:t>
            </w: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0"/>
              </w:rPr>
              <w:t>$58.65</w:t>
            </w:r>
          </w:p>
        </w:tc>
        <w:tc>
          <w:tcPr>
            <w:tcW w:w="192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10,998,193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99"/>
              </w:rPr>
              <w:t>645,000,000</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$ 8,750,582,365</w:t>
            </w:r>
          </w:p>
        </w:tc>
      </w:tr>
      <w:tr>
        <w:trPr>
          <w:trHeight w:val="21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22,025,226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$56.82</w:t>
            </w:r>
          </w:p>
        </w:tc>
        <w:tc>
          <w:tcPr>
            <w:tcW w:w="19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21,989,334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6"/>
              </w:rPr>
              <w:t>1,249,417,635</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$ 8,750,582,365</w:t>
            </w:r>
          </w:p>
        </w:tc>
      </w:tr>
    </w:tbl>
    <w:p>
      <w:pPr>
        <w:spacing w:after="0" w:line="57" w:lineRule="exact"/>
        <w:rPr>
          <w:sz w:val="20"/>
          <w:szCs w:val="20"/>
          <w:color w:val="auto"/>
        </w:rPr>
      </w:pPr>
    </w:p>
    <w:p>
      <w:pPr>
        <w:ind w:left="340" w:hanging="332"/>
        <w:spacing w:after="0" w:line="31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January 1, 2016, our Board of Directors increased our share repurchase authorization to $10 billion, which does not have an expiration date. Under this authorization, we may repurchase shares in the open market or in private transactions. We expect to make $3.75 billion more in repurchases during the remainder of 2016, subject to market conditions.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2016 includes 35,892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Restricted Stock Unit Award under the Comcast Corporation 2002 Restricted Stock Plan.</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under the Comcast Corporation 2003 Stock Option Plan.</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2016, filed with the Securities and Exchange Commission on April 27, 2016,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months ended March 31, 2016, filed with the Securities and Exchange Commission on April 27, 2016,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27,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27, 2016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41</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42</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43</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44</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45</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46</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20" w:type="dxa"/>
            <w:vAlign w:val="bottom"/>
            <w:gridSpan w:val="2"/>
          </w:tcPr>
          <w:p>
            <w:pPr>
              <w:ind w:left="1940"/>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4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3"/>
                <w:szCs w:val="13"/>
                <w:color w:val="auto"/>
              </w:rPr>
            </w:pPr>
          </w:p>
        </w:tc>
        <w:tc>
          <w:tcPr>
            <w:tcW w:w="800" w:type="dxa"/>
            <w:vAlign w:val="bottom"/>
          </w:tcPr>
          <w:p>
            <w:pPr>
              <w:jc w:val="right"/>
              <w:ind w:right="373"/>
              <w:spacing w:after="0" w:line="159" w:lineRule="exact"/>
              <w:rPr>
                <w:sz w:val="20"/>
                <w:szCs w:val="20"/>
                <w:color w:val="auto"/>
              </w:rPr>
            </w:pPr>
            <w:r>
              <w:rPr>
                <w:rFonts w:ascii="Arial" w:cs="Arial" w:eastAsia="Arial" w:hAnsi="Arial"/>
                <w:sz w:val="14"/>
                <w:szCs w:val="14"/>
                <w:color w:val="auto"/>
              </w:rPr>
              <w:t>2016</w:t>
            </w:r>
          </w:p>
        </w:tc>
        <w:tc>
          <w:tcPr>
            <w:tcW w:w="4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E5E5E5"/>
          </w:tcPr>
          <w:p>
            <w:pPr>
              <w:ind w:left="19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1,081</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5,104</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1,380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855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8,420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5,761</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970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$2,905 and $2,779</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9,796</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20,868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$5,876 and $5,654</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13,675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1,278</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02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3"/>
              </w:rPr>
              <w:t>60,768</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20" w:type="dxa"/>
            <w:vAlign w:val="bottom"/>
            <w:shd w:val="clear" w:color="auto" w:fill="E5E5E5"/>
          </w:tcPr>
          <w:p>
            <w:pPr>
              <w:ind w:left="19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1,455</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1,510</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1,337</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1,345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1,190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8,442</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11,562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1,093</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3,890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369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33,642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33,574</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1,838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w w:val="83"/>
              </w:rPr>
              <w:t>35,412</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34,303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2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3"/>
              </w:rPr>
              <w:t>60,768</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440" w:type="dxa"/>
            <w:vAlign w:val="bottom"/>
            <w:gridSpan w:val="3"/>
          </w:tcPr>
          <w:p>
            <w:pPr>
              <w:jc w:val="right"/>
              <w:ind w:right="7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9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3"/>
          </w:tcPr>
          <w:p>
            <w:pPr>
              <w:jc w:val="right"/>
              <w:ind w:right="37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80" w:type="dxa"/>
            <w:vAlign w:val="bottom"/>
            <w:gridSpan w:val="2"/>
            <w:vMerge w:val="continue"/>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540" w:type="dxa"/>
            <w:vAlign w:val="bottom"/>
          </w:tcPr>
          <w:p>
            <w:pPr>
              <w:jc w:val="right"/>
              <w:ind w:right="153"/>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$ 6,861</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3"/>
              </w:rPr>
              <w:t>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Costs and Expenses: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5,653</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5,474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1,180</w:t>
            </w: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$ 1,002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3"/>
          </w:tcPr>
          <w:p>
            <w:pPr>
              <w:jc w:val="right"/>
              <w:ind w:right="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gridSpan w:val="3"/>
          </w:tcPr>
          <w:p>
            <w:pPr>
              <w:jc w:val="right"/>
              <w:ind w:right="41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$ 1,082</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Deferred gains (losses) on cash flow hedges, net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w:t>
            </w: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4</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295</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1,363</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$ 1,146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right"/>
              <w:ind w:right="73"/>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gridSpan w:val="2"/>
          </w:tcPr>
          <w:p>
            <w:pPr>
              <w:jc w:val="right"/>
              <w:ind w:right="39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gridSpan w:val="2"/>
            <w:vMerge w:val="continue"/>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color w:val="auto"/>
              </w:rPr>
              <w:t>2016</w:t>
            </w:r>
          </w:p>
        </w:tc>
        <w:tc>
          <w:tcPr>
            <w:tcW w:w="70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Borders>
              <w:top w:val="single" w:sz="8" w:color="auto"/>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$ 1,177</w:t>
            </w:r>
          </w:p>
        </w:tc>
        <w:tc>
          <w:tcPr>
            <w:tcW w:w="70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6"/>
              </w:rPr>
              <w:t>$ 1,202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of real estate properties</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Note receivable from Comcast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78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(338)</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borrowings from Comcast, net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(875)</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Distributions to member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(1,168)</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1,410</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$ 1,081</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6"/>
              </w:rPr>
              <w:t>$ 1,036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Changes in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594"/>
              <w:spacing w:after="0" w:line="149" w:lineRule="exact"/>
              <w:rPr>
                <w:sz w:val="20"/>
                <w:szCs w:val="20"/>
                <w:color w:val="auto"/>
              </w:rPr>
            </w:pPr>
            <w:r>
              <w:rPr>
                <w:rFonts w:ascii="Arial" w:cs="Arial" w:eastAsia="Arial" w:hAnsi="Arial"/>
                <w:sz w:val="14"/>
                <w:szCs w:val="14"/>
                <w:color w:val="auto"/>
              </w:rPr>
              <w:t>Redeemable</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ind w:right="375"/>
              <w:spacing w:after="0" w:line="149" w:lineRule="exact"/>
              <w:rPr>
                <w:sz w:val="20"/>
                <w:szCs w:val="20"/>
                <w:color w:val="auto"/>
              </w:rPr>
            </w:pPr>
            <w:r>
              <w:rPr>
                <w:rFonts w:ascii="Arial" w:cs="Arial" w:eastAsia="Arial" w:hAnsi="Arial"/>
                <w:sz w:val="14"/>
                <w:szCs w:val="14"/>
                <w:color w:val="auto"/>
                <w:w w:val="85"/>
              </w:rPr>
              <w:t>Other</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80" w:type="dxa"/>
            <w:vAlign w:val="bottom"/>
            <w:tcBorders>
              <w:right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122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Member’s</w:t>
            </w:r>
          </w:p>
        </w:tc>
        <w:tc>
          <w:tcPr>
            <w:tcW w:w="1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Comprehensive</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3"/>
                <w:szCs w:val="13"/>
                <w:color w:val="auto"/>
              </w:rPr>
            </w:pPr>
          </w:p>
        </w:tc>
        <w:tc>
          <w:tcPr>
            <w:tcW w:w="1300" w:type="dxa"/>
            <w:vAlign w:val="bottom"/>
            <w:tcBorders>
              <w:right w:val="single" w:sz="8" w:color="auto"/>
            </w:tcBorders>
          </w:tcPr>
          <w:p>
            <w:pPr>
              <w:jc w:val="right"/>
              <w:ind w:right="714"/>
              <w:spacing w:after="0" w:line="159" w:lineRule="exact"/>
              <w:rPr>
                <w:sz w:val="20"/>
                <w:szCs w:val="20"/>
                <w:color w:val="auto"/>
              </w:rPr>
            </w:pPr>
            <w:r>
              <w:rPr>
                <w:rFonts w:ascii="Arial" w:cs="Arial" w:eastAsia="Arial" w:hAnsi="Arial"/>
                <w:sz w:val="14"/>
                <w:szCs w:val="14"/>
                <w:color w:val="auto"/>
                <w:w w:val="89"/>
              </w:rPr>
              <w:t>Interests</w:t>
            </w:r>
          </w:p>
        </w:tc>
        <w:tc>
          <w:tcPr>
            <w:tcW w:w="1220" w:type="dxa"/>
            <w:vAlign w:val="bottom"/>
          </w:tcPr>
          <w:p>
            <w:pPr>
              <w:jc w:val="right"/>
              <w:ind w:right="276"/>
              <w:spacing w:after="0" w:line="159" w:lineRule="exact"/>
              <w:rPr>
                <w:sz w:val="20"/>
                <w:szCs w:val="20"/>
                <w:color w:val="auto"/>
              </w:rPr>
            </w:pPr>
            <w:r>
              <w:rPr>
                <w:rFonts w:ascii="Arial" w:cs="Arial" w:eastAsia="Arial" w:hAnsi="Arial"/>
                <w:sz w:val="14"/>
                <w:szCs w:val="14"/>
                <w:color w:val="auto"/>
              </w:rPr>
              <w:t>Capital</w:t>
            </w:r>
          </w:p>
        </w:tc>
        <w:tc>
          <w:tcPr>
            <w:tcW w:w="13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60" w:type="dxa"/>
            <w:vAlign w:val="bottom"/>
          </w:tcPr>
          <w:p>
            <w:pPr>
              <w:spacing w:after="0"/>
              <w:rPr>
                <w:sz w:val="13"/>
                <w:szCs w:val="13"/>
                <w:color w:val="auto"/>
              </w:rPr>
            </w:pPr>
          </w:p>
        </w:tc>
        <w:tc>
          <w:tcPr>
            <w:tcW w:w="980" w:type="dxa"/>
            <w:vAlign w:val="bottom"/>
          </w:tcPr>
          <w:p>
            <w:pPr>
              <w:jc w:val="right"/>
              <w:ind w:right="394"/>
              <w:spacing w:after="0" w:line="159" w:lineRule="exact"/>
              <w:rPr>
                <w:sz w:val="20"/>
                <w:szCs w:val="20"/>
                <w:color w:val="auto"/>
              </w:rPr>
            </w:pPr>
            <w:r>
              <w:rPr>
                <w:rFonts w:ascii="Arial" w:cs="Arial" w:eastAsia="Arial" w:hAnsi="Arial"/>
                <w:sz w:val="14"/>
                <w:szCs w:val="14"/>
                <w:color w:val="auto"/>
                <w:w w:val="89"/>
              </w:rPr>
              <w:t>Interests</w:t>
            </w:r>
          </w:p>
        </w:tc>
        <w:tc>
          <w:tcPr>
            <w:tcW w:w="1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330</w:t>
            </w:r>
          </w:p>
        </w:tc>
        <w:tc>
          <w:tcPr>
            <w:tcW w:w="122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$30,529</w:t>
            </w:r>
          </w:p>
        </w:tc>
        <w:tc>
          <w:tcPr>
            <w:tcW w:w="40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267</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w w:val="94"/>
              </w:rPr>
              <w:t>Contributions from (distributions to) noncontrolling interests, net</w:t>
            </w:r>
          </w:p>
        </w:tc>
        <w:tc>
          <w:tcPr>
            <w:tcW w:w="38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852</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902</w:t>
            </w:r>
          </w:p>
        </w:tc>
      </w:tr>
      <w:tr>
        <w:trPr>
          <w:trHeight w:val="217"/>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2015</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b w:val="1"/>
                <w:bCs w:val="1"/>
                <w:color w:val="auto"/>
              </w:rPr>
              <w:t>336</w:t>
            </w:r>
          </w:p>
        </w:tc>
        <w:tc>
          <w:tcPr>
            <w:tcW w:w="12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$31,185</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(210)</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262</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4"/>
              </w:rPr>
              <w:t>31,237</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372</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$32,834</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(212)</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1,681</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34,303</w:t>
            </w:r>
          </w:p>
        </w:tc>
      </w:tr>
      <w:tr>
        <w:trPr>
          <w:trHeight w:val="216"/>
        </w:trPr>
        <w:tc>
          <w:tcPr>
            <w:tcW w:w="20" w:type="dxa"/>
            <w:vAlign w:val="bottom"/>
          </w:tcPr>
          <w:p>
            <w:pPr>
              <w:spacing w:after="0"/>
              <w:rPr>
                <w:sz w:val="18"/>
                <w:szCs w:val="18"/>
                <w:color w:val="auto"/>
              </w:rPr>
            </w:pPr>
          </w:p>
        </w:tc>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8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Contributions from (distributions to) noncontrolling interests, net</w:t>
            </w:r>
          </w:p>
        </w:tc>
        <w:tc>
          <w:tcPr>
            <w:tcW w:w="380" w:type="dxa"/>
            <w:vAlign w:val="bottom"/>
          </w:tcPr>
          <w:p>
            <w:pPr>
              <w:spacing w:after="0"/>
              <w:rPr>
                <w:sz w:val="18"/>
                <w:szCs w:val="18"/>
                <w:color w:val="auto"/>
              </w:rPr>
            </w:pPr>
          </w:p>
        </w:tc>
        <w:tc>
          <w:tcPr>
            <w:tcW w:w="1300" w:type="dxa"/>
            <w:vAlign w:val="bottom"/>
            <w:tcBorders>
              <w:right w:val="single" w:sz="8" w:color="auto"/>
            </w:tcBorders>
          </w:tcPr>
          <w:p>
            <w:pPr>
              <w:jc w:val="right"/>
              <w:ind w:right="454"/>
              <w:spacing w:after="0"/>
              <w:rPr>
                <w:sz w:val="20"/>
                <w:szCs w:val="20"/>
                <w:color w:val="auto"/>
              </w:rPr>
            </w:pPr>
            <w:r>
              <w:rPr>
                <w:rFonts w:ascii="Arial" w:cs="Arial" w:eastAsia="Arial" w:hAnsi="Arial"/>
                <w:sz w:val="18"/>
                <w:szCs w:val="18"/>
                <w:color w:val="auto"/>
              </w:rPr>
              <w:t>(22)</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281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19</w:t>
            </w:r>
          </w:p>
        </w:tc>
        <w:tc>
          <w:tcPr>
            <w:tcW w:w="12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1,002</w:t>
            </w:r>
          </w:p>
        </w:tc>
        <w:tc>
          <w:tcPr>
            <w:tcW w:w="4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1,063</w:t>
            </w:r>
          </w:p>
        </w:tc>
      </w:tr>
      <w:tr>
        <w:trPr>
          <w:trHeight w:val="217"/>
        </w:trPr>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369</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$33,642</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(68)</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1,838</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35,412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For a lessee, the recognition, measurement and presentation of expenses and cash flows arising from a lease do not significantly change from previous guidance. For a lessor, the accounting applied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updated guidance is effective for us as of January 1, 2017 and early adoption is permitted. The updated guidance provides companies with alternative methods of adoption, with certain items that are allowed to be applied retrospectively and certain other items that are only to be applied prospectively in the period of adoption. As a limited liability company, we do not expect the updated accounting guidance related to the excess income tax benefits or deficiencies to be recognized in the statement of income to have an impact on our consolidated financial statements. In addition, we do not expect the updated accounting guidance to have a material impact on our statement of cash flows.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November 13, 2015, we acquired a 51% economic interest in the Universal Studios theme park in Osaka, Japan (“Universal Studios Japan”) for $1.5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funded through cash on hand and borrowings under Comcast’s commercial paper program.</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our 51% interest. Universal Studios Japan’s results of operations are reported in our Theme Parks segment following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the limited amount of time since the date of acquisition, the assets and liabilities of Universal Studios Japan were recorded at their historical carrying value. We will adjust these amounts to fair value as valuations are completed and we obtain information necessary to complete the analyses, but no later than one year from the acquisition date. The 49% noncontrolling interest in Universal Studios Japan is recorded in the equity section of our consolidated financial statements and has been recorded based on the total value of Universal Studios Japan implied in the transaction. For purposes of this preliminary allocation, the excess of the total value implied in the transaction over the historical carrying value has been recorded as goodwill.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900" w:type="dxa"/>
            <w:vAlign w:val="bottom"/>
          </w:tcPr>
          <w:p>
            <w:pPr>
              <w:jc w:val="right"/>
              <w:ind w:right="2912"/>
              <w:spacing w:after="0"/>
              <w:rPr>
                <w:sz w:val="20"/>
                <w:szCs w:val="20"/>
                <w:color w:val="auto"/>
              </w:rPr>
            </w:pPr>
            <w:r>
              <w:rPr>
                <w:rFonts w:ascii="Arial" w:cs="Arial" w:eastAsia="Arial" w:hAnsi="Arial"/>
                <w:sz w:val="18"/>
                <w:szCs w:val="18"/>
                <w:b w:val="1"/>
                <w:bCs w:val="1"/>
                <w:color w:val="auto"/>
              </w:rPr>
              <w:t>Preliminary Allocation of Purchase Price</w:t>
            </w:r>
          </w:p>
        </w:tc>
        <w:tc>
          <w:tcPr>
            <w:tcW w:w="102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6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642</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690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69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162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(2,442)</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6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7"/>
              </w:rPr>
              <w:t>5,381</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6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w w:val="97"/>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consolidated revenue and net income attributable to NBCUniversal for the three months ended March 31, 2016 included $293 million and $18 million, respectively, from the acquisition of Universal Studios Japan.</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based on historical results of operations and is subject to change as valuations are completed and additional analysis is obtained.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860" w:type="dxa"/>
            <w:vAlign w:val="bottom"/>
            <w:gridSpan w:val="2"/>
          </w:tcPr>
          <w:p>
            <w:pPr>
              <w:ind w:left="3620"/>
              <w:spacing w:after="0"/>
              <w:rPr>
                <w:sz w:val="20"/>
                <w:szCs w:val="20"/>
                <w:color w:val="auto"/>
              </w:rPr>
            </w:pPr>
            <w:r>
              <w:rPr>
                <w:rFonts w:ascii="Arial" w:cs="Arial" w:eastAsia="Arial" w:hAnsi="Arial"/>
                <w:sz w:val="14"/>
                <w:szCs w:val="14"/>
                <w:color w:val="auto"/>
                <w:w w:val="93"/>
              </w:rPr>
              <w:t>Three Months Ended</w:t>
            </w:r>
          </w:p>
        </w:tc>
      </w:tr>
      <w:tr>
        <w:trPr>
          <w:trHeight w:val="159"/>
        </w:trPr>
        <w:tc>
          <w:tcPr>
            <w:tcW w:w="6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7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7"/>
              <w:spacing w:after="0" w:line="159" w:lineRule="exact"/>
              <w:rPr>
                <w:sz w:val="20"/>
                <w:szCs w:val="20"/>
                <w:color w:val="auto"/>
              </w:rPr>
            </w:pPr>
            <w:r>
              <w:rPr>
                <w:rFonts w:ascii="Arial" w:cs="Arial" w:eastAsia="Arial" w:hAnsi="Arial"/>
                <w:sz w:val="14"/>
                <w:szCs w:val="14"/>
                <w:color w:val="auto"/>
                <w:w w:val="88"/>
              </w:rPr>
              <w:t>March 31, 2015</w:t>
            </w: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740" w:type="dxa"/>
            <w:vAlign w:val="bottom"/>
            <w:shd w:val="clear" w:color="auto" w:fill="E5E5E5"/>
          </w:tcPr>
          <w:p>
            <w:pPr>
              <w:ind w:left="36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6,888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3740" w:type="dxa"/>
            <w:vAlign w:val="bottom"/>
          </w:tcPr>
          <w:p>
            <w:pPr>
              <w:ind w:left="36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968</w:t>
            </w:r>
          </w:p>
        </w:tc>
      </w:tr>
      <w:tr>
        <w:trPr>
          <w:trHeight w:val="216"/>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NBCUniversal</w:t>
            </w:r>
          </w:p>
        </w:tc>
        <w:tc>
          <w:tcPr>
            <w:tcW w:w="3740" w:type="dxa"/>
            <w:vAlign w:val="bottom"/>
            <w:tcBorders>
              <w:bottom w:val="single" w:sz="8" w:color="auto"/>
            </w:tcBorders>
            <w:shd w:val="clear" w:color="auto" w:fill="E5E5E5"/>
          </w:tcPr>
          <w:p>
            <w:pPr>
              <w:ind w:left="36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877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is also the counterparty to one of our contractual obligations. As of March 31, 2016, the carrying value of the liability associated with this contractual obligation was $383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0" w:type="dxa"/>
            <w:vAlign w:val="bottom"/>
            <w:gridSpan w:val="2"/>
          </w:tcPr>
          <w:p>
            <w:pPr>
              <w:ind w:left="1220"/>
              <w:spacing w:after="0"/>
              <w:rPr>
                <w:sz w:val="20"/>
                <w:szCs w:val="20"/>
                <w:color w:val="auto"/>
              </w:rPr>
            </w:pPr>
            <w:r>
              <w:rPr>
                <w:rFonts w:ascii="Arial" w:cs="Arial" w:eastAsia="Arial" w:hAnsi="Arial"/>
                <w:sz w:val="14"/>
                <w:szCs w:val="14"/>
                <w:color w:val="auto"/>
                <w:w w:val="89"/>
              </w:rPr>
              <w:t>March 31,</w:t>
            </w:r>
          </w:p>
        </w:tc>
        <w:tc>
          <w:tcPr>
            <w:tcW w:w="1160" w:type="dxa"/>
            <w:vAlign w:val="bottom"/>
            <w:gridSpan w:val="3"/>
          </w:tcPr>
          <w:p>
            <w:pPr>
              <w:ind w:lef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84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gridSpan w:val="2"/>
          </w:tcPr>
          <w:p>
            <w:pPr>
              <w:jc w:val="right"/>
              <w:ind w:right="96"/>
              <w:spacing w:after="0" w:line="159" w:lineRule="exact"/>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353"/>
              <w:spacing w:after="0" w:line="15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w w:val="99"/>
              </w:rPr>
              <w:t>239</w:t>
            </w:r>
          </w:p>
        </w:tc>
        <w:tc>
          <w:tcPr>
            <w:tcW w:w="0" w:type="dxa"/>
            <w:vAlign w:val="bottom"/>
          </w:tcPr>
          <w:p>
            <w:pPr>
              <w:spacing w:after="0"/>
              <w:rPr>
                <w:sz w:val="1"/>
                <w:szCs w:val="1"/>
                <w:color w:val="auto"/>
              </w:rPr>
            </w:pPr>
          </w:p>
        </w:tc>
      </w:tr>
      <w:tr>
        <w:trPr>
          <w:trHeight w:val="216"/>
        </w:trPr>
        <w:tc>
          <w:tcPr>
            <w:tcW w:w="8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40" w:type="dxa"/>
            <w:vAlign w:val="bottom"/>
            <w:shd w:val="clear" w:color="auto" w:fill="E5E5E5"/>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1440" w:type="dxa"/>
            <w:vAlign w:val="bottom"/>
            <w:shd w:val="clear" w:color="auto" w:fill="E5E5E5"/>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875</w:t>
            </w:r>
          </w:p>
        </w:tc>
        <w:tc>
          <w:tcPr>
            <w:tcW w:w="4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3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383</w:t>
            </w:r>
          </w:p>
        </w:tc>
        <w:tc>
          <w:tcPr>
            <w:tcW w:w="0" w:type="dxa"/>
            <w:vAlign w:val="bottom"/>
          </w:tcPr>
          <w:p>
            <w:pPr>
              <w:spacing w:after="0"/>
              <w:rPr>
                <w:sz w:val="1"/>
                <w:szCs w:val="1"/>
                <w:color w:val="auto"/>
              </w:rPr>
            </w:pPr>
          </w:p>
        </w:tc>
      </w:tr>
      <w:tr>
        <w:trPr>
          <w:trHeight w:val="397"/>
        </w:trPr>
        <w:tc>
          <w:tcPr>
            <w:tcW w:w="8460" w:type="dxa"/>
            <w:vAlign w:val="bottom"/>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gridSpan w:val="4"/>
          </w:tcPr>
          <w:p>
            <w:pPr>
              <w:jc w:val="right"/>
              <w:ind w:right="9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4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1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846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440" w:type="dxa"/>
            <w:vAlign w:val="bottom"/>
          </w:tcPr>
          <w:p>
            <w:pPr>
              <w:spacing w:after="0"/>
              <w:rPr>
                <w:sz w:val="18"/>
                <w:szCs w:val="18"/>
                <w:color w:val="auto"/>
              </w:rPr>
            </w:pP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
              <w:spacing w:after="0"/>
              <w:rPr>
                <w:sz w:val="20"/>
                <w:szCs w:val="20"/>
                <w:color w:val="auto"/>
              </w:rPr>
            </w:pPr>
            <w:r>
              <w:rPr>
                <w:rFonts w:ascii="Arial" w:cs="Arial" w:eastAsia="Arial" w:hAnsi="Arial"/>
                <w:sz w:val="18"/>
                <w:szCs w:val="18"/>
                <w:color w:val="auto"/>
                <w:w w:val="93"/>
              </w:rPr>
              <w:t>406</w:t>
            </w:r>
          </w:p>
        </w:tc>
        <w:tc>
          <w:tcPr>
            <w:tcW w:w="220" w:type="dxa"/>
            <w:vAlign w:val="bottom"/>
          </w:tcPr>
          <w:p>
            <w:pPr>
              <w:jc w:val="center"/>
              <w:ind w:left="1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5E5E5"/>
          </w:tcPr>
          <w:p>
            <w:pPr>
              <w:jc w:val="center"/>
              <w:ind w:left="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1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6"/>
        </w:trPr>
        <w:tc>
          <w:tcPr>
            <w:tcW w:w="8460" w:type="dxa"/>
            <w:vAlign w:val="bottom"/>
          </w:tcPr>
          <w:p>
            <w:pPr>
              <w:spacing w:after="0"/>
              <w:rPr>
                <w:sz w:val="20"/>
                <w:szCs w:val="20"/>
                <w:color w:val="auto"/>
              </w:rPr>
            </w:pPr>
            <w:r>
              <w:rPr>
                <w:rFonts w:ascii="Arial" w:cs="Arial" w:eastAsia="Arial" w:hAnsi="Arial"/>
                <w:sz w:val="22"/>
                <w:szCs w:val="22"/>
                <w:b w:val="1"/>
                <w:bCs w:val="1"/>
                <w:color w:val="auto"/>
              </w:rPr>
              <w:t>Note 5: Film and Television Costs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22"/>
                <w:szCs w:val="22"/>
                <w:color w:val="auto"/>
              </w:rPr>
            </w:pP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4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jc w:val="right"/>
              <w:ind w:right="136"/>
              <w:spacing w:after="0" w:line="159" w:lineRule="exact"/>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440" w:type="dxa"/>
            <w:vAlign w:val="bottom"/>
          </w:tcPr>
          <w:p>
            <w:pPr>
              <w:jc w:val="right"/>
              <w:spacing w:after="0"/>
              <w:rPr>
                <w:sz w:val="20"/>
                <w:szCs w:val="20"/>
                <w:color w:val="auto"/>
              </w:rPr>
            </w:pPr>
            <w:r>
              <w:rPr>
                <w:rFonts w:ascii="Arial" w:cs="Arial" w:eastAsia="Arial" w:hAnsi="Arial"/>
                <w:sz w:val="18"/>
                <w:szCs w:val="18"/>
                <w:color w:val="auto"/>
              </w:rPr>
              <w:t>$ 1,238</w:t>
            </w:r>
          </w:p>
        </w:tc>
        <w:tc>
          <w:tcPr>
            <w:tcW w:w="36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1,275</w:t>
            </w:r>
          </w:p>
        </w:tc>
        <w:tc>
          <w:tcPr>
            <w:tcW w:w="0" w:type="dxa"/>
            <w:vAlign w:val="bottom"/>
          </w:tcPr>
          <w:p>
            <w:pPr>
              <w:spacing w:after="0"/>
              <w:rPr>
                <w:sz w:val="1"/>
                <w:szCs w:val="1"/>
                <w:color w:val="auto"/>
              </w:rPr>
            </w:pPr>
          </w:p>
        </w:tc>
      </w:tr>
      <w:tr>
        <w:trPr>
          <w:trHeight w:val="216"/>
        </w:trPr>
        <w:tc>
          <w:tcPr>
            <w:tcW w:w="8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18"/>
                <w:szCs w:val="18"/>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2,429</w:t>
            </w: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2,408</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1,633</w:t>
            </w: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1,573</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18"/>
                <w:szCs w:val="18"/>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2,310</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2,329</w:t>
            </w:r>
          </w:p>
        </w:tc>
        <w:tc>
          <w:tcPr>
            <w:tcW w:w="0" w:type="dxa"/>
            <w:vAlign w:val="bottom"/>
          </w:tcPr>
          <w:p>
            <w:pPr>
              <w:spacing w:after="0"/>
              <w:rPr>
                <w:sz w:val="1"/>
                <w:szCs w:val="1"/>
                <w:color w:val="auto"/>
              </w:rPr>
            </w:pPr>
          </w:p>
        </w:tc>
      </w:tr>
      <w:tr>
        <w:trPr>
          <w:trHeight w:val="210"/>
        </w:trPr>
        <w:tc>
          <w:tcPr>
            <w:tcW w:w="8460" w:type="dxa"/>
            <w:vAlign w:val="bottom"/>
            <w:shd w:val="clear" w:color="auto" w:fill="E5E5E5"/>
          </w:tcPr>
          <w:p>
            <w:pPr>
              <w:spacing w:after="0"/>
              <w:rPr>
                <w:sz w:val="18"/>
                <w:szCs w:val="18"/>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7,141</w:t>
            </w:r>
          </w:p>
        </w:tc>
        <w:tc>
          <w:tcPr>
            <w:tcW w:w="3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7,047</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1,200</w:t>
            </w:r>
          </w:p>
        </w:tc>
        <w:tc>
          <w:tcPr>
            <w:tcW w:w="0" w:type="dxa"/>
            <w:vAlign w:val="bottom"/>
          </w:tcPr>
          <w:p>
            <w:pPr>
              <w:spacing w:after="0"/>
              <w:rPr>
                <w:sz w:val="1"/>
                <w:szCs w:val="1"/>
                <w:color w:val="auto"/>
              </w:rPr>
            </w:pPr>
          </w:p>
        </w:tc>
      </w:tr>
      <w:tr>
        <w:trPr>
          <w:trHeight w:val="217"/>
        </w:trPr>
        <w:tc>
          <w:tcPr>
            <w:tcW w:w="8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$ 5,761</w:t>
            </w:r>
          </w:p>
        </w:tc>
        <w:tc>
          <w:tcPr>
            <w:tcW w:w="3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3"/>
              </w:rPr>
              <w:t>5,847</w:t>
            </w:r>
          </w:p>
        </w:tc>
        <w:tc>
          <w:tcPr>
            <w:tcW w:w="0" w:type="dxa"/>
            <w:vAlign w:val="bottom"/>
          </w:tcPr>
          <w:p>
            <w:pPr>
              <w:spacing w:after="0"/>
              <w:rPr>
                <w:sz w:val="1"/>
                <w:szCs w:val="1"/>
                <w:color w:val="auto"/>
              </w:rPr>
            </w:pPr>
          </w:p>
        </w:tc>
      </w:tr>
      <w:tr>
        <w:trPr>
          <w:trHeight w:val="363"/>
        </w:trPr>
        <w:tc>
          <w:tcPr>
            <w:tcW w:w="8460" w:type="dxa"/>
            <w:vAlign w:val="bottom"/>
          </w:tcPr>
          <w:p>
            <w:pPr>
              <w:ind w:left="5620"/>
              <w:spacing w:after="0"/>
              <w:rPr>
                <w:sz w:val="20"/>
                <w:szCs w:val="20"/>
                <w:color w:val="auto"/>
              </w:rPr>
            </w:pPr>
            <w:r>
              <w:rPr>
                <w:rFonts w:ascii="Arial" w:cs="Arial" w:eastAsia="Arial" w:hAnsi="Arial"/>
                <w:sz w:val="18"/>
                <w:szCs w:val="18"/>
                <w:color w:val="auto"/>
              </w:rPr>
              <w:t>49</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900" w:type="dxa"/>
            <w:vAlign w:val="bottom"/>
            <w:gridSpan w:val="2"/>
          </w:tcPr>
          <w:p>
            <w:pPr>
              <w:ind w:left="3920"/>
              <w:spacing w:after="0"/>
              <w:rPr>
                <w:sz w:val="20"/>
                <w:szCs w:val="20"/>
                <w:color w:val="auto"/>
              </w:rPr>
            </w:pPr>
            <w:r>
              <w:rPr>
                <w:rFonts w:ascii="Arial" w:cs="Arial" w:eastAsia="Arial" w:hAnsi="Arial"/>
                <w:sz w:val="14"/>
                <w:szCs w:val="14"/>
                <w:color w:val="auto"/>
              </w:rPr>
              <w:t>March 31,</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5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5"/>
              <w:spacing w:after="0" w:line="159" w:lineRule="exact"/>
              <w:rPr>
                <w:sz w:val="20"/>
                <w:szCs w:val="20"/>
                <w:color w:val="auto"/>
              </w:rPr>
            </w:pPr>
            <w:r>
              <w:rPr>
                <w:rFonts w:ascii="Arial" w:cs="Arial" w:eastAsia="Arial" w:hAnsi="Arial"/>
                <w:sz w:val="14"/>
                <w:szCs w:val="14"/>
                <w:color w:val="auto"/>
                <w:w w:val="89"/>
              </w:rPr>
              <w:t>2016</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524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4020" w:type="dxa"/>
            <w:vAlign w:val="bottom"/>
            <w:shd w:val="clear" w:color="auto" w:fill="E5E5E5"/>
          </w:tcPr>
          <w:p>
            <w:pPr>
              <w:ind w:left="39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Equity Method:</w:t>
            </w: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Hulu</w:t>
            </w:r>
          </w:p>
        </w:tc>
        <w:tc>
          <w:tcPr>
            <w:tcW w:w="40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159</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184</w:t>
            </w:r>
          </w:p>
        </w:tc>
      </w:tr>
      <w:tr>
        <w:trPr>
          <w:trHeight w:val="216"/>
        </w:trPr>
        <w:tc>
          <w:tcPr>
            <w:tcW w:w="5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336</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313</w:t>
            </w:r>
          </w:p>
        </w:tc>
      </w:tr>
      <w:tr>
        <w:trPr>
          <w:trHeight w:val="210"/>
        </w:trPr>
        <w:tc>
          <w:tcPr>
            <w:tcW w:w="5240" w:type="dxa"/>
            <w:vAlign w:val="bottom"/>
            <w:shd w:val="clear" w:color="auto" w:fill="E5E5E5"/>
          </w:tcPr>
          <w:p>
            <w:pPr>
              <w:spacing w:after="0"/>
              <w:rPr>
                <w:sz w:val="18"/>
                <w:szCs w:val="18"/>
                <w:color w:val="auto"/>
              </w:rPr>
            </w:pPr>
          </w:p>
        </w:tc>
        <w:tc>
          <w:tcPr>
            <w:tcW w:w="40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495</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497</w:t>
            </w: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4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469</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458</w:t>
            </w:r>
          </w:p>
        </w:tc>
      </w:tr>
      <w:tr>
        <w:trPr>
          <w:trHeight w:val="217"/>
        </w:trPr>
        <w:tc>
          <w:tcPr>
            <w:tcW w:w="5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4020" w:type="dxa"/>
            <w:vAlign w:val="bottom"/>
            <w:tcBorders>
              <w:bottom w:val="single" w:sz="8" w:color="auto"/>
            </w:tcBorders>
            <w:shd w:val="clear" w:color="auto" w:fill="E5E5E5"/>
          </w:tcPr>
          <w:p>
            <w:pPr>
              <w:ind w:left="392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970</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965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2016 and 2015, we recognized our proportionate share of losses of $25 million and $11 million, respectively, related to our investment in Hulu.</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31, 2016, our debt, excluding the note payable to Comcast, had a carrying value of $12.8 billion and an estimated fair value of $14.1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2016, we repaid at maturity $1 billion aggregate principal amount of 2.875% senior notes due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As of March 31, 2016, we guaranteed $37.9 billion of outstanding debt securities of Comcast and CCCL Parent. We also fully and unconditionally guarantee the $6.25 billion Comcast revolving credit facility due 2017, of which no amounts were outstanding as of March 31, 2016, and the associated commercial paper program.</w:t>
      </w:r>
    </w:p>
    <w:p>
      <w:pPr>
        <w:spacing w:after="0" w:line="10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primarily consist of awards of restricted share units and stock options to certain employees and directors as part of its approach to long-term incentive compensation. Additionally, through its employee stock purchase plans, employees are able to purchase shares of Comcast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Class A common stock at a discount through payroll deductions. Certain of our employees participate in these plans and the expense associated with their participation is settled in cash with Comcast.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4"/>
          </w:tcPr>
          <w:p>
            <w:pPr>
              <w:jc w:val="right"/>
              <w:ind w:right="7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96"/>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w w:val="83"/>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18</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$ 5,533</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5,949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3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$ 5,104</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5,411</w:t>
            </w:r>
          </w:p>
        </w:tc>
        <w:tc>
          <w:tcPr>
            <w:tcW w:w="0" w:type="dxa"/>
            <w:vAlign w:val="bottom"/>
          </w:tcPr>
          <w:p>
            <w:pPr>
              <w:spacing w:after="0"/>
              <w:rPr>
                <w:sz w:val="1"/>
                <w:szCs w:val="1"/>
                <w:color w:val="auto"/>
              </w:rPr>
            </w:pPr>
          </w:p>
        </w:tc>
      </w:tr>
      <w:tr>
        <w:trPr>
          <w:trHeight w:val="403"/>
        </w:trPr>
        <w:tc>
          <w:tcPr>
            <w:tcW w:w="8540" w:type="dxa"/>
            <w:vAlign w:val="bottom"/>
          </w:tcPr>
          <w:p>
            <w:pPr>
              <w:jc w:val="center"/>
              <w:ind w:left="2794"/>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40" w:type="dxa"/>
            <w:vAlign w:val="bottom"/>
          </w:tcPr>
          <w:p>
            <w:pPr>
              <w:spacing w:after="0"/>
              <w:rPr>
                <w:sz w:val="22"/>
                <w:szCs w:val="22"/>
                <w:color w:val="auto"/>
              </w:rPr>
            </w:pPr>
          </w:p>
        </w:tc>
        <w:tc>
          <w:tcPr>
            <w:tcW w:w="2180" w:type="dxa"/>
            <w:vAlign w:val="bottom"/>
            <w:gridSpan w:val="3"/>
          </w:tcPr>
          <w:p>
            <w:pPr>
              <w:ind w:left="1000"/>
              <w:spacing w:after="0"/>
              <w:rPr>
                <w:sz w:val="20"/>
                <w:szCs w:val="20"/>
                <w:color w:val="auto"/>
              </w:rPr>
            </w:pPr>
            <w:r>
              <w:rPr>
                <w:rFonts w:ascii="Arial" w:cs="Arial" w:eastAsia="Arial" w:hAnsi="Arial"/>
                <w:sz w:val="14"/>
                <w:szCs w:val="14"/>
                <w:color w:val="auto"/>
              </w:rPr>
              <w:t>March 31,</w:t>
            </w: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2016</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w:t>
            </w:r>
          </w:p>
        </w:tc>
        <w:tc>
          <w:tcPr>
            <w:tcW w:w="1300" w:type="dxa"/>
            <w:vAlign w:val="bottom"/>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492"/>
              <w:spacing w:after="0"/>
              <w:rPr>
                <w:sz w:val="20"/>
                <w:szCs w:val="20"/>
                <w:color w:val="auto"/>
              </w:rPr>
            </w:pPr>
            <w:r>
              <w:rPr>
                <w:rFonts w:ascii="Arial" w:cs="Arial" w:eastAsia="Arial" w:hAnsi="Arial"/>
                <w:sz w:val="18"/>
                <w:szCs w:val="18"/>
                <w:color w:val="auto"/>
                <w:w w:val="93"/>
              </w:rPr>
              <w:t>(19)</w:t>
            </w:r>
          </w:p>
        </w:tc>
        <w:tc>
          <w:tcPr>
            <w:tcW w:w="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300" w:type="dxa"/>
            <w:vAlign w:val="bottom"/>
          </w:tcPr>
          <w:p>
            <w:pPr>
              <w:spacing w:after="0"/>
              <w:rPr>
                <w:sz w:val="18"/>
                <w:szCs w:val="18"/>
                <w:color w:val="auto"/>
              </w:rPr>
            </w:pPr>
          </w:p>
        </w:tc>
        <w:tc>
          <w:tcPr>
            <w:tcW w:w="880" w:type="dxa"/>
            <w:vAlign w:val="bottom"/>
            <w:gridSpan w:val="2"/>
          </w:tcPr>
          <w:p>
            <w:pPr>
              <w:jc w:val="right"/>
              <w:ind w:right="55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13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jc w:val="right"/>
              <w:ind w:right="492"/>
              <w:spacing w:after="0"/>
              <w:rPr>
                <w:sz w:val="20"/>
                <w:szCs w:val="20"/>
                <w:color w:val="auto"/>
              </w:rPr>
            </w:pPr>
            <w:r>
              <w:rPr>
                <w:rFonts w:ascii="Arial" w:cs="Arial" w:eastAsia="Arial" w:hAnsi="Arial"/>
                <w:sz w:val="18"/>
                <w:szCs w:val="18"/>
                <w:color w:val="auto"/>
                <w:w w:val="93"/>
              </w:rPr>
              <w:t>(52)</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b w:val="1"/>
                <w:bCs w:val="1"/>
                <w:color w:val="auto"/>
                <w:w w:val="93"/>
              </w:rPr>
              <w:t>(68)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403"/>
        </w:trPr>
        <w:tc>
          <w:tcPr>
            <w:tcW w:w="8540" w:type="dxa"/>
            <w:vAlign w:val="bottom"/>
          </w:tcPr>
          <w:p>
            <w:pPr>
              <w:jc w:val="center"/>
              <w:ind w:left="281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jc w:val="right"/>
              <w:ind w:right="74"/>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8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$ 1,082</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30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48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Film and television costs, net</w:t>
            </w:r>
          </w:p>
        </w:tc>
        <w:tc>
          <w:tcPr>
            <w:tcW w:w="1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0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$ 1,177</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3"/>
              </w:rPr>
              <w:t>1,202</w:t>
            </w:r>
          </w:p>
        </w:tc>
        <w:tc>
          <w:tcPr>
            <w:tcW w:w="0" w:type="dxa"/>
            <w:vAlign w:val="bottom"/>
          </w:tcPr>
          <w:p>
            <w:pPr>
              <w:spacing w:after="0"/>
              <w:rPr>
                <w:sz w:val="1"/>
                <w:szCs w:val="1"/>
                <w:color w:val="auto"/>
              </w:rPr>
            </w:pPr>
          </w:p>
        </w:tc>
      </w:tr>
      <w:tr>
        <w:trPr>
          <w:trHeight w:val="363"/>
        </w:trPr>
        <w:tc>
          <w:tcPr>
            <w:tcW w:w="8540" w:type="dxa"/>
            <w:vAlign w:val="bottom"/>
          </w:tcPr>
          <w:p>
            <w:pPr>
              <w:jc w:val="center"/>
              <w:ind w:left="2814"/>
              <w:spacing w:after="0"/>
              <w:rPr>
                <w:sz w:val="20"/>
                <w:szCs w:val="20"/>
                <w:color w:val="auto"/>
              </w:rPr>
            </w:pPr>
            <w:r>
              <w:rPr>
                <w:rFonts w:ascii="Arial" w:cs="Arial" w:eastAsia="Arial" w:hAnsi="Arial"/>
                <w:sz w:val="18"/>
                <w:szCs w:val="18"/>
                <w:color w:val="auto"/>
                <w:w w:val="99"/>
              </w:rPr>
              <w:t>51</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4"/>
          </w:tcPr>
          <w:p>
            <w:pPr>
              <w:jc w:val="right"/>
              <w:ind w:right="79"/>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60"/>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w w:val="83"/>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994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9"/>
        </w:trPr>
        <w:tc>
          <w:tcPr>
            <w:tcW w:w="99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During the three months ended March 31, 2016: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940" w:type="dxa"/>
            <w:vAlign w:val="bottom"/>
          </w:tcPr>
          <w:p>
            <w:pPr>
              <w:ind w:left="800"/>
              <w:spacing w:after="0"/>
              <w:rPr>
                <w:sz w:val="20"/>
                <w:szCs w:val="20"/>
                <w:color w:val="auto"/>
              </w:rPr>
            </w:pPr>
            <w:r>
              <w:rPr>
                <w:rFonts w:ascii="Arial" w:cs="Arial" w:eastAsia="Arial" w:hAnsi="Arial"/>
                <w:sz w:val="18"/>
                <w:szCs w:val="18"/>
                <w:color w:val="auto"/>
              </w:rPr>
              <w:t>•  we acquired $204 million of property and equipment and intangible assets that were accrued but unpaid</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color w:val="auto"/>
                <w:w w:val="88"/>
              </w:rPr>
              <w:t>Three Months Ended March 31, 2016</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w w:val="9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0" w:type="dxa"/>
            <w:vAlign w:val="bottom"/>
            <w:gridSpan w:val="2"/>
            <w:shd w:val="clear" w:color="auto" w:fill="E5E5E5"/>
          </w:tcPr>
          <w:p>
            <w:pPr>
              <w:ind w:left="2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2,453</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2,084</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1,383</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1,026</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86</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gridSpan w:val="2"/>
            <w:shd w:val="clear" w:color="auto" w:fill="E5E5E5"/>
          </w:tcPr>
          <w:p>
            <w:pPr>
              <w:ind w:left="22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6,861</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1,622</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414</w:t>
            </w:r>
          </w:p>
        </w:tc>
        <w:tc>
          <w:tcPr>
            <w:tcW w:w="3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1,208</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363"/>
        </w:trPr>
        <w:tc>
          <w:tcPr>
            <w:tcW w:w="3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color w:val="auto"/>
                <w:w w:val="88"/>
              </w:rPr>
              <w:t>Three Months Ended March 31, 2015</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w w:val="9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2,359</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2,248</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1,446</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80</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6,604</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1,494</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364</w:t>
            </w:r>
          </w:p>
        </w:tc>
        <w:tc>
          <w:tcPr>
            <w:tcW w:w="3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1,130</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w:t>
      </w:r>
    </w:p>
    <w:p>
      <w:pPr>
        <w:spacing w:after="0" w:line="55"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which resulted in a corresponding offsetting adjustment in Eliminations to reconcile to consolidated totals.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11" w:lineRule="exact"/>
        <w:rPr>
          <w:sz w:val="20"/>
          <w:szCs w:val="20"/>
          <w:color w:val="auto"/>
        </w:rPr>
      </w:pPr>
    </w:p>
    <w:p>
      <w:pPr>
        <w:ind w:left="460"/>
        <w:spacing w:after="0"/>
        <w:tabs>
          <w:tab w:leader="none" w:pos="5680" w:val="left"/>
        </w:tabs>
        <w:rPr>
          <w:sz w:val="20"/>
          <w:szCs w:val="20"/>
          <w:color w:val="auto"/>
        </w:rPr>
      </w:pPr>
      <w:r>
        <w:rPr>
          <w:rFonts w:ascii="Arial" w:cs="Arial" w:eastAsia="Arial" w:hAnsi="Arial"/>
          <w:sz w:val="18"/>
          <w:szCs w:val="18"/>
          <w:color w:val="auto"/>
        </w:rPr>
        <w:t>This is a Restricted Stock Unit Award (the “Award”) dated [</w:t>
      </w:r>
      <w:r>
        <w:rPr>
          <w:sz w:val="20"/>
          <w:szCs w:val="20"/>
          <w:color w:val="auto"/>
        </w:rPr>
        <w:tab/>
      </w:r>
      <w:r>
        <w:rPr>
          <w:rFonts w:ascii="Arial" w:cs="Arial" w:eastAsia="Arial" w:hAnsi="Arial"/>
          <w:sz w:val="16"/>
          <w:szCs w:val="16"/>
          <w:color w:val="auto"/>
        </w:rPr>
        <w:t>], 2016 from Comcast Corporation (the “Company”) to the Grantee. The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90" w:lineRule="exact"/>
        <w:rPr>
          <w:sz w:val="20"/>
          <w:szCs w:val="20"/>
          <w:color w:val="auto"/>
        </w:rPr>
      </w:pPr>
    </w:p>
    <w:p>
      <w:pPr>
        <w:ind w:left="640" w:hanging="176"/>
        <w:spacing w:after="0"/>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are defined below or, if not defined below, have the meanings given to them in the Plan.</w:t>
      </w:r>
    </w:p>
    <w:p>
      <w:pPr>
        <w:spacing w:after="0" w:line="225" w:lineRule="exact"/>
        <w:rPr>
          <w:rFonts w:ascii="Arial" w:cs="Arial" w:eastAsia="Arial" w:hAnsi="Arial"/>
          <w:sz w:val="18"/>
          <w:szCs w:val="18"/>
          <w:color w:val="auto"/>
        </w:rPr>
      </w:pPr>
    </w:p>
    <w:p>
      <w:pPr>
        <w:ind w:right="80" w:firstLine="921"/>
        <w:spacing w:after="0" w:line="312" w:lineRule="auto"/>
        <w:tabs>
          <w:tab w:leader="none" w:pos="1158" w:val="left"/>
        </w:tabs>
        <w:numPr>
          <w:ilvl w:val="2"/>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6(d)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fraud; (ii) misappropriation; (iii) embezzlement; (iv) gross negligence in the performance of duties; (v) self-dealing;</w:t>
      </w:r>
    </w:p>
    <w:p>
      <w:pPr>
        <w:spacing w:after="0" w:line="34" w:lineRule="exact"/>
        <w:rPr>
          <w:rFonts w:ascii="Arial" w:cs="Arial" w:eastAsia="Arial" w:hAnsi="Arial"/>
          <w:sz w:val="17"/>
          <w:szCs w:val="17"/>
          <w:color w:val="auto"/>
        </w:rPr>
      </w:pPr>
    </w:p>
    <w:p>
      <w:pPr>
        <w:ind w:right="180" w:firstLine="8"/>
        <w:spacing w:after="0" w:line="254"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left="1160" w:hanging="239"/>
        <w:spacing w:after="0"/>
        <w:tabs>
          <w:tab w:leader="none" w:pos="11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ectPr>
          <w:pgSz w:w="11900" w:h="16838" w:orient="portrait"/>
          <w:cols w:equalWidth="0" w:num="1">
            <w:col w:w="11420"/>
          </w:cols>
          <w:pgMar w:left="240" w:top="121" w:right="239" w:bottom="1440" w:gutter="0" w:footer="0" w:header="0"/>
        </w:sectPr>
      </w:pPr>
    </w:p>
    <w:bookmarkStart w:id="57" w:name="page58"/>
    <w:bookmarkEnd w:id="57"/>
    <w:p>
      <w:pPr>
        <w:ind w:left="1740" w:hanging="248"/>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if Grantee’s employment by a Participating Company terminates by reason of Disability;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 Grantee’s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behalf.</w:t>
      </w:r>
    </w:p>
    <w:p>
      <w:pPr>
        <w:spacing w:after="0" w:line="211" w:lineRule="exact"/>
        <w:rPr>
          <w:sz w:val="20"/>
          <w:szCs w:val="20"/>
          <w:color w:val="auto"/>
        </w:rPr>
      </w:pPr>
    </w:p>
    <w:p>
      <w:pPr>
        <w:ind w:left="1140" w:hanging="219"/>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 Date.</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rFonts w:ascii="Arial" w:cs="Arial" w:eastAsia="Arial" w:hAnsi="Arial"/>
          <w:sz w:val="18"/>
          <w:szCs w:val="18"/>
          <w:color w:val="auto"/>
        </w:rPr>
      </w:pPr>
    </w:p>
    <w:p>
      <w:pPr>
        <w:ind w:right="80" w:firstLine="921"/>
        <w:spacing w:after="0" w:line="277" w:lineRule="auto"/>
        <w:tabs>
          <w:tab w:leader="none" w:pos="1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70" w:lineRule="exact"/>
        <w:rPr>
          <w:rFonts w:ascii="Arial" w:cs="Arial" w:eastAsia="Arial" w:hAnsi="Arial"/>
          <w:sz w:val="18"/>
          <w:szCs w:val="18"/>
          <w:color w:val="auto"/>
        </w:rPr>
      </w:pPr>
    </w:p>
    <w:p>
      <w:pPr>
        <w:ind w:right="420" w:firstLine="921"/>
        <w:spacing w:after="0" w:line="277"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92"/>
        <w:spacing w:after="0" w:line="308" w:lineRule="auto"/>
        <w:tabs>
          <w:tab w:leader="none" w:pos="173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146" w:lineRule="exact"/>
        <w:rPr>
          <w:rFonts w:ascii="Arial" w:cs="Arial" w:eastAsia="Arial" w:hAnsi="Arial"/>
          <w:sz w:val="17"/>
          <w:szCs w:val="17"/>
          <w:color w:val="auto"/>
        </w:rPr>
      </w:pPr>
    </w:p>
    <w:p>
      <w:pPr>
        <w:ind w:firstLine="1492"/>
        <w:spacing w:after="0" w:line="271" w:lineRule="auto"/>
        <w:tabs>
          <w:tab w:leader="none" w:pos="173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Comparability of Operating Cash Flow Between Calendar Years</w:t>
      </w:r>
      <w:r>
        <w:rPr>
          <w:rFonts w:ascii="Arial" w:cs="Arial" w:eastAsia="Arial" w:hAnsi="Arial"/>
          <w:sz w:val="17"/>
          <w:szCs w:val="17"/>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calendar year and the year to which the performance condition applies to take into account the impact of such acquisition or disposition on a pro forma basis such that the measurement of Operating Cash Flow for the year to which the performance condition applies is comparable to that for the prior calendar year. Such adjustment shall be based upon the historical equivalent of Operating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78" w:lineRule="exact"/>
        <w:rPr>
          <w:rFonts w:ascii="Arial" w:cs="Arial" w:eastAsia="Arial" w:hAnsi="Arial"/>
          <w:sz w:val="17"/>
          <w:szCs w:val="17"/>
          <w:color w:val="auto"/>
        </w:rPr>
      </w:pPr>
    </w:p>
    <w:p>
      <w:pPr>
        <w:ind w:right="880" w:firstLine="921"/>
        <w:spacing w:after="0" w:line="277"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Operating Cash Flow for a calendar year that equals or exceeds 101% of Operating Cash Flow for the immediately preceding calendar year. Accordingly: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8" w:name="page59"/>
    <w:bookmarkEnd w:id="58"/>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The “</w:t>
      </w:r>
      <w:r>
        <w:rPr>
          <w:rFonts w:ascii="Arial" w:cs="Arial" w:eastAsia="Arial" w:hAnsi="Arial"/>
          <w:sz w:val="16"/>
          <w:szCs w:val="16"/>
          <w:u w:val="single" w:color="auto"/>
          <w:color w:val="auto"/>
        </w:rPr>
        <w:t>First Performance Goal</w:t>
      </w:r>
      <w:r>
        <w:rPr>
          <w:rFonts w:ascii="Arial" w:cs="Arial" w:eastAsia="Arial" w:hAnsi="Arial"/>
          <w:sz w:val="16"/>
          <w:szCs w:val="16"/>
          <w:color w:val="auto"/>
        </w:rPr>
        <w:t>” will be satisfied if Operating Cash Flow for 2016 equals or exceeds 101% of Operating Cash Flow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 The “</w:t>
      </w:r>
      <w:r>
        <w:rPr>
          <w:rFonts w:ascii="Arial" w:cs="Arial" w:eastAsia="Arial" w:hAnsi="Arial"/>
          <w:sz w:val="16"/>
          <w:szCs w:val="16"/>
          <w:u w:val="single" w:color="auto"/>
          <w:color w:val="auto"/>
        </w:rPr>
        <w:t>Second Performance Goal</w:t>
      </w:r>
      <w:r>
        <w:rPr>
          <w:rFonts w:ascii="Arial" w:cs="Arial" w:eastAsia="Arial" w:hAnsi="Arial"/>
          <w:sz w:val="16"/>
          <w:szCs w:val="16"/>
          <w:color w:val="auto"/>
        </w:rPr>
        <w:t>” will be satisfied if Operating Cash Flow for 2017 equals or exceeds 101% of Operating Cash Flow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2016;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The “</w:t>
      </w:r>
      <w:r>
        <w:rPr>
          <w:rFonts w:ascii="Arial" w:cs="Arial" w:eastAsia="Arial" w:hAnsi="Arial"/>
          <w:sz w:val="18"/>
          <w:szCs w:val="18"/>
          <w:u w:val="single" w:color="auto"/>
          <w:color w:val="auto"/>
        </w:rPr>
        <w:t>Third Performance Goal</w:t>
      </w:r>
      <w:r>
        <w:rPr>
          <w:rFonts w:ascii="Arial" w:cs="Arial" w:eastAsia="Arial" w:hAnsi="Arial"/>
          <w:sz w:val="18"/>
          <w:szCs w:val="18"/>
          <w:color w:val="auto"/>
        </w:rPr>
        <w:t>” will be satisfied if Operating Cash Flow for 2018 equals or exceeds 101% of Operating Cash Flow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(4) The “</w:t>
      </w:r>
      <w:r>
        <w:rPr>
          <w:rFonts w:ascii="Arial" w:cs="Arial" w:eastAsia="Arial" w:hAnsi="Arial"/>
          <w:sz w:val="16"/>
          <w:szCs w:val="16"/>
          <w:u w:val="single" w:color="auto"/>
          <w:color w:val="auto"/>
        </w:rPr>
        <w:t>Fourth Performance Goal</w:t>
      </w:r>
      <w:r>
        <w:rPr>
          <w:rFonts w:ascii="Arial" w:cs="Arial" w:eastAsia="Arial" w:hAnsi="Arial"/>
          <w:sz w:val="16"/>
          <w:szCs w:val="16"/>
          <w:color w:val="auto"/>
        </w:rPr>
        <w:t>” will be satisfied if Operating Cash Flow for 2019 equals or exceeds 101% of Operating Cash Flow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2018; and</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 The “</w:t>
      </w:r>
      <w:r>
        <w:rPr>
          <w:rFonts w:ascii="Arial" w:cs="Arial" w:eastAsia="Arial" w:hAnsi="Arial"/>
          <w:sz w:val="16"/>
          <w:szCs w:val="16"/>
          <w:u w:val="single" w:color="auto"/>
          <w:color w:val="auto"/>
        </w:rPr>
        <w:t>Fifth Performance Goal</w:t>
      </w:r>
      <w:r>
        <w:rPr>
          <w:rFonts w:ascii="Arial" w:cs="Arial" w:eastAsia="Arial" w:hAnsi="Arial"/>
          <w:sz w:val="16"/>
          <w:szCs w:val="16"/>
          <w:color w:val="auto"/>
        </w:rPr>
        <w:t>” will be satisfied if Operating Cash Flow for 2020 equals or exceeds 101% of Operating Cash Flow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left="1180" w:hanging="25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40" w:firstLine="921"/>
        <w:spacing w:after="0" w:line="264"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225" w:lineRule="exact"/>
        <w:rPr>
          <w:rFonts w:ascii="Arial" w:cs="Arial" w:eastAsia="Arial" w:hAnsi="Arial"/>
          <w:sz w:val="18"/>
          <w:szCs w:val="18"/>
          <w:color w:val="auto"/>
        </w:rPr>
      </w:pPr>
    </w:p>
    <w:p>
      <w:pPr>
        <w:ind w:right="120" w:firstLine="921"/>
        <w:spacing w:after="0" w:line="277" w:lineRule="auto"/>
        <w:tabs>
          <w:tab w:leader="none" w:pos="12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440" w:firstLine="464"/>
        <w:spacing w:after="0" w:line="277"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9" w:name="page60"/>
    <w:bookmarkEnd w:id="59"/>
    <w:p>
      <w:pPr>
        <w:jc w:val="both"/>
        <w:ind w:left="-60" w:right="220" w:firstLine="921"/>
        <w:spacing w:after="0" w:line="264" w:lineRule="auto"/>
        <w:tabs>
          <w:tab w:leader="none" w:pos="1098"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on the record date of such dividend.</w:t>
      </w:r>
    </w:p>
    <w:p>
      <w:pPr>
        <w:spacing w:after="0" w:line="181" w:lineRule="exact"/>
        <w:rPr>
          <w:rFonts w:ascii="Arial" w:cs="Arial" w:eastAsia="Arial" w:hAnsi="Arial"/>
          <w:sz w:val="18"/>
          <w:szCs w:val="18"/>
          <w:color w:val="auto"/>
        </w:rPr>
      </w:pPr>
    </w:p>
    <w:p>
      <w:pPr>
        <w:ind w:left="-60" w:right="220" w:firstLine="921"/>
        <w:spacing w:after="0" w:line="259" w:lineRule="auto"/>
        <w:tabs>
          <w:tab w:leader="none" w:pos="11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86" w:lineRule="exact"/>
        <w:rPr>
          <w:rFonts w:ascii="Arial" w:cs="Arial" w:eastAsia="Arial" w:hAnsi="Arial"/>
          <w:sz w:val="18"/>
          <w:szCs w:val="18"/>
          <w:color w:val="auto"/>
        </w:rPr>
      </w:pPr>
    </w:p>
    <w:p>
      <w:pPr>
        <w:ind w:left="580" w:hanging="176"/>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921"/>
        <w:spacing w:after="0" w:line="293" w:lineRule="auto"/>
        <w:tabs>
          <w:tab w:leader="none" w:pos="1098" w:val="left"/>
        </w:tabs>
        <w:numPr>
          <w:ilvl w:val="1"/>
          <w:numId w:val="24"/>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(1) Grantee has timely satisfied the online grant acceptance conditions described in Paragraph 5(a)(1) and (2)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64" w:lineRule="exact"/>
        <w:rPr>
          <w:rFonts w:ascii="Arial" w:cs="Arial" w:eastAsia="Arial" w:hAnsi="Arial"/>
          <w:sz w:val="16"/>
          <w:szCs w:val="16"/>
          <w:color w:val="auto"/>
        </w:rPr>
      </w:pPr>
    </w:p>
    <w:p>
      <w:pPr>
        <w:ind w:left="-60" w:right="80" w:firstLine="921"/>
        <w:spacing w:after="0" w:line="279" w:lineRule="auto"/>
        <w:tabs>
          <w:tab w:leader="none" w:pos="1108"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Paragraph 4(a) to the contrary, if Grantee’s employment with the Company or a Subsidiary Company terminates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71" w:lineRule="exact"/>
        <w:rPr>
          <w:rFonts w:ascii="Arial" w:cs="Arial" w:eastAsia="Arial" w:hAnsi="Arial"/>
          <w:sz w:val="17"/>
          <w:szCs w:val="17"/>
          <w:color w:val="auto"/>
        </w:rPr>
      </w:pPr>
    </w:p>
    <w:p>
      <w:pPr>
        <w:ind w:left="-60" w:right="20" w:firstLine="921"/>
        <w:spacing w:after="0" w:line="255" w:lineRule="auto"/>
        <w:tabs>
          <w:tab w:leader="none" w:pos="10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1(i)(1)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74" w:right="299" w:bottom="1440" w:gutter="0" w:footer="0" w:header="0"/>
        </w:sectPr>
      </w:pPr>
    </w:p>
    <w:bookmarkStart w:id="60" w:name="page61"/>
    <w:bookmarkEnd w:id="60"/>
    <w:p>
      <w:pPr>
        <w:ind w:right="100" w:firstLine="1492"/>
        <w:spacing w:after="0" w:line="279" w:lineRule="auto"/>
        <w:tabs>
          <w:tab w:leader="none" w:pos="1738" w:val="left"/>
        </w:tabs>
        <w:numPr>
          <w:ilvl w:val="1"/>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4"/>
          <w:szCs w:val="14"/>
          <w:color w:val="auto"/>
        </w:rPr>
        <w:t>rd</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200" w:firstLine="1492"/>
        <w:spacing w:after="0" w:line="279" w:lineRule="auto"/>
        <w:tabs>
          <w:tab w:leader="none" w:pos="17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4"/>
          <w:szCs w:val="14"/>
          <w:color w:val="auto"/>
        </w:rPr>
        <w:t>th</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640" w:firstLine="1492"/>
        <w:spacing w:after="0" w:line="291" w:lineRule="auto"/>
        <w:tabs>
          <w:tab w:leader="none" w:pos="1738"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w:t>
      </w: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83" w:lineRule="exact"/>
        <w:rPr>
          <w:rFonts w:ascii="Arial" w:cs="Arial" w:eastAsia="Arial" w:hAnsi="Arial"/>
          <w:sz w:val="16"/>
          <w:szCs w:val="16"/>
          <w:color w:val="auto"/>
        </w:rPr>
      </w:pPr>
    </w:p>
    <w:p>
      <w:pPr>
        <w:ind w:right="280" w:firstLine="921"/>
        <w:spacing w:after="0" w:line="264"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73" w:lineRule="exact"/>
        <w:rPr>
          <w:rFonts w:ascii="Arial" w:cs="Arial" w:eastAsia="Arial" w:hAnsi="Arial"/>
          <w:sz w:val="18"/>
          <w:szCs w:val="18"/>
          <w:color w:val="auto"/>
        </w:rPr>
      </w:pPr>
    </w:p>
    <w:p>
      <w:pPr>
        <w:ind w:right="360" w:firstLine="1492"/>
        <w:spacing w:after="0" w:line="264" w:lineRule="auto"/>
        <w:tabs>
          <w:tab w:leader="none" w:pos="17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firstLine="1492"/>
        <w:spacing w:after="0" w:line="254" w:lineRule="auto"/>
        <w:tabs>
          <w:tab w:leader="none" w:pos="17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1" w:name="page62"/>
    <w:bookmarkEnd w:id="61"/>
    <w:p>
      <w:pPr>
        <w:ind w:right="120" w:firstLine="921"/>
        <w:spacing w:after="0" w:line="279" w:lineRule="auto"/>
        <w:tabs>
          <w:tab w:leader="none" w:pos="1158" w:val="left"/>
        </w:tabs>
        <w:numPr>
          <w:ilvl w:val="1"/>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w:t>
      </w:r>
    </w:p>
    <w:p>
      <w:pPr>
        <w:spacing w:after="0" w:line="117" w:lineRule="exact"/>
        <w:rPr>
          <w:rFonts w:ascii="Arial" w:cs="Arial" w:eastAsia="Arial" w:hAnsi="Arial"/>
          <w:sz w:val="18"/>
          <w:szCs w:val="18"/>
          <w:color w:val="auto"/>
        </w:rPr>
      </w:pPr>
    </w:p>
    <w:p>
      <w:pPr>
        <w:jc w:val="both"/>
        <w:ind w:right="100" w:firstLine="1492"/>
        <w:spacing w:after="0" w:line="312" w:lineRule="auto"/>
        <w:tabs>
          <w:tab w:leader="none" w:pos="1738" w:val="left"/>
        </w:tabs>
        <w:numPr>
          <w:ilvl w:val="2"/>
          <w:numId w:val="28"/>
        </w:numPr>
        <w:rPr>
          <w:rFonts w:ascii="Arial" w:cs="Arial" w:eastAsia="Arial" w:hAnsi="Arial"/>
          <w:sz w:val="16"/>
          <w:szCs w:val="16"/>
          <w:color w:val="auto"/>
        </w:rPr>
      </w:pPr>
      <w:r>
        <w:rPr>
          <w:rFonts w:ascii="Arial" w:cs="Arial" w:eastAsia="Arial" w:hAnsi="Arial"/>
          <w:sz w:val="16"/>
          <w:szCs w:val="16"/>
          <w:color w:val="auto"/>
        </w:rPr>
        <w:t>if Grantee fails to accept the Employee Assignment of Inventions and Intellectual Property Rights Agreement in accordance with the online grant acceptance procedures described in the Cover Memorandum to this Award on or before Friday, September 2, 2016 at 5:00 p.m. Eastern Daylight Time, the grant will lapse, all Restricted Stock Units granted under this Award will be forfeited and this Award shall be deemed canceled; or</w:t>
      </w:r>
    </w:p>
    <w:p>
      <w:pPr>
        <w:spacing w:after="0" w:line="146" w:lineRule="exact"/>
        <w:rPr>
          <w:rFonts w:ascii="Arial" w:cs="Arial" w:eastAsia="Arial" w:hAnsi="Arial"/>
          <w:sz w:val="16"/>
          <w:szCs w:val="16"/>
          <w:color w:val="auto"/>
        </w:rPr>
      </w:pPr>
    </w:p>
    <w:p>
      <w:pPr>
        <w:ind w:right="100" w:firstLine="1492"/>
        <w:spacing w:after="0" w:line="286" w:lineRule="auto"/>
        <w:tabs>
          <w:tab w:leader="none" w:pos="1738" w:val="left"/>
        </w:tabs>
        <w:numPr>
          <w:ilvl w:val="2"/>
          <w:numId w:val="28"/>
        </w:numPr>
        <w:rPr>
          <w:rFonts w:ascii="Arial" w:cs="Arial" w:eastAsia="Arial" w:hAnsi="Arial"/>
          <w:sz w:val="17"/>
          <w:szCs w:val="17"/>
          <w:color w:val="auto"/>
        </w:rPr>
      </w:pPr>
      <w:r>
        <w:rPr>
          <w:rFonts w:ascii="Arial" w:cs="Arial" w:eastAsia="Arial" w:hAnsi="Arial"/>
          <w:sz w:val="17"/>
          <w:szCs w:val="17"/>
          <w:color w:val="auto"/>
        </w:rPr>
        <w:t>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provisions of Paragraph 5(a)(2) shall not apply to Shares issued in respect of Restricted Stock Units as to which a Vesting Date has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w:t>
      </w:r>
    </w:p>
    <w:p>
      <w:pPr>
        <w:spacing w:after="0" w:line="210" w:lineRule="exact"/>
        <w:rPr>
          <w:rFonts w:ascii="Arial" w:cs="Arial" w:eastAsia="Arial" w:hAnsi="Arial"/>
          <w:sz w:val="17"/>
          <w:szCs w:val="17"/>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117" w:lineRule="exact"/>
        <w:rPr>
          <w:sz w:val="20"/>
          <w:szCs w:val="20"/>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64" w:lineRule="auto"/>
        <w:tabs>
          <w:tab w:leader="none" w:pos="173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81" w:lineRule="exact"/>
        <w:rPr>
          <w:rFonts w:ascii="Arial" w:cs="Arial" w:eastAsia="Arial" w:hAnsi="Arial"/>
          <w:sz w:val="18"/>
          <w:szCs w:val="18"/>
          <w:color w:val="auto"/>
        </w:rPr>
      </w:pPr>
    </w:p>
    <w:p>
      <w:pPr>
        <w:ind w:firstLine="1492"/>
        <w:spacing w:after="0" w:line="277" w:lineRule="auto"/>
        <w:tabs>
          <w:tab w:leader="none" w:pos="173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2" w:name="page63"/>
    <w:bookmarkEnd w:id="62"/>
    <w:p>
      <w:pPr>
        <w:ind w:firstLine="1492"/>
        <w:spacing w:after="0" w:line="279" w:lineRule="auto"/>
        <w:tabs>
          <w:tab w:leader="none" w:pos="1738"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Period</w:t>
      </w:r>
      <w:r>
        <w:rPr>
          <w:rFonts w:ascii="Arial" w:cs="Arial" w:eastAsia="Arial" w:hAnsi="Arial"/>
          <w:sz w:val="17"/>
          <w:szCs w:val="17"/>
          <w:color w:val="auto"/>
        </w:rPr>
        <w:t>. Subject to Paragraph 6(b),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171"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 Election is filed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10" w:lineRule="exact"/>
        <w:rPr>
          <w:rFonts w:ascii="Arial" w:cs="Arial" w:eastAsia="Arial" w:hAnsi="Arial"/>
          <w:sz w:val="16"/>
          <w:szCs w:val="16"/>
          <w:color w:val="auto"/>
        </w:rPr>
      </w:pPr>
    </w:p>
    <w:p>
      <w:pPr>
        <w:jc w:val="both"/>
        <w:ind w:right="20" w:firstLine="1492"/>
        <w:spacing w:after="0" w:line="279" w:lineRule="auto"/>
        <w:tabs>
          <w:tab w:leader="none" w:pos="17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6(b)(1)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1" w:lineRule="exact"/>
        <w:rPr>
          <w:rFonts w:ascii="Arial" w:cs="Arial" w:eastAsia="Arial" w:hAnsi="Arial"/>
          <w:sz w:val="17"/>
          <w:szCs w:val="17"/>
          <w:color w:val="auto"/>
        </w:rPr>
      </w:pPr>
    </w:p>
    <w:p>
      <w:pPr>
        <w:jc w:val="both"/>
        <w:ind w:right="20" w:firstLine="1492"/>
        <w:spacing w:after="0" w:line="279" w:lineRule="auto"/>
        <w:tabs>
          <w:tab w:leader="none" w:pos="17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71" w:lineRule="exact"/>
        <w:rPr>
          <w:rFonts w:ascii="Arial" w:cs="Arial" w:eastAsia="Arial" w:hAnsi="Arial"/>
          <w:sz w:val="17"/>
          <w:szCs w:val="17"/>
          <w:color w:val="auto"/>
        </w:rPr>
      </w:pPr>
    </w:p>
    <w:p>
      <w:pPr>
        <w:ind w:right="200" w:firstLine="1492"/>
        <w:spacing w:after="0" w:line="312" w:lineRule="auto"/>
        <w:tabs>
          <w:tab w:leader="none" w:pos="1738"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46" w:lineRule="exact"/>
        <w:rPr>
          <w:rFonts w:ascii="Arial" w:cs="Arial" w:eastAsia="Arial" w:hAnsi="Arial"/>
          <w:sz w:val="16"/>
          <w:szCs w:val="16"/>
          <w:color w:val="auto"/>
        </w:rPr>
      </w:pPr>
    </w:p>
    <w:p>
      <w:pPr>
        <w:ind w:right="140" w:firstLine="921"/>
        <w:spacing w:after="0" w:line="277" w:lineRule="auto"/>
        <w:tabs>
          <w:tab w:leader="none" w:pos="115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70"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63" w:name="page64"/>
    <w:bookmarkEnd w:id="63"/>
    <w:p>
      <w:pPr>
        <w:ind w:left="-20" w:right="40" w:firstLine="921"/>
        <w:spacing w:after="0" w:line="255"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3" w:lineRule="exact"/>
        <w:rPr>
          <w:rFonts w:ascii="Arial" w:cs="Arial" w:eastAsia="Arial" w:hAnsi="Arial"/>
          <w:sz w:val="18"/>
          <w:szCs w:val="18"/>
          <w:color w:val="auto"/>
        </w:rPr>
      </w:pPr>
    </w:p>
    <w:p>
      <w:pPr>
        <w:ind w:left="-20" w:firstLine="921"/>
        <w:spacing w:after="0" w:line="286" w:lineRule="auto"/>
        <w:tabs>
          <w:tab w:leader="none" w:pos="1118"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Non-Assignability, Etc.</w:t>
      </w:r>
      <w:r>
        <w:rPr>
          <w:rFonts w:ascii="Arial" w:cs="Arial" w:eastAsia="Arial" w:hAnsi="Arial"/>
          <w:sz w:val="17"/>
          <w:szCs w:val="17"/>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65" w:lineRule="exact"/>
        <w:rPr>
          <w:rFonts w:ascii="Arial" w:cs="Arial" w:eastAsia="Arial" w:hAnsi="Arial"/>
          <w:sz w:val="17"/>
          <w:szCs w:val="17"/>
          <w:color w:val="auto"/>
        </w:rPr>
      </w:pPr>
    </w:p>
    <w:p>
      <w:pPr>
        <w:ind w:left="-20" w:right="180" w:firstLine="464"/>
        <w:spacing w:after="0" w:line="264" w:lineRule="auto"/>
        <w:tabs>
          <w:tab w:leader="none" w:pos="61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left="-20" w:right="340" w:firstLine="464"/>
        <w:spacing w:after="0" w:line="264" w:lineRule="auto"/>
        <w:tabs>
          <w:tab w:leader="none" w:pos="61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21"/>
        <w:spacing w:after="0" w:line="270" w:lineRule="auto"/>
        <w:tabs>
          <w:tab w:leader="none" w:pos="1137"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to payment of any fractional Shares shall be satisfied in cash, measured by the product of the fractional amount times the Fair Market Value of a Share on the Vesting Date, as determined by the Committee.</w:t>
      </w:r>
    </w:p>
    <w:p>
      <w:pPr>
        <w:spacing w:after="0" w:line="170" w:lineRule="exact"/>
        <w:rPr>
          <w:sz w:val="20"/>
          <w:szCs w:val="20"/>
          <w:color w:val="auto"/>
        </w:rPr>
      </w:pPr>
    </w:p>
    <w:p>
      <w:pPr>
        <w:ind w:firstLine="921"/>
        <w:spacing w:after="0" w:line="271" w:lineRule="auto"/>
        <w:tabs>
          <w:tab w:leader="none" w:pos="1168"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78" w:lineRule="exact"/>
        <w:rPr>
          <w:rFonts w:ascii="Arial" w:cs="Arial" w:eastAsia="Arial" w:hAnsi="Arial"/>
          <w:sz w:val="17"/>
          <w:szCs w:val="17"/>
          <w:color w:val="auto"/>
        </w:rPr>
      </w:pPr>
    </w:p>
    <w:p>
      <w:pPr>
        <w:ind w:right="80" w:firstLine="464"/>
        <w:spacing w:after="0" w:line="293" w:lineRule="auto"/>
        <w:tabs>
          <w:tab w:leader="none" w:pos="72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164" w:lineRule="exact"/>
        <w:rPr>
          <w:rFonts w:ascii="Arial" w:cs="Arial" w:eastAsia="Arial" w:hAnsi="Arial"/>
          <w:sz w:val="16"/>
          <w:szCs w:val="16"/>
          <w:color w:val="auto"/>
        </w:rPr>
      </w:pPr>
    </w:p>
    <w:p>
      <w:pPr>
        <w:ind w:right="320" w:firstLine="464"/>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6" w:lineRule="auto"/>
        <w:tabs>
          <w:tab w:leader="none" w:pos="1158"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5" w:lineRule="exact"/>
        <w:rPr>
          <w:rFonts w:ascii="Arial" w:cs="Arial" w:eastAsia="Arial" w:hAnsi="Arial"/>
          <w:sz w:val="17"/>
          <w:szCs w:val="17"/>
          <w:color w:val="auto"/>
        </w:rPr>
      </w:pPr>
    </w:p>
    <w:p>
      <w:pPr>
        <w:ind w:right="180" w:firstLine="921"/>
        <w:spacing w:after="0" w:line="277" w:lineRule="auto"/>
        <w:tabs>
          <w:tab w:leader="none" w:pos="11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65" w:name="page66"/>
    <w:bookmarkEnd w:id="65"/>
    <w:p>
      <w:pPr>
        <w:ind w:left="-921" w:firstLine="921"/>
        <w:spacing w:after="0" w:line="277" w:lineRule="auto"/>
        <w:tabs>
          <w:tab w:leader="none" w:pos="23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validity, performance, construction and effect of this Award shall be governed by the laws of the Commonwealth of Pennsylvania, without giving effect to principles of conflicts of law.</w:t>
      </w:r>
    </w:p>
    <w:p>
      <w:pPr>
        <w:spacing w:after="0" w:line="197"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14605</wp:posOffset>
            </wp:positionV>
            <wp:extent cx="2229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5" w:lineRule="exact"/>
        <w:rPr>
          <w:sz w:val="20"/>
          <w:szCs w:val="20"/>
          <w:color w:val="auto"/>
        </w:rPr>
      </w:pPr>
    </w:p>
    <w:p>
      <w:pPr>
        <w:ind w:left="5939"/>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14605</wp:posOffset>
            </wp:positionV>
            <wp:extent cx="2229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51" w:lineRule="exact"/>
        <w:rPr>
          <w:sz w:val="20"/>
          <w:szCs w:val="20"/>
          <w:color w:val="auto"/>
        </w:rPr>
      </w:pPr>
    </w:p>
    <w:p>
      <w:pPr>
        <w:ind w:left="46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39"/>
          </w:cols>
          <w:pgMar w:left="1161" w:top="274" w:right="7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OPTION AWARD</w:t>
      </w:r>
    </w:p>
    <w:p>
      <w:pPr>
        <w:spacing w:after="0" w:line="211" w:lineRule="exact"/>
        <w:rPr>
          <w:sz w:val="20"/>
          <w:szCs w:val="20"/>
          <w:color w:val="auto"/>
        </w:rPr>
      </w:pPr>
    </w:p>
    <w:p>
      <w:pPr>
        <w:ind w:left="460"/>
        <w:spacing w:after="0"/>
        <w:tabs>
          <w:tab w:leader="none" w:pos="5100" w:val="left"/>
        </w:tabs>
        <w:rPr>
          <w:sz w:val="20"/>
          <w:szCs w:val="20"/>
          <w:color w:val="auto"/>
        </w:rPr>
      </w:pPr>
      <w:r>
        <w:rPr>
          <w:rFonts w:ascii="Arial" w:cs="Arial" w:eastAsia="Arial" w:hAnsi="Arial"/>
          <w:sz w:val="18"/>
          <w:szCs w:val="18"/>
          <w:color w:val="auto"/>
        </w:rPr>
        <w:t>This is a Non-Qualified Stock Option Award dated [</w:t>
      </w:r>
      <w:r>
        <w:rPr>
          <w:sz w:val="20"/>
          <w:szCs w:val="20"/>
          <w:color w:val="auto"/>
        </w:rPr>
        <w:tab/>
      </w:r>
      <w:r>
        <w:rPr>
          <w:rFonts w:ascii="Arial" w:cs="Arial" w:eastAsia="Arial" w:hAnsi="Arial"/>
          <w:sz w:val="16"/>
          <w:szCs w:val="16"/>
          <w:color w:val="auto"/>
        </w:rPr>
        <w:t>], 2016 (“Award”) from Comcast Corporation (the “Sponsor”) to the Optionee.</w:t>
      </w:r>
    </w:p>
    <w:p>
      <w:pPr>
        <w:spacing w:after="0" w:line="225" w:lineRule="exact"/>
        <w:rPr>
          <w:sz w:val="20"/>
          <w:szCs w:val="20"/>
          <w:color w:val="auto"/>
        </w:rPr>
      </w:pPr>
    </w:p>
    <w:p>
      <w:pPr>
        <w:ind w:left="640" w:hanging="176"/>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117" w:lineRule="exact"/>
        <w:rPr>
          <w:rFonts w:ascii="Arial" w:cs="Arial" w:eastAsia="Arial" w:hAnsi="Arial"/>
          <w:sz w:val="18"/>
          <w:szCs w:val="18"/>
          <w:color w:val="auto"/>
        </w:rPr>
      </w:pPr>
    </w:p>
    <w:p>
      <w:pPr>
        <w:ind w:right="320" w:firstLine="921"/>
        <w:spacing w:after="0" w:line="259" w:lineRule="auto"/>
        <w:tabs>
          <w:tab w:leader="none" w:pos="1158"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fraud; (ii) misappropriation; (iii) embezzlement; (iv) gross negligence in the performance of duties; (v) self-dealing;</w:t>
      </w:r>
    </w:p>
    <w:p>
      <w:pPr>
        <w:spacing w:after="0" w:line="34" w:lineRule="exact"/>
        <w:rPr>
          <w:rFonts w:ascii="Arial" w:cs="Arial" w:eastAsia="Arial" w:hAnsi="Arial"/>
          <w:sz w:val="17"/>
          <w:szCs w:val="17"/>
          <w:color w:val="auto"/>
        </w:rPr>
      </w:pPr>
    </w:p>
    <w:p>
      <w:pPr>
        <w:ind w:right="180" w:firstLine="8"/>
        <w:spacing w:after="0" w:line="254"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misrepresentation; (vii) dishonesty;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right="440" w:firstLine="921"/>
        <w:spacing w:after="0" w:line="279" w:lineRule="auto"/>
        <w:tabs>
          <w:tab w:leader="none" w:pos="1168" w:val="left"/>
        </w:tabs>
        <w:numPr>
          <w:ilvl w:val="2"/>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acquisition and sale of the Shares as described in, and subject to the provisions of, Paragraph 9 hereof.</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those members of the Board who have been designated pursuant to the Plan to act in that capacity.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 per share.</w:t>
      </w:r>
    </w:p>
    <w:p>
      <w:pPr>
        <w:sectPr>
          <w:pgSz w:w="11900" w:h="16838" w:orient="portrait"/>
          <w:cols w:equalWidth="0" w:num="1">
            <w:col w:w="11420"/>
          </w:cols>
          <w:pgMar w:left="240" w:top="121" w:right="239" w:bottom="1440" w:gutter="0" w:footer="0" w:header="0"/>
        </w:sectPr>
      </w:pPr>
    </w:p>
    <w:bookmarkStart w:id="67" w:name="page68"/>
    <w:bookmarkEnd w:id="67"/>
    <w:p>
      <w:pPr>
        <w:ind w:left="219" w:hanging="219"/>
        <w:spacing w:after="0"/>
        <w:tabs>
          <w:tab w:leader="none" w:pos="219"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each of its Subsidiaries.</w:t>
      </w:r>
    </w:p>
    <w:p>
      <w:pPr>
        <w:spacing w:after="0" w:line="225" w:lineRule="exact"/>
        <w:rPr>
          <w:rFonts w:ascii="Arial" w:cs="Arial" w:eastAsia="Arial" w:hAnsi="Arial"/>
          <w:sz w:val="18"/>
          <w:szCs w:val="18"/>
          <w:color w:val="auto"/>
        </w:rPr>
      </w:pPr>
    </w:p>
    <w:p>
      <w:pPr>
        <w:ind w:left="-921" w:right="340" w:firstLine="921"/>
        <w:spacing w:after="0" w:line="277" w:lineRule="auto"/>
        <w:tabs>
          <w:tab w:leader="none" w:pos="2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the date on which the notice required by Paragraph 6 hereof is hand-delivered, placed in the United States mail postage prepaid, or delivered to a telegraph or telex facility.</w:t>
      </w:r>
    </w:p>
    <w:p>
      <w:pPr>
        <w:spacing w:after="0" w:line="170" w:lineRule="exact"/>
        <w:rPr>
          <w:rFonts w:ascii="Arial" w:cs="Arial" w:eastAsia="Arial" w:hAnsi="Arial"/>
          <w:sz w:val="18"/>
          <w:szCs w:val="18"/>
          <w:color w:val="auto"/>
        </w:rPr>
      </w:pPr>
    </w:p>
    <w:p>
      <w:pPr>
        <w:ind w:left="219" w:hanging="219"/>
        <w:spacing w:after="0"/>
        <w:tabs>
          <w:tab w:leader="none" w:pos="2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hereof, the date on which the Sponsor awarded the Option.</w:t>
      </w:r>
    </w:p>
    <w:p>
      <w:pPr>
        <w:spacing w:after="0" w:line="225" w:lineRule="exact"/>
        <w:rPr>
          <w:rFonts w:ascii="Arial" w:cs="Arial" w:eastAsia="Arial" w:hAnsi="Arial"/>
          <w:sz w:val="18"/>
          <w:szCs w:val="18"/>
          <w:color w:val="auto"/>
        </w:rPr>
      </w:pPr>
    </w:p>
    <w:p>
      <w:pPr>
        <w:ind w:left="299" w:hanging="299"/>
        <w:spacing w:after="0"/>
        <w:tabs>
          <w:tab w:leader="none" w:pos="2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of the following:</w:t>
      </w:r>
    </w:p>
    <w:p>
      <w:pPr>
        <w:spacing w:after="0" w:line="117" w:lineRule="exact"/>
        <w:rPr>
          <w:rFonts w:ascii="Arial" w:cs="Arial" w:eastAsia="Arial" w:hAnsi="Arial"/>
          <w:sz w:val="18"/>
          <w:szCs w:val="18"/>
          <w:color w:val="auto"/>
        </w:rPr>
      </w:pPr>
    </w:p>
    <w:p>
      <w:pPr>
        <w:ind w:left="-921" w:right="420" w:firstLine="1492"/>
        <w:spacing w:after="0" w:line="277" w:lineRule="auto"/>
        <w:tabs>
          <w:tab w:leader="none" w:pos="8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is due to any reason other than death, Disability, Retirement or Cause, the date 90 days following such Termination of Employment;</w:t>
      </w:r>
    </w:p>
    <w:p>
      <w:pPr>
        <w:spacing w:after="0" w:line="170" w:lineRule="exact"/>
        <w:rPr>
          <w:rFonts w:ascii="Arial" w:cs="Arial" w:eastAsia="Arial" w:hAnsi="Arial"/>
          <w:sz w:val="18"/>
          <w:szCs w:val="18"/>
          <w:color w:val="auto"/>
        </w:rPr>
      </w:pPr>
    </w:p>
    <w:p>
      <w:pPr>
        <w:ind w:left="-921" w:right="700" w:firstLine="1492"/>
        <w:spacing w:after="0" w:line="308" w:lineRule="auto"/>
        <w:tabs>
          <w:tab w:leader="none" w:pos="8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Subject to cancellation by the Committee pursuant to Paragraph 3(c), if the Optionee’s Termination of Employment with the Company (other than a Termination of Employment with the Company for Cause) occurs after qualifying for Retirement,</w:t>
      </w:r>
    </w:p>
    <w:p>
      <w:pPr>
        <w:spacing w:after="0" w:line="146" w:lineRule="exact"/>
        <w:rPr>
          <w:rFonts w:ascii="Arial" w:cs="Arial" w:eastAsia="Arial" w:hAnsi="Arial"/>
          <w:sz w:val="17"/>
          <w:szCs w:val="17"/>
          <w:color w:val="auto"/>
        </w:rPr>
      </w:pPr>
    </w:p>
    <w:p>
      <w:pPr>
        <w:ind w:left="-921" w:firstLine="1948"/>
        <w:spacing w:after="0" w:line="308" w:lineRule="auto"/>
        <w:tabs>
          <w:tab w:leader="none" w:pos="1264"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date three months after the third anniversary of the date of the Optionee’s Termination of Employment if, at the time of such Termination of Employment, the Optionee has completed at least ten (10) but less than fifteen (15) years of service with the Company;</w:t>
      </w:r>
    </w:p>
    <w:p>
      <w:pPr>
        <w:spacing w:after="0" w:line="146" w:lineRule="exact"/>
        <w:rPr>
          <w:rFonts w:ascii="Arial" w:cs="Arial" w:eastAsia="Arial" w:hAnsi="Arial"/>
          <w:sz w:val="17"/>
          <w:szCs w:val="17"/>
          <w:color w:val="auto"/>
        </w:rPr>
      </w:pPr>
    </w:p>
    <w:p>
      <w:pPr>
        <w:ind w:left="-921" w:right="20" w:firstLine="1948"/>
        <w:spacing w:after="0" w:line="308" w:lineRule="auto"/>
        <w:tabs>
          <w:tab w:leader="none" w:pos="1274"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date three months after the fifth anniversary of the date of the Optionee’s Termination of Employment if, at the time of such Termination of Employment, the Optionee has completed at least fifteen (15) but less than twenty (20) years of service with the Company; or</w:t>
      </w:r>
    </w:p>
    <w:p>
      <w:pPr>
        <w:spacing w:after="0" w:line="146" w:lineRule="exact"/>
        <w:rPr>
          <w:rFonts w:ascii="Arial" w:cs="Arial" w:eastAsia="Arial" w:hAnsi="Arial"/>
          <w:sz w:val="17"/>
          <w:szCs w:val="17"/>
          <w:color w:val="auto"/>
        </w:rPr>
      </w:pPr>
    </w:p>
    <w:p>
      <w:pPr>
        <w:ind w:left="-921" w:right="100" w:firstLine="1948"/>
        <w:spacing w:after="0" w:line="308" w:lineRule="auto"/>
        <w:tabs>
          <w:tab w:leader="none" w:pos="1264"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date three months after the nine and one-half year anniversary of the date of the Optionee’s Termination of Employment if, at the time of such Termination of Employment, the Optionee has completed twenty (20) or more years of service with the Company;</w:t>
      </w:r>
    </w:p>
    <w:p>
      <w:pPr>
        <w:spacing w:after="0" w:line="146" w:lineRule="exact"/>
        <w:rPr>
          <w:rFonts w:ascii="Arial" w:cs="Arial" w:eastAsia="Arial" w:hAnsi="Arial"/>
          <w:sz w:val="17"/>
          <w:szCs w:val="17"/>
          <w:color w:val="auto"/>
        </w:rPr>
      </w:pPr>
    </w:p>
    <w:p>
      <w:pPr>
        <w:ind w:left="819" w:hanging="248"/>
        <w:spacing w:after="0"/>
        <w:tabs>
          <w:tab w:leader="none" w:pos="8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If the Optionee’s Termination of Employment with the Company is for Cause, the date of such Termination of Employment; or</w:t>
      </w:r>
    </w:p>
    <w:p>
      <w:pPr>
        <w:spacing w:after="0" w:line="236" w:lineRule="exact"/>
        <w:rPr>
          <w:rFonts w:ascii="Arial" w:cs="Arial" w:eastAsia="Arial" w:hAnsi="Arial"/>
          <w:sz w:val="17"/>
          <w:szCs w:val="17"/>
          <w:color w:val="auto"/>
        </w:rPr>
      </w:pPr>
    </w:p>
    <w:p>
      <w:pPr>
        <w:ind w:left="819" w:hanging="248"/>
        <w:spacing w:after="0"/>
        <w:tabs>
          <w:tab w:leader="none" w:pos="8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day before the tenth anniversary of the Date of Grant.</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as determined pursuant to the Plan.</w:t>
      </w:r>
    </w:p>
    <w:p>
      <w:pPr>
        <w:sectPr>
          <w:pgSz w:w="11900" w:h="16838" w:orient="portrait"/>
          <w:cols w:equalWidth="0" w:num="1">
            <w:col w:w="10479"/>
          </w:cols>
          <w:pgMar w:left="1161" w:top="274" w:right="259" w:bottom="1440" w:gutter="0" w:footer="0" w:header="0"/>
        </w:sectPr>
      </w:pPr>
    </w:p>
    <w:bookmarkStart w:id="68" w:name="page69"/>
    <w:bookmarkEnd w:id="68"/>
    <w:p>
      <w:pPr>
        <w:ind w:right="140" w:firstLine="921"/>
        <w:spacing w:after="0" w:line="277"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vesting and exercise of the Option.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option hereby granted.</w:t>
      </w:r>
    </w:p>
    <w:p>
      <w:pPr>
        <w:spacing w:after="0" w:line="225" w:lineRule="exact"/>
        <w:rPr>
          <w:rFonts w:ascii="Arial" w:cs="Arial" w:eastAsia="Arial" w:hAnsi="Arial"/>
          <w:sz w:val="18"/>
          <w:szCs w:val="18"/>
          <w:color w:val="auto"/>
        </w:rPr>
      </w:pPr>
    </w:p>
    <w:p>
      <w:pPr>
        <w:ind w:right="220" w:firstLine="921"/>
        <w:spacing w:after="0" w:line="277" w:lineRule="auto"/>
        <w:tabs>
          <w:tab w:leader="none" w:pos="11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per Share exercise price of the Option, as calculated pursuant to the Plan and set forth on the attached Long-Term Incentive Awards Summary Schedule.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the individual to whom the Option has been granted as identified on the attached Long-Term Incentive Awards Summary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10" w:lineRule="exact"/>
        <w:rPr>
          <w:rFonts w:ascii="Arial" w:cs="Arial" w:eastAsia="Arial" w:hAnsi="Arial"/>
          <w:sz w:val="16"/>
          <w:szCs w:val="16"/>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 incorporated herein by reference.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An Optionee will be qualified for Retirement after reaching age 62 and completing 10 or more years of service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100" w:firstLine="921"/>
        <w:spacing w:after="0" w:line="277" w:lineRule="auto"/>
        <w:tabs>
          <w:tab w:leader="none" w:pos="12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the total number of shares of Common Stock, which are the subject of the Option hereby granted, as set forth on the attached Long-Term Incentive Awards Summary Schedule.</w:t>
      </w:r>
    </w:p>
    <w:p>
      <w:pPr>
        <w:spacing w:after="0" w:line="170"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business entity that, at the time in question, is a subsidiary of the Sponsor within the meaning of section 424(f)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firstLine="921"/>
        <w:spacing w:after="0" w:line="259" w:lineRule="auto"/>
        <w:tabs>
          <w:tab w:leader="none" w:pos="11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employer corporation is the Sponsor or a Subsidiary.</w:t>
      </w:r>
    </w:p>
    <w:p>
      <w:pPr>
        <w:spacing w:after="0" w:line="187" w:lineRule="exact"/>
        <w:rPr>
          <w:sz w:val="20"/>
          <w:szCs w:val="20"/>
          <w:color w:val="auto"/>
        </w:rPr>
      </w:pPr>
    </w:p>
    <w:p>
      <w:pPr>
        <w:ind w:left="1240" w:hanging="31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Event</w:t>
      </w:r>
      <w:r>
        <w:rPr>
          <w:rFonts w:ascii="Arial" w:cs="Arial" w:eastAsia="Arial" w:hAnsi="Arial"/>
          <w:sz w:val="17"/>
          <w:szCs w:val="17"/>
          <w:color w:val="auto"/>
        </w:rPr>
        <w:t>” means any of the following events: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the Optionee’s termination of employment. For purposes of the Plan and this Award, the Optionee’s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Termination of</w:t>
      </w:r>
    </w:p>
    <w:p>
      <w:pPr>
        <w:sectPr>
          <w:pgSz w:w="11900" w:h="16838" w:orient="portrait"/>
          <w:cols w:equalWidth="0" w:num="1">
            <w:col w:w="11420"/>
          </w:cols>
          <w:pgMar w:left="240" w:top="274" w:right="239" w:bottom="1440" w:gutter="0" w:footer="0" w:header="0"/>
        </w:sectPr>
      </w:pPr>
    </w:p>
    <w:bookmarkStart w:id="69" w:name="page70"/>
    <w:bookmarkEnd w:id="69"/>
    <w:p>
      <w:pPr>
        <w:ind w:righ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178" w:lineRule="exact"/>
        <w:rPr>
          <w:sz w:val="20"/>
          <w:szCs w:val="20"/>
          <w:color w:val="auto"/>
        </w:rPr>
      </w:pPr>
    </w:p>
    <w:p>
      <w:pPr>
        <w:ind w:right="20" w:firstLine="921"/>
        <w:spacing w:after="0" w:line="277" w:lineRule="auto"/>
        <w:tabs>
          <w:tab w:leader="none" w:pos="12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70" w:lineRule="exact"/>
        <w:rPr>
          <w:rFonts w:ascii="Arial" w:cs="Arial" w:eastAsia="Arial" w:hAnsi="Arial"/>
          <w:sz w:val="18"/>
          <w:szCs w:val="18"/>
          <w:color w:val="auto"/>
        </w:rPr>
      </w:pPr>
    </w:p>
    <w:p>
      <w:pPr>
        <w:ind w:left="1260" w:hanging="339"/>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1934 Act</w:t>
      </w:r>
      <w:r>
        <w:rPr>
          <w:rFonts w:ascii="Arial" w:cs="Arial" w:eastAsia="Arial" w:hAnsi="Arial"/>
          <w:sz w:val="17"/>
          <w:szCs w:val="17"/>
          <w:color w:val="auto"/>
        </w:rPr>
        <w:t>” means the Securities Exchange Act of 1934, as amended.</w:t>
      </w:r>
    </w:p>
    <w:p>
      <w:pPr>
        <w:spacing w:after="0" w:line="236" w:lineRule="exact"/>
        <w:rPr>
          <w:rFonts w:ascii="Arial" w:cs="Arial" w:eastAsia="Arial" w:hAnsi="Arial"/>
          <w:sz w:val="17"/>
          <w:szCs w:val="17"/>
          <w:color w:val="auto"/>
        </w:rPr>
      </w:pPr>
    </w:p>
    <w:p>
      <w:pPr>
        <w:ind w:right="620" w:firstLine="464"/>
        <w:spacing w:after="0" w:line="277" w:lineRule="auto"/>
        <w:tabs>
          <w:tab w:leader="none" w:pos="63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set forth herein and in the Plan, the Sponsor hereby grants to the Optionee the Option to purchase any or all of the Shares.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Time of 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312" w:lineRule="auto"/>
        <w:tabs>
          <w:tab w:leader="none" w:pos="11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Optionee fails to accept (i) this Award document and (ii) the Employee Assignment of Inventions and Intellectual Property Rights Agreement in accordance with the online grant acceptance procedures described in the Cover Memorandum to this Award on or before Friday, September 2, 2016 at 5:00 p.m. Eastern Daylight Time, the grant will lapse, the Option granted under this Award will be forfeited and this Award shall be deemed canceled.</w:t>
      </w:r>
    </w:p>
    <w:p>
      <w:pPr>
        <w:spacing w:after="0" w:line="146" w:lineRule="exact"/>
        <w:rPr>
          <w:rFonts w:ascii="Arial" w:cs="Arial" w:eastAsia="Arial" w:hAnsi="Arial"/>
          <w:sz w:val="16"/>
          <w:szCs w:val="16"/>
          <w:color w:val="auto"/>
        </w:rPr>
      </w:pPr>
    </w:p>
    <w:p>
      <w:pPr>
        <w:ind w:right="20" w:firstLine="921"/>
        <w:spacing w:after="0" w:line="302" w:lineRule="auto"/>
        <w:tabs>
          <w:tab w:leader="none" w:pos="1168"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Provided that Optionee has timely satisfied the online grant acceptance condition described in Paragraph 3(a), and except as provided in Paragraphs 3(b), 3(c) or 4, the Option may be exercised after such time or times as set forth on the attached Long-Term Incentive Awards Summary Schedule, and shall remain exercisable until the Expiration Date, when the right to exercise shall terminate absolutely. No Shares subject to the Option shall first become exercisable following the Optionee’s Termination of Employment for any reason other than death or Disability or after qualifying for Retirement.</w:t>
      </w:r>
    </w:p>
    <w:p>
      <w:pPr>
        <w:spacing w:after="0" w:line="154" w:lineRule="exact"/>
        <w:rPr>
          <w:rFonts w:ascii="Arial" w:cs="Arial" w:eastAsia="Arial" w:hAnsi="Arial"/>
          <w:sz w:val="16"/>
          <w:szCs w:val="16"/>
          <w:color w:val="auto"/>
        </w:rPr>
      </w:pPr>
    </w:p>
    <w:p>
      <w:pPr>
        <w:ind w:right="180" w:firstLine="921"/>
        <w:spacing w:after="0" w:line="259" w:lineRule="auto"/>
        <w:tabs>
          <w:tab w:leader="none" w:pos="11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Shares subject to the Option shall vest and become exercisable upon the Optionee’s Termination of Employment because of death or Disability. Furthermore, the Option shall continue to vest and become exercisable in accordance with the attached Long-Term Incentive Awards Summary Schedule following the Optionee’s Termination of Employment (other than a Termination of Employment with the Company for Cause) after qualifying for Retirement for a period of:</w:t>
      </w:r>
    </w:p>
    <w:p>
      <w:pPr>
        <w:sectPr>
          <w:pgSz w:w="11900" w:h="16838" w:orient="portrait"/>
          <w:cols w:equalWidth="0" w:num="1">
            <w:col w:w="11400"/>
          </w:cols>
          <w:pgMar w:left="240" w:top="274" w:right="259" w:bottom="1440" w:gutter="0" w:footer="0" w:header="0"/>
        </w:sectPr>
      </w:pPr>
    </w:p>
    <w:bookmarkStart w:id="70" w:name="page71"/>
    <w:bookmarkEnd w:id="70"/>
    <w:p>
      <w:pPr>
        <w:ind w:left="-921" w:right="340" w:firstLine="1492"/>
        <w:spacing w:after="0" w:line="277" w:lineRule="auto"/>
        <w:tabs>
          <w:tab w:leader="none" w:pos="817"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(3) years following such Termination of Employment if, at the time of such Termination of Employment, the Optionee has completed at least ten (10) but less than fifteen (15) years of service with the Company;</w:t>
      </w:r>
    </w:p>
    <w:p>
      <w:pPr>
        <w:spacing w:after="0" w:line="170" w:lineRule="exact"/>
        <w:rPr>
          <w:rFonts w:ascii="Arial" w:cs="Arial" w:eastAsia="Arial" w:hAnsi="Arial"/>
          <w:sz w:val="18"/>
          <w:szCs w:val="18"/>
          <w:color w:val="auto"/>
        </w:rPr>
      </w:pPr>
    </w:p>
    <w:p>
      <w:pPr>
        <w:ind w:left="-921" w:right="420" w:firstLine="1492"/>
        <w:spacing w:after="0" w:line="277" w:lineRule="auto"/>
        <w:tabs>
          <w:tab w:leader="none" w:pos="817"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five (5) years following such Termination of Employment if, at the time of such Termination of Employment, the Optionee has completed at least fifteen (15) but less than twenty (20) years of service with the Company; or</w:t>
      </w:r>
    </w:p>
    <w:p>
      <w:pPr>
        <w:spacing w:after="0" w:line="27" w:lineRule="exact"/>
        <w:rPr>
          <w:rFonts w:ascii="Arial" w:cs="Arial" w:eastAsia="Arial" w:hAnsi="Arial"/>
          <w:sz w:val="18"/>
          <w:szCs w:val="18"/>
          <w:color w:val="auto"/>
        </w:rPr>
      </w:pPr>
    </w:p>
    <w:p>
      <w:pPr>
        <w:ind w:left="-921" w:right="200" w:firstLine="1492"/>
        <w:spacing w:after="0" w:line="283" w:lineRule="auto"/>
        <w:tabs>
          <w:tab w:leader="none" w:pos="817"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nine and one-half (9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years following such Termination of Employment if, at the time of such Termination of Employment, the Optionee has completed twenty (20) or more years of service with the Company.</w:t>
      </w:r>
    </w:p>
    <w:p>
      <w:pPr>
        <w:spacing w:after="0" w:line="140" w:lineRule="exact"/>
        <w:rPr>
          <w:rFonts w:ascii="Arial" w:cs="Arial" w:eastAsia="Arial" w:hAnsi="Arial"/>
          <w:sz w:val="18"/>
          <w:szCs w:val="18"/>
          <w:color w:val="auto"/>
        </w:rPr>
      </w:pPr>
    </w:p>
    <w:p>
      <w:pPr>
        <w:ind w:left="-921" w:right="20" w:firstLine="921"/>
        <w:spacing w:after="0" w:line="264" w:lineRule="auto"/>
        <w:tabs>
          <w:tab w:leader="none" w:pos="2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the foregoing, the Option will be subject to cancellation by the Committee, in its sole discretion, if the Optionee breaches either of the following non-solicitation or non-competition obligations during the period following Termination of Employment in which the Option remains exercisable by the Optionee pursuant to the terms of this Award:</w:t>
      </w:r>
    </w:p>
    <w:p>
      <w:pPr>
        <w:spacing w:after="0" w:line="73" w:lineRule="exact"/>
        <w:rPr>
          <w:rFonts w:ascii="Arial" w:cs="Arial" w:eastAsia="Arial" w:hAnsi="Arial"/>
          <w:sz w:val="18"/>
          <w:szCs w:val="18"/>
          <w:color w:val="auto"/>
        </w:rPr>
      </w:pPr>
    </w:p>
    <w:p>
      <w:pPr>
        <w:ind w:left="-921" w:right="80" w:firstLine="1492"/>
        <w:spacing w:after="0" w:line="264" w:lineRule="auto"/>
        <w:tabs>
          <w:tab w:leader="none" w:pos="8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left="-921" w:right="40" w:firstLine="1492"/>
        <w:spacing w:after="0" w:line="271" w:lineRule="auto"/>
        <w:tabs>
          <w:tab w:leader="none" w:pos="817"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one percent (1%) of any class of equity security of an entity whose securities are traded on a national securities exchange or market.</w:t>
      </w:r>
    </w:p>
    <w:p>
      <w:pPr>
        <w:spacing w:after="0" w:line="178" w:lineRule="exact"/>
        <w:rPr>
          <w:rFonts w:ascii="Arial" w:cs="Arial" w:eastAsia="Arial" w:hAnsi="Arial"/>
          <w:sz w:val="17"/>
          <w:szCs w:val="17"/>
          <w:color w:val="auto"/>
        </w:rPr>
      </w:pPr>
    </w:p>
    <w:p>
      <w:pPr>
        <w:ind w:left="-921" w:firstLine="921"/>
        <w:spacing w:after="0" w:line="264" w:lineRule="auto"/>
        <w:tabs>
          <w:tab w:leader="none" w:pos="2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Option remains unexercised immediately before the time at which the Option is scheduled to expire in accordance with the rules of the Plan and this grant document, the Option shall be deemed automatically exercised in accordance with Paragraph 7(h)(ii) of the Plan immediately before the time at which the Option is scheduled to expire, if the Option satisfies the following conditions:</w:t>
      </w:r>
    </w:p>
    <w:p>
      <w:pPr>
        <w:spacing w:after="0" w:line="73" w:lineRule="exact"/>
        <w:rPr>
          <w:rFonts w:ascii="Arial" w:cs="Arial" w:eastAsia="Arial" w:hAnsi="Arial"/>
          <w:sz w:val="18"/>
          <w:szCs w:val="18"/>
          <w:color w:val="auto"/>
        </w:rPr>
      </w:pPr>
    </w:p>
    <w:p>
      <w:pPr>
        <w:ind w:left="819" w:hanging="248"/>
        <w:spacing w:after="0"/>
        <w:tabs>
          <w:tab w:leader="none" w:pos="8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Option is covered by a then current registration statement or a Notification under Regulation A under the 1933 Act.</w:t>
      </w:r>
    </w:p>
    <w:p>
      <w:pPr>
        <w:sectPr>
          <w:pgSz w:w="11900" w:h="16838" w:orient="portrait"/>
          <w:cols w:equalWidth="0" w:num="1">
            <w:col w:w="10379"/>
          </w:cols>
          <w:pgMar w:left="1161" w:top="274" w:right="359" w:bottom="1440" w:gutter="0" w:footer="0" w:header="0"/>
        </w:sectPr>
      </w:pPr>
    </w:p>
    <w:bookmarkStart w:id="71" w:name="page72"/>
    <w:bookmarkEnd w:id="71"/>
    <w:p>
      <w:pPr>
        <w:ind w:firstLine="1492"/>
        <w:spacing w:after="0" w:line="264" w:lineRule="auto"/>
        <w:tabs>
          <w:tab w:leader="none" w:pos="173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 determination, such excess per Share shall be $0.01.</w:t>
      </w:r>
    </w:p>
    <w:p>
      <w:pPr>
        <w:spacing w:after="0" w:line="181" w:lineRule="exact"/>
        <w:rPr>
          <w:rFonts w:ascii="Arial" w:cs="Arial" w:eastAsia="Arial" w:hAnsi="Arial"/>
          <w:sz w:val="18"/>
          <w:szCs w:val="18"/>
          <w:color w:val="auto"/>
        </w:rPr>
      </w:pPr>
    </w:p>
    <w:p>
      <w:pPr>
        <w:ind w:right="100" w:firstLine="1492"/>
        <w:spacing w:after="0" w:line="277" w:lineRule="auto"/>
        <w:tabs>
          <w:tab w:leader="none" w:pos="17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Option subject to this Paragraph 3(d)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provided that in connection with such cashless exercise that would not result in the issuance of a whole number of Shares, the Company shall pay cash in lieu of any fractional Share.</w:t>
      </w:r>
    </w:p>
    <w:p>
      <w:pPr>
        <w:spacing w:after="0" w:line="165"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90" w:lineRule="auto"/>
        <w:tabs>
          <w:tab w:leader="none" w:pos="1158"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166" w:lineRule="exact"/>
        <w:rPr>
          <w:rFonts w:ascii="Arial" w:cs="Arial" w:eastAsia="Arial" w:hAnsi="Arial"/>
          <w:sz w:val="16"/>
          <w:szCs w:val="16"/>
          <w:color w:val="auto"/>
        </w:rPr>
      </w:pPr>
    </w:p>
    <w:p>
      <w:pPr>
        <w:ind w:right="560" w:firstLine="921"/>
        <w:spacing w:after="0" w:line="308" w:lineRule="auto"/>
        <w:tabs>
          <w:tab w:leader="none" w:pos="1168"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146" w:lineRule="exact"/>
        <w:rPr>
          <w:rFonts w:ascii="Arial" w:cs="Arial" w:eastAsia="Arial" w:hAnsi="Arial"/>
          <w:sz w:val="17"/>
          <w:szCs w:val="17"/>
          <w:color w:val="auto"/>
        </w:rPr>
      </w:pPr>
    </w:p>
    <w:p>
      <w:pPr>
        <w:ind w:right="180" w:firstLine="464"/>
        <w:spacing w:after="0" w:line="264"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Payment for Shares</w:t>
      </w:r>
      <w:r>
        <w:rPr>
          <w:rFonts w:ascii="Arial" w:cs="Arial" w:eastAsia="Arial" w:hAnsi="Arial"/>
          <w:sz w:val="18"/>
          <w:szCs w:val="18"/>
          <w:color w:val="auto"/>
        </w:rPr>
        <w:t>.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w:t>
      </w:r>
    </w:p>
    <w:p>
      <w:pPr>
        <w:sectPr>
          <w:pgSz w:w="11900" w:h="16838" w:orient="portrait"/>
          <w:cols w:equalWidth="0" w:num="1">
            <w:col w:w="11400"/>
          </w:cols>
          <w:pgMar w:left="240" w:top="274" w:right="259" w:bottom="1440" w:gutter="0" w:footer="0" w:header="0"/>
        </w:sectPr>
      </w:pPr>
    </w:p>
    <w:bookmarkStart w:id="72" w:name="page73"/>
    <w:bookmarkEnd w:id="72"/>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Value of such Shares on the Date of Exercise of the Option over (b) the sum of (i) the aggregate Option Price for such Shares, plus (ii) the applicable tax withholding amounts (as determined pursuant to Paragraph 14 of the Award and Paragraph 15(b) of the Plan) for such exercise,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158" w:lineRule="exact"/>
        <w:rPr>
          <w:sz w:val="20"/>
          <w:szCs w:val="20"/>
          <w:color w:val="auto"/>
        </w:rPr>
      </w:pPr>
    </w:p>
    <w:p>
      <w:pPr>
        <w:ind w:right="80" w:firstLine="464"/>
        <w:spacing w:after="0" w:line="342" w:lineRule="auto"/>
        <w:tabs>
          <w:tab w:leader="none" w:pos="63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123" w:lineRule="exact"/>
        <w:rPr>
          <w:rFonts w:ascii="Arial" w:cs="Arial" w:eastAsia="Arial" w:hAnsi="Arial"/>
          <w:sz w:val="16"/>
          <w:szCs w:val="16"/>
          <w:color w:val="auto"/>
        </w:rPr>
      </w:pPr>
    </w:p>
    <w:p>
      <w:pPr>
        <w:ind w:firstLine="464"/>
        <w:spacing w:after="0" w:line="257"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188" w:lineRule="exact"/>
        <w:rPr>
          <w:rFonts w:ascii="Arial" w:cs="Arial" w:eastAsia="Arial" w:hAnsi="Arial"/>
          <w:sz w:val="18"/>
          <w:szCs w:val="18"/>
          <w:color w:val="auto"/>
        </w:rPr>
      </w:pPr>
    </w:p>
    <w:p>
      <w:pPr>
        <w:ind w:right="20" w:firstLine="464"/>
        <w:spacing w:after="0" w:line="254"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192" w:lineRule="exact"/>
        <w:rPr>
          <w:rFonts w:ascii="Arial" w:cs="Arial" w:eastAsia="Arial" w:hAnsi="Arial"/>
          <w:sz w:val="18"/>
          <w:szCs w:val="18"/>
          <w:color w:val="auto"/>
        </w:rPr>
      </w:pPr>
    </w:p>
    <w:p>
      <w:pPr>
        <w:jc w:val="both"/>
        <w:ind w:right="400" w:firstLine="464"/>
        <w:spacing w:after="0" w:line="264"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Issuance of Certificate at Closing</w:t>
      </w:r>
      <w:r>
        <w:rPr>
          <w:rFonts w:ascii="Arial" w:cs="Arial" w:eastAsia="Arial" w:hAnsi="Arial"/>
          <w:sz w:val="18"/>
          <w:szCs w:val="18"/>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181" w:lineRule="exact"/>
        <w:rPr>
          <w:rFonts w:ascii="Arial" w:cs="Arial" w:eastAsia="Arial" w:hAnsi="Arial"/>
          <w:sz w:val="18"/>
          <w:szCs w:val="18"/>
          <w:color w:val="auto"/>
        </w:rPr>
      </w:pPr>
    </w:p>
    <w:p>
      <w:pPr>
        <w:ind w:right="220" w:firstLine="464"/>
        <w:spacing w:after="0" w:line="264" w:lineRule="auto"/>
        <w:tabs>
          <w:tab w:leader="none" w:pos="72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Rights Prior to Exercise</w:t>
      </w:r>
      <w:r>
        <w:rPr>
          <w:rFonts w:ascii="Arial" w:cs="Arial" w:eastAsia="Arial" w:hAnsi="Arial"/>
          <w:sz w:val="18"/>
          <w:szCs w:val="18"/>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w:t>
      </w:r>
    </w:p>
    <w:p>
      <w:pPr>
        <w:sectPr>
          <w:pgSz w:w="11900" w:h="16838" w:orient="portrait"/>
          <w:cols w:equalWidth="0" w:num="1">
            <w:col w:w="11420"/>
          </w:cols>
          <w:pgMar w:left="240" w:top="274"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is for Cause, upon a determination by the Committee, the Optionee shall automatically forfeit all Shares otherwise subject to delivery upon exercise of an Option but for which the Sponsor has not yet delivered the Shares.</w:t>
      </w:r>
    </w:p>
    <w:p>
      <w:pPr>
        <w:spacing w:after="0" w:line="170" w:lineRule="exact"/>
        <w:rPr>
          <w:sz w:val="20"/>
          <w:szCs w:val="20"/>
          <w:color w:val="auto"/>
        </w:rPr>
      </w:pPr>
    </w:p>
    <w:p>
      <w:pPr>
        <w:ind w:right="40" w:firstLine="464"/>
        <w:spacing w:after="0" w:line="302"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Status of Option; Interpretation</w:t>
      </w:r>
      <w:r>
        <w:rPr>
          <w:rFonts w:ascii="Arial" w:cs="Arial" w:eastAsia="Arial" w:hAnsi="Arial"/>
          <w:sz w:val="16"/>
          <w:szCs w:val="16"/>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54" w:lineRule="exact"/>
        <w:rPr>
          <w:rFonts w:ascii="Arial" w:cs="Arial" w:eastAsia="Arial" w:hAnsi="Arial"/>
          <w:sz w:val="16"/>
          <w:szCs w:val="16"/>
          <w:color w:val="auto"/>
        </w:rPr>
      </w:pPr>
    </w:p>
    <w:p>
      <w:pPr>
        <w:ind w:right="700" w:firstLine="464"/>
        <w:spacing w:after="0" w:line="277" w:lineRule="auto"/>
        <w:tabs>
          <w:tab w:leader="none" w:pos="7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Option Not to Affect Employment</w:t>
      </w:r>
      <w:r>
        <w:rPr>
          <w:rFonts w:ascii="Arial" w:cs="Arial" w:eastAsia="Arial" w:hAnsi="Arial"/>
          <w:sz w:val="18"/>
          <w:szCs w:val="18"/>
          <w:color w:val="auto"/>
        </w:rPr>
        <w:t>. The Option granted hereunder shall not confer upon the Optionee any right to continue in service as an employee, officer or director of the Sponsor or any subsidiary of the Sponsor.</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21"/>
        <w:spacing w:after="0" w:line="264"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This Award may be executed in one or more counterparts all of which taken together will constitute one and the same instrument.</w:t>
      </w:r>
    </w:p>
    <w:p>
      <w:pPr>
        <w:spacing w:after="0" w:line="236" w:lineRule="exact"/>
        <w:rPr>
          <w:rFonts w:ascii="Arial" w:cs="Arial" w:eastAsia="Arial" w:hAnsi="Arial"/>
          <w:sz w:val="17"/>
          <w:szCs w:val="17"/>
          <w:color w:val="auto"/>
        </w:rPr>
      </w:pPr>
    </w:p>
    <w:p>
      <w:pPr>
        <w:ind w:right="540" w:firstLine="921"/>
        <w:spacing w:after="0" w:line="277"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0" w:lineRule="exact"/>
        <w:rPr>
          <w:rFonts w:ascii="Arial" w:cs="Arial" w:eastAsia="Arial" w:hAnsi="Arial"/>
          <w:sz w:val="18"/>
          <w:szCs w:val="18"/>
          <w:color w:val="auto"/>
        </w:rPr>
      </w:pPr>
    </w:p>
    <w:p>
      <w:pPr>
        <w:ind w:right="120" w:firstLine="921"/>
        <w:spacing w:after="0" w:line="271" w:lineRule="auto"/>
        <w:tabs>
          <w:tab w:leader="none" w:pos="1168"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178" w:lineRule="exact"/>
        <w:rPr>
          <w:rFonts w:ascii="Arial" w:cs="Arial" w:eastAsia="Arial" w:hAnsi="Arial"/>
          <w:sz w:val="17"/>
          <w:szCs w:val="17"/>
          <w:color w:val="auto"/>
        </w:rPr>
      </w:pPr>
    </w:p>
    <w:p>
      <w:pPr>
        <w:ind w:right="40" w:firstLine="464"/>
        <w:spacing w:after="0" w:line="257" w:lineRule="auto"/>
        <w:tabs>
          <w:tab w:leader="none" w:pos="7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ectPr>
          <w:pgSz w:w="11900" w:h="16838" w:orient="portrait"/>
          <w:cols w:equalWidth="0" w:num="1">
            <w:col w:w="11400"/>
          </w:cols>
          <w:pgMar w:left="240" w:top="274"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Sponsor has granted this Award on the day and year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COMCAST CORPORATION</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27,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27,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2"/>
    </w:lvl>
    <w:lvl w:ilvl="1">
      <w:lvlJc w:val="left"/>
      <w:lvlText w:val="•"/>
      <w:numFmt w:val="bullet"/>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
      <w:numFmt w:val="bullet"/>
      <w:start w:val="1"/>
    </w:lvl>
    <w:lvl w:ilvl="1">
      <w:lvlJc w:val="left"/>
      <w:lvlText w:val="%2"/>
      <w:numFmt w:val="decimal"/>
      <w:start w:val="101"/>
    </w:lvl>
  </w:abstractNum>
  <w:abstractNum w:abstractNumId="11">
    <w:nsid w:val="3006C83E"/>
    <w:multiLevelType w:val="hybridMultilevel"/>
    <w:lvl w:ilvl="0">
      <w:lvlJc w:val="left"/>
      <w:lvlText w:val="%1"/>
      <w:numFmt w:val="decimal"/>
      <w:start w:val="10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5">
    <w:nsid w:val="440BADF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5"/>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lowerLetter"/>
      <w:start w:val="10"/>
    </w:lvl>
  </w:abstractNum>
  <w:abstractNum w:abstractNumId="18">
    <w:nsid w:val="77465F01"/>
    <w:multiLevelType w:val="hybridMultilevel"/>
    <w:lvl w:ilvl="0">
      <w:lvlJc w:val="left"/>
      <w:lvlText w:val="(%1)"/>
      <w:numFmt w:val="lowerLetter"/>
      <w:start w:val="12"/>
    </w:lvl>
    <w:lvl w:ilvl="1">
      <w:lvlJc w:val="left"/>
      <w:lvlText w:val="(%2)"/>
      <w:numFmt w:val="decimal"/>
      <w:start w:val="1"/>
    </w:lvl>
  </w:abstractNum>
  <w:abstractNum w:abstractNumId="19">
    <w:nsid w:val="7724C67E"/>
    <w:multiLevelType w:val="hybridMultilevel"/>
    <w:lvl w:ilvl="0">
      <w:lvlJc w:val="left"/>
      <w:lvlText w:val="(%1)"/>
      <w:numFmt w:val="lowerLetter"/>
      <w:start w:val="17"/>
    </w:lvl>
  </w:abstractNum>
  <w:abstractNum w:abstractNumId="20">
    <w:nsid w:val="5C482A97"/>
    <w:multiLevelType w:val="hybridMultilevel"/>
    <w:lvl w:ilvl="0">
      <w:lvlJc w:val="left"/>
      <w:lvlText w:val="%1"/>
      <w:numFmt w:val="decimal"/>
      <w:start w:val="1"/>
    </w:lvl>
    <w:lvl w:ilvl="1">
      <w:lvlJc w:val="left"/>
      <w:lvlText w:val="(%2)"/>
      <w:numFmt w:val="lowerLetter"/>
      <w:start w:val="19"/>
    </w:lvl>
  </w:abstractNum>
  <w:abstractNum w:abstractNumId="21">
    <w:nsid w:val="2463B9EA"/>
    <w:multiLevelType w:val="hybridMultilevel"/>
    <w:lvl w:ilvl="0">
      <w:lvlJc w:val="left"/>
      <w:lvlText w:val="%1."/>
      <w:numFmt w:val="decimal"/>
      <w:start w:val="2"/>
    </w:lvl>
    <w:lvl w:ilvl="1">
      <w:lvlJc w:val="left"/>
      <w:lvlText w:val="%2"/>
      <w:numFmt w:val="lowerLetter"/>
      <w:start w:val="1"/>
    </w:lvl>
  </w:abstractNum>
  <w:abstractNum w:abstractNumId="22">
    <w:nsid w:val="5E884ADC"/>
    <w:multiLevelType w:val="hybridMultilevel"/>
    <w:lvl w:ilvl="0">
      <w:lvlJc w:val="left"/>
      <w:lvlText w:val="%1"/>
      <w:numFmt w:val="decimal"/>
      <w:start w:val="1"/>
    </w:lvl>
    <w:lvl w:ilvl="1">
      <w:lvlJc w:val="left"/>
      <w:lvlText w:val="(%2)"/>
      <w:numFmt w:val="lowerLetter"/>
      <w:start w:val="1"/>
    </w:lvl>
  </w:abstractNum>
  <w:abstractNum w:abstractNumId="23">
    <w:nsid w:val="51EAD36B"/>
    <w:multiLevelType w:val="hybridMultilevel"/>
    <w:lvl w:ilvl="0">
      <w:lvlJc w:val="left"/>
      <w:lvlText w:val="%1."/>
      <w:numFmt w:val="decimal"/>
      <w:start w:val="4"/>
    </w:lvl>
    <w:lvl w:ilvl="1">
      <w:lvlJc w:val="left"/>
      <w:lvlText w:val="(%2)"/>
      <w:numFmt w:val="lowerLetter"/>
      <w:start w:val="1"/>
    </w:lvl>
  </w:abstractNum>
  <w:abstractNum w:abstractNumId="24">
    <w:nsid w:val="2D517796"/>
    <w:multiLevelType w:val="hybridMultilevel"/>
    <w:lvl w:ilvl="0">
      <w:lvlJc w:val="left"/>
      <w:lvlText w:val="%1"/>
      <w:numFmt w:val="lowerLetter"/>
      <w:start w:val="1"/>
    </w:lvl>
    <w:lvl w:ilvl="1">
      <w:lvlJc w:val="left"/>
      <w:lvlText w:val="(%2)"/>
      <w:numFmt w:val="decimal"/>
      <w:start w:val="1"/>
    </w:lvl>
  </w:abstractNum>
  <w:abstractNum w:abstractNumId="25">
    <w:nsid w:val="580BD78F"/>
    <w:multiLevelType w:val="hybridMultilevel"/>
    <w:lvl w:ilvl="0">
      <w:lvlJc w:val="left"/>
      <w:lvlText w:val="(%1)"/>
      <w:numFmt w:val="lowerLetter"/>
      <w:start w:val="4"/>
    </w:lvl>
    <w:lvl w:ilvl="1">
      <w:lvlJc w:val="left"/>
      <w:lvlText w:val="(%2)"/>
      <w:numFmt w:val="decimal"/>
      <w:start w:val="1"/>
    </w:lvl>
  </w:abstractNum>
  <w:abstractNum w:abstractNumId="26">
    <w:nsid w:val="153EA438"/>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7">
    <w:nsid w:val="3855585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8">
    <w:nsid w:val="70A64E2A"/>
    <w:multiLevelType w:val="hybridMultilevel"/>
    <w:lvl w:ilvl="0">
      <w:lvlJc w:val="left"/>
      <w:lvlText w:val="(%1)"/>
      <w:numFmt w:val="lowerLetter"/>
      <w:start w:val="1"/>
    </w:lvl>
    <w:lvl w:ilvl="1">
      <w:lvlJc w:val="left"/>
      <w:lvlText w:val="(%2)"/>
      <w:numFmt w:val="decimal"/>
      <w:start w:val="1"/>
    </w:lvl>
  </w:abstractNum>
  <w:abstractNum w:abstractNumId="29">
    <w:nsid w:val="6A2342EC"/>
    <w:multiLevelType w:val="hybridMultilevel"/>
    <w:lvl w:ilvl="0">
      <w:lvlJc w:val="left"/>
      <w:lvlText w:val="%1"/>
      <w:numFmt w:val="lowerLetter"/>
      <w:start w:val="1"/>
    </w:lvl>
    <w:lvl w:ilvl="1">
      <w:lvlJc w:val="left"/>
      <w:lvlText w:val="(%2)"/>
      <w:numFmt w:val="decimal"/>
      <w:start w:val="3"/>
    </w:lvl>
  </w:abstractNum>
  <w:abstractNum w:abstractNumId="30">
    <w:nsid w:val="2A487CB0"/>
    <w:multiLevelType w:val="hybridMultilevel"/>
    <w:lvl w:ilvl="0">
      <w:lvlJc w:val="left"/>
      <w:lvlText w:val="(%1)"/>
      <w:numFmt w:val="lowerLetter"/>
      <w:start w:val="2"/>
    </w:lvl>
    <w:lvl w:ilvl="1">
      <w:lvlJc w:val="left"/>
      <w:lvlText w:val="(%2)"/>
      <w:numFmt w:val="decimal"/>
      <w:start w:val="1"/>
    </w:lvl>
  </w:abstractNum>
  <w:abstractNum w:abstractNumId="31">
    <w:nsid w:val="1D4ED43B"/>
    <w:multiLevelType w:val="hybridMultilevel"/>
    <w:lvl w:ilvl="0">
      <w:lvlJc w:val="left"/>
      <w:lvlText w:val="%1"/>
      <w:numFmt w:val="decimal"/>
      <w:start w:val="1"/>
    </w:lvl>
    <w:lvl w:ilvl="1">
      <w:lvlJc w:val="left"/>
      <w:lvlText w:val="(%2)"/>
      <w:numFmt w:val="lowerLetter"/>
      <w:start w:val="5"/>
    </w:lvl>
  </w:abstractNum>
  <w:abstractNum w:abstractNumId="32">
    <w:nsid w:val="725A06FB"/>
    <w:multiLevelType w:val="hybridMultilevel"/>
    <w:lvl w:ilvl="0">
      <w:lvlJc w:val="left"/>
      <w:lvlText w:val="%1."/>
      <w:numFmt w:val="decimal"/>
      <w:start w:val="7"/>
    </w:lvl>
    <w:lvl w:ilvl="1">
      <w:lvlJc w:val="left"/>
      <w:lvlText w:val="(%2)"/>
      <w:numFmt w:val="lowerLetter"/>
      <w:start w:val="1"/>
    </w:lvl>
  </w:abstractNum>
  <w:abstractNum w:abstractNumId="33">
    <w:nsid w:val="2CD89A32"/>
    <w:multiLevelType w:val="hybridMultilevel"/>
    <w:lvl w:ilvl="0">
      <w:lvlJc w:val="left"/>
      <w:lvlText w:val="%1"/>
      <w:numFmt w:val="decimal"/>
      <w:start w:val="1"/>
    </w:lvl>
    <w:lvl w:ilvl="1">
      <w:lvlJc w:val="left"/>
      <w:lvlText w:val="(%2)"/>
      <w:numFmt w:val="lowerLetter"/>
      <w:start w:val="2"/>
    </w:lvl>
  </w:abstractNum>
  <w:abstractNum w:abstractNumId="34">
    <w:nsid w:val="57E4CCAF"/>
    <w:multiLevelType w:val="hybridMultilevel"/>
    <w:lvl w:ilvl="0">
      <w:lvlJc w:val="left"/>
      <w:lvlText w:val="%1."/>
      <w:numFmt w:val="decimal"/>
      <w:start w:val="10"/>
    </w:lvl>
    <w:lvl w:ilvl="1">
      <w:lvlJc w:val="left"/>
      <w:lvlText w:val="(%2)"/>
      <w:numFmt w:val="lowerLetter"/>
      <w:start w:val="1"/>
    </w:lvl>
  </w:abstractNum>
  <w:abstractNum w:abstractNumId="35">
    <w:nsid w:val="7A6D8D3C"/>
    <w:multiLevelType w:val="hybridMultilevel"/>
    <w:lvl w:ilvl="0">
      <w:lvlJc w:val="left"/>
      <w:lvlText w:val="(%1)"/>
      <w:numFmt w:val="lowerLetter"/>
      <w:start w:val="3"/>
    </w:lvl>
  </w:abstractNum>
  <w:abstractNum w:abstractNumId="36">
    <w:nsid w:val="4B588F5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7">
    <w:nsid w:val="542289E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4"/>
    </w:lvl>
  </w:abstractNum>
  <w:abstractNum w:abstractNumId="38">
    <w:nsid w:val="6DE91B18"/>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39">
    <w:nsid w:val="38437FDB"/>
    <w:multiLevelType w:val="hybridMultilevel"/>
    <w:lvl w:ilvl="0">
      <w:lvlJc w:val="left"/>
      <w:lvlText w:val="(%1)"/>
      <w:numFmt w:val="lowerLetter"/>
      <w:start w:val="16"/>
    </w:lvl>
  </w:abstractNum>
  <w:abstractNum w:abstractNumId="40">
    <w:nsid w:val="7644A45C"/>
    <w:multiLevelType w:val="hybridMultilevel"/>
    <w:lvl w:ilvl="0">
      <w:lvlJc w:val="left"/>
      <w:lvlText w:val="(%1)"/>
      <w:numFmt w:val="lowerLetter"/>
      <w:start w:val="27"/>
    </w:lvl>
    <w:lvl w:ilvl="1">
      <w:lvlJc w:val="left"/>
      <w:lvlText w:val="(%2)"/>
      <w:numFmt w:val="decimal"/>
      <w:start w:val="1"/>
    </w:lvl>
  </w:abstractNum>
  <w:abstractNum w:abstractNumId="41">
    <w:nsid w:val="32FFF902"/>
    <w:multiLevelType w:val="hybridMultilevel"/>
    <w:lvl w:ilvl="0">
      <w:lvlJc w:val="left"/>
      <w:lvlText w:val="%1"/>
      <w:numFmt w:val="decimal"/>
      <w:start w:val="1"/>
    </w:lvl>
    <w:lvl w:ilvl="1">
      <w:lvlJc w:val="left"/>
      <w:lvlText w:val="(%2)"/>
      <w:numFmt w:val="lowerLetter"/>
      <w:start w:val="29"/>
    </w:lvl>
  </w:abstractNum>
  <w:abstractNum w:abstractNumId="42">
    <w:nsid w:val="684A481A"/>
    <w:multiLevelType w:val="hybridMultilevel"/>
    <w:lvl w:ilvl="0">
      <w:lvlJc w:val="left"/>
      <w:lvlText w:val="%1."/>
      <w:numFmt w:val="decimal"/>
      <w:start w:val="2"/>
    </w:lvl>
    <w:lvl w:ilvl="1">
      <w:lvlJc w:val="left"/>
      <w:lvlText w:val="(%2)"/>
      <w:numFmt w:val="lowerLetter"/>
      <w:start w:val="1"/>
    </w:lvl>
  </w:abstractNum>
  <w:abstractNum w:abstractNumId="43">
    <w:nsid w:val="579478FE"/>
    <w:multiLevelType w:val="hybridMultilevel"/>
    <w:lvl w:ilvl="0">
      <w:lvlJc w:val="left"/>
      <w:lvlText w:val="%1"/>
      <w:numFmt w:val="lowerLetter"/>
      <w:start w:val="1"/>
    </w:lvl>
    <w:lvl w:ilvl="1">
      <w:lvlJc w:val="left"/>
      <w:lvlText w:val="(%2)"/>
      <w:numFmt w:val="decimal"/>
      <w:start w:val="1"/>
    </w:lvl>
  </w:abstractNum>
  <w:abstractNum w:abstractNumId="44">
    <w:nsid w:val="749ABB43"/>
    <w:multiLevelType w:val="hybridMultilevel"/>
    <w:lvl w:ilvl="0">
      <w:lvlJc w:val="left"/>
      <w:lvlText w:val="(%1)"/>
      <w:numFmt w:val="lowerLetter"/>
      <w:start w:val="4"/>
    </w:lvl>
    <w:lvl w:ilvl="1">
      <w:lvlJc w:val="left"/>
      <w:lvlText w:val="(%2)"/>
      <w:numFmt w:val="decimal"/>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1."/>
      <w:numFmt w:val="decimal"/>
      <w:start w:val="4"/>
    </w:lvl>
    <w:lvl w:ilvl="1">
      <w:lvlJc w:val="left"/>
      <w:lvlText w:val="(%2)"/>
      <w:numFmt w:val="lowerLetter"/>
      <w:start w:val="1"/>
    </w:lvl>
  </w:abstractNum>
  <w:abstractNum w:abstractNumId="47">
    <w:nsid w:val="79A1DEAA"/>
    <w:multiLevelType w:val="hybridMultilevel"/>
    <w:lvl w:ilvl="0">
      <w:lvlJc w:val="left"/>
      <w:lvlText w:val="%1."/>
      <w:numFmt w:val="decimal"/>
      <w:start w:val="6"/>
    </w:lvl>
  </w:abstractNum>
  <w:abstractNum w:abstractNumId="48">
    <w:nsid w:val="75C6C33A"/>
    <w:multiLevelType w:val="hybridMultilevel"/>
    <w:lvl w:ilvl="0">
      <w:lvlJc w:val="left"/>
      <w:lvlText w:val="%1."/>
      <w:numFmt w:val="decimal"/>
      <w:start w:val="11"/>
    </w:lvl>
    <w:lvl w:ilvl="1">
      <w:lvlJc w:val="left"/>
      <w:lvlText w:val="(%2)"/>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2019-12-29T13:06:51Z</dcterms:created>
  <dcterms:modified xsi:type="dcterms:W3CDTF">2019-12-29T13:06:51Z</dcterms:modified>
</cp:coreProperties>
</file>