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June 19, 2019</w:t>
            </w:r>
          </w:p>
        </w:tc>
        <w:tc>
          <w:tcPr>
            <w:tcW w:w="326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Exact Name of Registrant; State of</w:t>
            </w:r>
          </w:p>
        </w:tc>
        <w:tc>
          <w:tcPr>
            <w:tcW w:w="326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Incorporation; Address and Telephone Number of</w:t>
            </w:r>
          </w:p>
        </w:tc>
        <w:tc>
          <w:tcPr>
            <w:tcW w:w="3260" w:type="dxa"/>
            <w:vAlign w:val="bottom"/>
          </w:tcPr>
          <w:p>
            <w:pPr>
              <w:spacing w:after="0"/>
              <w:rPr>
                <w:sz w:val="18"/>
                <w:szCs w:val="18"/>
                <w:color w:val="auto"/>
              </w:rPr>
            </w:pPr>
          </w:p>
        </w:tc>
      </w:tr>
      <w:tr>
        <w:trPr>
          <w:trHeight w:val="234"/>
        </w:trPr>
        <w:tc>
          <w:tcPr>
            <w:tcW w:w="31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1"/>
              </w:rPr>
              <w:t>Commission File Number</w:t>
            </w:r>
          </w:p>
        </w:tc>
        <w:tc>
          <w:tcPr>
            <w:tcW w:w="50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Principal Executive Offices</w:t>
            </w:r>
          </w:p>
        </w:tc>
        <w:tc>
          <w:tcPr>
            <w:tcW w:w="32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195"/>
        </w:trPr>
        <w:tc>
          <w:tcPr>
            <w:tcW w:w="3120" w:type="dxa"/>
            <w:vAlign w:val="bottom"/>
          </w:tcPr>
          <w:p>
            <w:pPr>
              <w:jc w:val="center"/>
              <w:ind w:left="570"/>
              <w:spacing w:after="0" w:line="195" w:lineRule="exact"/>
              <w:rPr>
                <w:sz w:val="20"/>
                <w:szCs w:val="20"/>
                <w:color w:val="auto"/>
              </w:rPr>
            </w:pPr>
            <w:r>
              <w:rPr>
                <w:rFonts w:ascii="Arial" w:cs="Arial" w:eastAsia="Arial" w:hAnsi="Arial"/>
                <w:sz w:val="18"/>
                <w:szCs w:val="18"/>
                <w:color w:val="auto"/>
                <w:w w:val="90"/>
              </w:rPr>
              <w:t>001-32871</w:t>
            </w:r>
          </w:p>
        </w:tc>
        <w:tc>
          <w:tcPr>
            <w:tcW w:w="5040" w:type="dxa"/>
            <w:vAlign w:val="bottom"/>
          </w:tcPr>
          <w:p>
            <w:pPr>
              <w:jc w:val="center"/>
              <w:ind w:left="70"/>
              <w:spacing w:after="0" w:line="195" w:lineRule="exact"/>
              <w:rPr>
                <w:sz w:val="20"/>
                <w:szCs w:val="20"/>
                <w:color w:val="auto"/>
              </w:rPr>
            </w:pPr>
            <w:r>
              <w:rPr>
                <w:rFonts w:ascii="Arial" w:cs="Arial" w:eastAsia="Arial" w:hAnsi="Arial"/>
                <w:sz w:val="18"/>
                <w:szCs w:val="18"/>
                <w:b w:val="1"/>
                <w:bCs w:val="1"/>
                <w:color w:val="auto"/>
              </w:rPr>
              <w:t>COMCAST CORPORATION</w:t>
            </w:r>
          </w:p>
        </w:tc>
        <w:tc>
          <w:tcPr>
            <w:tcW w:w="326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1"/>
              </w:rPr>
              <w:t>27-0000798</w:t>
            </w:r>
          </w:p>
        </w:tc>
      </w:tr>
      <w:tr>
        <w:trPr>
          <w:trHeight w:val="216"/>
        </w:trPr>
        <w:tc>
          <w:tcPr>
            <w:tcW w:w="3120" w:type="dxa"/>
            <w:vAlign w:val="bottom"/>
          </w:tcPr>
          <w:p>
            <w:pPr>
              <w:spacing w:after="0"/>
              <w:rPr>
                <w:sz w:val="18"/>
                <w:szCs w:val="18"/>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color w:val="auto"/>
                <w:w w:val="98"/>
              </w:rPr>
              <w:t>PENNSYLVANIA</w:t>
            </w:r>
          </w:p>
        </w:tc>
        <w:tc>
          <w:tcPr>
            <w:tcW w:w="32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40" w:type="dxa"/>
            <w:vAlign w:val="bottom"/>
          </w:tcPr>
          <w:p>
            <w:pPr>
              <w:jc w:val="center"/>
              <w:ind w:left="90"/>
              <w:spacing w:after="0"/>
              <w:rPr>
                <w:sz w:val="20"/>
                <w:szCs w:val="20"/>
                <w:color w:val="auto"/>
              </w:rPr>
            </w:pPr>
            <w:r>
              <w:rPr>
                <w:rFonts w:ascii="Arial" w:cs="Arial" w:eastAsia="Arial" w:hAnsi="Arial"/>
                <w:sz w:val="18"/>
                <w:szCs w:val="18"/>
                <w:color w:val="auto"/>
                <w:w w:val="88"/>
              </w:rPr>
              <w:t>One Comcast Center</w:t>
            </w:r>
          </w:p>
        </w:tc>
        <w:tc>
          <w:tcPr>
            <w:tcW w:w="32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color w:val="auto"/>
                <w:w w:val="90"/>
              </w:rPr>
              <w:t>Philadelphia, PA 19103-2838</w:t>
            </w:r>
          </w:p>
        </w:tc>
        <w:tc>
          <w:tcPr>
            <w:tcW w:w="32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color w:val="auto"/>
                <w:w w:val="90"/>
              </w:rPr>
              <w:t>(215) 286-1700</w:t>
            </w:r>
          </w:p>
        </w:tc>
        <w:tc>
          <w:tcPr>
            <w:tcW w:w="3260" w:type="dxa"/>
            <w:vAlign w:val="bottom"/>
          </w:tcPr>
          <w:p>
            <w:pPr>
              <w:spacing w:after="0"/>
              <w:rPr>
                <w:sz w:val="20"/>
                <w:szCs w:val="20"/>
                <w:color w:val="auto"/>
              </w:rPr>
            </w:pPr>
          </w:p>
        </w:tc>
      </w:tr>
      <w:tr>
        <w:trPr>
          <w:trHeight w:val="418"/>
        </w:trPr>
        <w:tc>
          <w:tcPr>
            <w:tcW w:w="3120" w:type="dxa"/>
            <w:vAlign w:val="bottom"/>
          </w:tcPr>
          <w:p>
            <w:pPr>
              <w:jc w:val="center"/>
              <w:ind w:left="570"/>
              <w:spacing w:after="0"/>
              <w:rPr>
                <w:sz w:val="20"/>
                <w:szCs w:val="20"/>
                <w:color w:val="auto"/>
              </w:rPr>
            </w:pPr>
            <w:r>
              <w:rPr>
                <w:rFonts w:ascii="Arial" w:cs="Arial" w:eastAsia="Arial" w:hAnsi="Arial"/>
                <w:sz w:val="18"/>
                <w:szCs w:val="18"/>
                <w:color w:val="auto"/>
                <w:w w:val="90"/>
              </w:rPr>
              <w:t>001-36438</w:t>
            </w:r>
          </w:p>
        </w:tc>
        <w:tc>
          <w:tcPr>
            <w:tcW w:w="5040" w:type="dxa"/>
            <w:vAlign w:val="bottom"/>
          </w:tcPr>
          <w:p>
            <w:pPr>
              <w:jc w:val="center"/>
              <w:ind w:left="70"/>
              <w:spacing w:after="0"/>
              <w:rPr>
                <w:sz w:val="20"/>
                <w:szCs w:val="20"/>
                <w:color w:val="auto"/>
              </w:rPr>
            </w:pPr>
            <w:r>
              <w:rPr>
                <w:rFonts w:ascii="Arial" w:cs="Arial" w:eastAsia="Arial" w:hAnsi="Arial"/>
                <w:sz w:val="18"/>
                <w:szCs w:val="18"/>
                <w:b w:val="1"/>
                <w:bCs w:val="1"/>
                <w:color w:val="auto"/>
              </w:rPr>
              <w:t>NBCUNIVERSAL MEDIA, LLC</w:t>
            </w:r>
          </w:p>
        </w:tc>
        <w:tc>
          <w:tcPr>
            <w:tcW w:w="3260" w:type="dxa"/>
            <w:vAlign w:val="bottom"/>
          </w:tcPr>
          <w:p>
            <w:pPr>
              <w:jc w:val="center"/>
              <w:ind w:right="410"/>
              <w:spacing w:after="0"/>
              <w:rPr>
                <w:sz w:val="20"/>
                <w:szCs w:val="20"/>
                <w:color w:val="auto"/>
              </w:rPr>
            </w:pPr>
            <w:r>
              <w:rPr>
                <w:rFonts w:ascii="Arial" w:cs="Arial" w:eastAsia="Arial" w:hAnsi="Arial"/>
                <w:sz w:val="18"/>
                <w:szCs w:val="18"/>
                <w:color w:val="auto"/>
                <w:w w:val="91"/>
              </w:rPr>
              <w:t>14-1682529</w:t>
            </w:r>
          </w:p>
        </w:tc>
      </w:tr>
      <w:tr>
        <w:trPr>
          <w:trHeight w:val="230"/>
        </w:trPr>
        <w:tc>
          <w:tcPr>
            <w:tcW w:w="3120" w:type="dxa"/>
            <w:vAlign w:val="bottom"/>
          </w:tcPr>
          <w:p>
            <w:pPr>
              <w:spacing w:after="0"/>
              <w:rPr>
                <w:sz w:val="20"/>
                <w:szCs w:val="20"/>
                <w:color w:val="auto"/>
              </w:rPr>
            </w:pPr>
          </w:p>
        </w:tc>
        <w:tc>
          <w:tcPr>
            <w:tcW w:w="5040" w:type="dxa"/>
            <w:vAlign w:val="bottom"/>
          </w:tcPr>
          <w:p>
            <w:pPr>
              <w:jc w:val="center"/>
              <w:ind w:left="70"/>
              <w:spacing w:after="0"/>
              <w:rPr>
                <w:sz w:val="20"/>
                <w:szCs w:val="20"/>
                <w:color w:val="auto"/>
              </w:rPr>
            </w:pPr>
            <w:r>
              <w:rPr>
                <w:rFonts w:ascii="Arial" w:cs="Arial" w:eastAsia="Arial" w:hAnsi="Arial"/>
                <w:sz w:val="18"/>
                <w:szCs w:val="18"/>
                <w:color w:val="auto"/>
                <w:w w:val="94"/>
              </w:rPr>
              <w:t>DELAWARE</w:t>
            </w:r>
          </w:p>
        </w:tc>
        <w:tc>
          <w:tcPr>
            <w:tcW w:w="326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30 Rockefeller Plaza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10112-0015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664-4444</w:t>
      </w:r>
    </w:p>
    <w:p>
      <w:pPr>
        <w:spacing w:after="0" w:line="211" w:lineRule="exact"/>
        <w:rPr>
          <w:sz w:val="24"/>
          <w:szCs w:val="24"/>
          <w:color w:val="auto"/>
        </w:rPr>
      </w:pPr>
    </w:p>
    <w:p>
      <w:pPr>
        <w:jc w:val="both"/>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359"/>
        <w:spacing w:after="0" w:line="501" w:lineRule="auto"/>
        <w:tabs>
          <w:tab w:leader="none" w:pos="68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rPr>
          <w:rFonts w:ascii="MS PGothic" w:cs="MS PGothic" w:eastAsia="MS PGothic" w:hAnsi="MS PGothic"/>
          <w:sz w:val="18"/>
          <w:szCs w:val="18"/>
          <w:color w:val="auto"/>
        </w:rPr>
      </w:pPr>
      <w:r>
        <w:rPr>
          <w:rFonts w:ascii="Arial" w:cs="Arial" w:eastAsia="Arial" w:hAnsi="Arial"/>
          <w:sz w:val="18"/>
          <w:szCs w:val="18"/>
          <w:color w:val="auto"/>
        </w:rPr>
        <w:t>Comcast Corporation:</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5060" w:type="dxa"/>
            <w:vAlign w:val="bottom"/>
            <w:tcBorders>
              <w:top w:val="single" w:sz="8" w:color="auto"/>
              <w:left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Trading Symbol(s)</w:t>
            </w:r>
          </w:p>
        </w:tc>
        <w:tc>
          <w:tcPr>
            <w:tcW w:w="44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Class A Common Stock, $0.01 par value</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CMCSA</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 Exchangeable Subordinated Debentures due 2029</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CCZ</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Notes due 2029</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CCGBP29</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9.455% Guaranteed Notes due 2022</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CMCSA/22</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426"/>
        </w:trPr>
        <w:tc>
          <w:tcPr>
            <w:tcW w:w="5060" w:type="dxa"/>
            <w:vAlign w:val="bottom"/>
          </w:tcPr>
          <w:p>
            <w:pPr>
              <w:spacing w:after="0"/>
              <w:rPr>
                <w:sz w:val="20"/>
                <w:szCs w:val="20"/>
                <w:color w:val="auto"/>
              </w:rPr>
            </w:pPr>
            <w:r>
              <w:rPr>
                <w:rFonts w:ascii="Arial" w:cs="Arial" w:eastAsia="Arial" w:hAnsi="Arial"/>
                <w:sz w:val="18"/>
                <w:szCs w:val="18"/>
                <w:color w:val="auto"/>
              </w:rPr>
              <w:t>NBCUniversal Media, LLC: None</w:t>
            </w:r>
          </w:p>
        </w:tc>
        <w:tc>
          <w:tcPr>
            <w:tcW w:w="192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490" w:right="239" w:bottom="414"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490" w:right="239" w:bottom="414"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NBCUniversal Media, LLC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2">
            <w:col w:w="2720" w:space="720"/>
            <w:col w:w="7980"/>
          </w:cols>
          <w:pgMar w:left="240" w:top="490" w:right="239" w:bottom="414" w:gutter="0" w:footer="0" w:header="0"/>
          <w:type w:val="continuous"/>
        </w:sectPr>
      </w:pPr>
    </w:p>
    <w:p>
      <w:pPr>
        <w:spacing w:after="0" w:line="6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291"/>
        </w:trPr>
        <w:tc>
          <w:tcPr>
            <w:tcW w:w="2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r>
        <w:trPr>
          <w:trHeight w:val="378"/>
        </w:trPr>
        <w:tc>
          <w:tcPr>
            <w:tcW w:w="2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90" w:right="239" w:bottom="414"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No. 2 and Extension Agreement to Revolving Credit Agreement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previously disclosed, on May 26, 2016,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entered into an unsecured revolving credit agreement (as amended on April 27, 2018 and as supplemented on September 21, 2018, the “</w:t>
      </w:r>
      <w:r>
        <w:rPr>
          <w:rFonts w:ascii="Arial" w:cs="Arial" w:eastAsia="Arial" w:hAnsi="Arial"/>
          <w:sz w:val="18"/>
          <w:szCs w:val="18"/>
          <w:b w:val="1"/>
          <w:bCs w:val="1"/>
          <w:color w:val="auto"/>
        </w:rPr>
        <w:t>Comcast Revolving Credit Agreement</w:t>
      </w:r>
      <w:r>
        <w:rPr>
          <w:rFonts w:ascii="Arial" w:cs="Arial" w:eastAsia="Arial" w:hAnsi="Arial"/>
          <w:sz w:val="18"/>
          <w:szCs w:val="18"/>
          <w:color w:val="auto"/>
        </w:rPr>
        <w:t>”) among Comcast, the financial institutions party thereto as lenders (the “</w:t>
      </w:r>
      <w:r>
        <w:rPr>
          <w:rFonts w:ascii="Arial" w:cs="Arial" w:eastAsia="Arial" w:hAnsi="Arial"/>
          <w:sz w:val="18"/>
          <w:szCs w:val="18"/>
          <w:b w:val="1"/>
          <w:bCs w:val="1"/>
          <w:color w:val="auto"/>
        </w:rPr>
        <w:t>Revolving Lenders</w:t>
      </w:r>
      <w:r>
        <w:rPr>
          <w:rFonts w:ascii="Arial" w:cs="Arial" w:eastAsia="Arial" w:hAnsi="Arial"/>
          <w:sz w:val="18"/>
          <w:szCs w:val="18"/>
          <w:color w:val="auto"/>
        </w:rPr>
        <w:t>”), JPMorgan Chase Bank, N.A., as administrative agent, Citibank, N.A., as syndication agent, and Morgan Stanley MUFG Loan Partners, LLC, Wells Fargo Bank, National Association and Mizuho Bank, Ltd., as co-documentation agents. JPMorgan Chase Bank, N.A., Citigroup Global Markets Inc., Morgan Stanley MUFG Loan Partners, LLC, Wells Fargo Securities, LLC and Mizuho Bank, Ltd. acted as joint lead arrangers and joint bookrunners.</w:t>
      </w:r>
    </w:p>
    <w:p>
      <w:pPr>
        <w:spacing w:after="0" w:line="19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June 18, 2019, Comcast and the Revolving Lenders entered into the second amendment and extension agreement to the Comcast Revolving Credit Agreement (“</w:t>
      </w:r>
      <w:r>
        <w:rPr>
          <w:rFonts w:ascii="Arial" w:cs="Arial" w:eastAsia="Arial" w:hAnsi="Arial"/>
          <w:sz w:val="17"/>
          <w:szCs w:val="17"/>
          <w:b w:val="1"/>
          <w:bCs w:val="1"/>
          <w:color w:val="auto"/>
        </w:rPr>
        <w:t>Comcast Amendment No. 2</w:t>
      </w:r>
      <w:r>
        <w:rPr>
          <w:rFonts w:ascii="Arial" w:cs="Arial" w:eastAsia="Arial" w:hAnsi="Arial"/>
          <w:sz w:val="17"/>
          <w:szCs w:val="17"/>
          <w:color w:val="auto"/>
        </w:rPr>
        <w:t>”), which, among other things, extends the Revolving Termination Date (as defined therein) from May 26, 2021 to May 26, 2022. In addition, Comcast Amendment No. 2 makes other changes to the Comcast Revolving Credit Agreement to amend various interest rate component definitions and to update certain provisions relating to the potential discontinuation of LIBOR as a benchmark rate. The total commitments under the Comcast Revolving Credit Agreement remains $7,611,000,000.</w:t>
      </w:r>
    </w:p>
    <w:p>
      <w:pPr>
        <w:spacing w:after="0" w:line="173"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the ordinary course of their respective businesses, certain of the Revolving Lenders and the other parties to the Comcast Revolving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description above is a summary and is qualified in its entirety by Comcast Amendment No. 2, which is filed as Exhibit 10.1 to this report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previously disclosed, on May 26, 2016, NBCUniversal Enterprise, Inc. (“</w:t>
      </w:r>
      <w:r>
        <w:rPr>
          <w:rFonts w:ascii="Arial" w:cs="Arial" w:eastAsia="Arial" w:hAnsi="Arial"/>
          <w:sz w:val="18"/>
          <w:szCs w:val="18"/>
          <w:b w:val="1"/>
          <w:bCs w:val="1"/>
          <w:color w:val="auto"/>
        </w:rPr>
        <w:t>NBCUniversal Enterprise</w:t>
      </w:r>
      <w:r>
        <w:rPr>
          <w:rFonts w:ascii="Arial" w:cs="Arial" w:eastAsia="Arial" w:hAnsi="Arial"/>
          <w:sz w:val="18"/>
          <w:szCs w:val="18"/>
          <w:color w:val="auto"/>
        </w:rPr>
        <w:t>”) entered into a revolving credit agreement (as supplemented on September 21, 2018, the “</w:t>
      </w:r>
      <w:r>
        <w:rPr>
          <w:rFonts w:ascii="Arial" w:cs="Arial" w:eastAsia="Arial" w:hAnsi="Arial"/>
          <w:sz w:val="18"/>
          <w:szCs w:val="18"/>
          <w:b w:val="1"/>
          <w:bCs w:val="1"/>
          <w:color w:val="auto"/>
        </w:rPr>
        <w:t>Enterprise Revolving Credit Agreement</w:t>
      </w:r>
      <w:r>
        <w:rPr>
          <w:rFonts w:ascii="Arial" w:cs="Arial" w:eastAsia="Arial" w:hAnsi="Arial"/>
          <w:sz w:val="18"/>
          <w:szCs w:val="18"/>
          <w:color w:val="auto"/>
        </w:rPr>
        <w:t>”) with various financial institutions. On June 18, 2019, NBCUniversal Enterprise and the existing lenders entered into the first amendment and extension agreement to the Enterprise Revolving Credit Agreement (“</w:t>
      </w:r>
      <w:r>
        <w:rPr>
          <w:rFonts w:ascii="Arial" w:cs="Arial" w:eastAsia="Arial" w:hAnsi="Arial"/>
          <w:sz w:val="18"/>
          <w:szCs w:val="18"/>
          <w:b w:val="1"/>
          <w:bCs w:val="1"/>
          <w:color w:val="auto"/>
        </w:rPr>
        <w:t>Enterprise Amendment No. 1</w:t>
      </w:r>
      <w:r>
        <w:rPr>
          <w:rFonts w:ascii="Arial" w:cs="Arial" w:eastAsia="Arial" w:hAnsi="Arial"/>
          <w:sz w:val="18"/>
          <w:szCs w:val="18"/>
          <w:color w:val="auto"/>
        </w:rPr>
        <w:t>”), which, among other things, extends the Revolving Termination Date (as defined therein) from May 26, 2021 to May 26, 2022. In addition, Enterprise Amendment No. 1 makes other changes to the Enterprise Revolving Credit Agreement to amend various interest rate component definitions and to update certain provisions relating to the potential discontinuation of LIBOR as a benchmark rate. The total commitments under Enterprise Revolving Credit Agreement remains $1,617,000,000.</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Amendment No. 2 to Credit Agreement and Extension Agreement, dated June 18,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440" w:type="dxa"/>
            <w:vAlign w:val="bottom"/>
          </w:tcPr>
          <w:p>
            <w:pPr>
              <w:spacing w:after="0"/>
              <w:rPr>
                <w:sz w:val="20"/>
                <w:szCs w:val="20"/>
                <w:color w:val="auto"/>
              </w:rPr>
            </w:pPr>
            <w:r>
              <w:rPr>
                <w:rFonts w:ascii="Arial" w:cs="Arial" w:eastAsia="Arial" w:hAnsi="Arial"/>
                <w:sz w:val="18"/>
                <w:szCs w:val="18"/>
                <w:color w:val="auto"/>
              </w:rPr>
              <w:t>Date:  June 19, 2019</w:t>
            </w:r>
          </w:p>
        </w:tc>
        <w:tc>
          <w:tcPr>
            <w:tcW w:w="7980" w:type="dxa"/>
            <w:vAlign w:val="bottom"/>
            <w:gridSpan w:val="3"/>
          </w:tcPr>
          <w:p>
            <w:pPr>
              <w:ind w:left="1840"/>
              <w:spacing w:after="0"/>
              <w:rPr>
                <w:sz w:val="20"/>
                <w:szCs w:val="20"/>
                <w:color w:val="auto"/>
              </w:rPr>
            </w:pPr>
            <w:r>
              <w:rPr>
                <w:rFonts w:ascii="Arial" w:cs="Arial" w:eastAsia="Arial" w:hAnsi="Arial"/>
                <w:sz w:val="18"/>
                <w:szCs w:val="18"/>
                <w:color w:val="auto"/>
              </w:rPr>
              <w:t>By:    /s/ Thomas J. Reid</w:t>
            </w:r>
          </w:p>
        </w:tc>
      </w:tr>
      <w:tr>
        <w:trPr>
          <w:trHeight w:val="195"/>
        </w:trPr>
        <w:tc>
          <w:tcPr>
            <w:tcW w:w="3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w w:val="94"/>
              </w:rPr>
              <w:t>Senior Executive Vice President, General Counsel and Secretary</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1840"/>
              <w:spacing w:after="0"/>
              <w:rPr>
                <w:sz w:val="20"/>
                <w:szCs w:val="20"/>
                <w:color w:val="auto"/>
              </w:rPr>
            </w:pPr>
            <w:r>
              <w:rPr>
                <w:rFonts w:ascii="Arial" w:cs="Arial" w:eastAsia="Arial" w:hAnsi="Arial"/>
                <w:sz w:val="18"/>
                <w:szCs w:val="18"/>
                <w:b w:val="1"/>
                <w:bCs w:val="1"/>
                <w:color w:val="auto"/>
              </w:rPr>
              <w:t>NBCUNIVERSAL MEDIA, LLC</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June 19, 2019</w:t>
            </w:r>
          </w:p>
        </w:tc>
        <w:tc>
          <w:tcPr>
            <w:tcW w:w="7880" w:type="dxa"/>
            <w:vAlign w:val="bottom"/>
            <w:gridSpan w:val="3"/>
          </w:tcPr>
          <w:p>
            <w:pPr>
              <w:ind w:left="1840"/>
              <w:spacing w:after="0"/>
              <w:rPr>
                <w:sz w:val="20"/>
                <w:szCs w:val="20"/>
                <w:color w:val="auto"/>
              </w:rPr>
            </w:pPr>
            <w:r>
              <w:rPr>
                <w:rFonts w:ascii="Arial" w:cs="Arial" w:eastAsia="Arial" w:hAnsi="Arial"/>
                <w:sz w:val="18"/>
                <w:szCs w:val="18"/>
                <w:color w:val="auto"/>
              </w:rPr>
              <w:t>By:    /s/ Thomas J. Reid</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Senior Executive Vice President</w:t>
            </w:r>
          </w:p>
        </w:tc>
      </w:tr>
      <w:tr>
        <w:trPr>
          <w:trHeight w:val="351"/>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100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 No. 2 to Credit Agreement and Extension Agreement, dated June 18, 2019.</w:t>
            </w:r>
          </w:p>
        </w:tc>
      </w:tr>
      <w:tr>
        <w:trPr>
          <w:trHeight w:val="823"/>
        </w:trPr>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AMENDMENT NO. 2 TO CREDIT AGREEMENT AND EXTENSION AGREEMENT</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THIS AMENDMENT NO. 2 TO CREDIT AGREEMENT AND EXTENSION AGREEMENT dated as of June 18, 2019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Issuing Lenders party hereto, and JPMorgan Chase Bank, N.A., as Administrative Agent. All capitalized terms used herein and not otherwise defined herein shall have the meanings given to such terms in the Credit Agreement (as defined below).</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WHEREAS, Borrower, the Lenders, the Issuing Lenders and the Administrative Agent entered into that certain Credit Agreement dated as of May 26, 2016 (as amended pursuant to that certain Amendment No. 1 to Credit Agreement dated as of April 27, 2018, and as further amended, restated, amended and restated, supplemented or otherwise modified from time to time prior to the Amendment No. 2 Effective Date, the “Existing Credit Agreement”; the Existing Credit Agreement, as amended pursuant to this Amendment,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1"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WHEREAS, Borrower has requested that the Lenders, the Issuing Lenders and Administrative Agent amend the Existing Credit Agreement as set forth below; and</w:t>
      </w:r>
    </w:p>
    <w:p>
      <w:pPr>
        <w:spacing w:after="0" w:line="17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WHEREAS, pursuant to Section 2.01(e) of the Existing Credit Agreement, the Borrower has delivered written notice to the Administrative Agent on June 3, 2019 (the “</w:t>
      </w:r>
      <w:r>
        <w:rPr>
          <w:rFonts w:ascii="Arial" w:cs="Arial" w:eastAsia="Arial" w:hAnsi="Arial"/>
          <w:sz w:val="17"/>
          <w:szCs w:val="17"/>
          <w:u w:val="single" w:color="auto"/>
          <w:color w:val="auto"/>
        </w:rPr>
        <w:t>Notice Date</w:t>
      </w:r>
      <w:r>
        <w:rPr>
          <w:rFonts w:ascii="Arial" w:cs="Arial" w:eastAsia="Arial" w:hAnsi="Arial"/>
          <w:sz w:val="17"/>
          <w:szCs w:val="17"/>
          <w:color w:val="auto"/>
        </w:rPr>
        <w:t>”) requesting that the Revolving Commitments and the Letter of Credit Commitments be extended for an additional one-year period following the Revolving Termination Date in effect on the Notice Date (i.e., May 26, 2021) to the first anniversary of such Revolving Termination Date, such that the Extended Revolving Termination Date under the Credit Agreement will be May 26, 2022;</w:t>
      </w:r>
    </w:p>
    <w:p>
      <w:pPr>
        <w:spacing w:after="0" w:line="171"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jc w:val="both"/>
        <w:ind w:right="100" w:firstLine="646"/>
        <w:spacing w:after="0" w:line="279"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Each of the parties hereto agrees that, effective on the Amendment No. 2 Effective Date (as defined below), the Existing Credit Agreement (including the exhibits and schedules thereto) shall be amended to delete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to add the double-underlined text (indicated textually in the same manner as the following example: </w:t>
      </w:r>
      <w:r>
        <w:rPr>
          <w:rFonts w:ascii="Arial" w:cs="Arial" w:eastAsia="Arial" w:hAnsi="Arial"/>
          <w:sz w:val="17"/>
          <w:szCs w:val="17"/>
          <w:u w:val="single" w:color="auto"/>
          <w:color w:val="0000FF"/>
        </w:rPr>
        <w:t>double-underlined text</w:t>
      </w:r>
      <w:r>
        <w:rPr>
          <w:rFonts w:ascii="Arial" w:cs="Arial" w:eastAsia="Arial" w:hAnsi="Arial"/>
          <w:sz w:val="17"/>
          <w:szCs w:val="17"/>
          <w:color w:val="000000"/>
        </w:rPr>
        <w:t>) as set forth in the pages of the Credit Agreement (and related exhibits and schedules) attached as</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Exhibit A</w:t>
      </w:r>
      <w:r>
        <w:rPr>
          <w:rFonts w:ascii="Arial" w:cs="Arial" w:eastAsia="Arial" w:hAnsi="Arial"/>
          <w:sz w:val="17"/>
          <w:szCs w:val="17"/>
          <w:color w:val="0000FF"/>
        </w:rPr>
        <w:t xml:space="preserve"> </w:t>
      </w:r>
      <w:r>
        <w:rPr>
          <w:rFonts w:ascii="Arial" w:cs="Arial" w:eastAsia="Arial" w:hAnsi="Arial"/>
          <w:sz w:val="17"/>
          <w:szCs w:val="17"/>
          <w:color w:val="000000"/>
        </w:rPr>
        <w:t>hereto.</w:t>
      </w:r>
    </w:p>
    <w:p>
      <w:pPr>
        <w:spacing w:after="0" w:line="171" w:lineRule="exact"/>
        <w:rPr>
          <w:rFonts w:ascii="Arial" w:cs="Arial" w:eastAsia="Arial" w:hAnsi="Arial"/>
          <w:sz w:val="17"/>
          <w:szCs w:val="17"/>
          <w:color w:val="auto"/>
        </w:rPr>
      </w:pPr>
    </w:p>
    <w:p>
      <w:pPr>
        <w:jc w:val="both"/>
        <w:ind w:right="100" w:firstLine="646"/>
        <w:spacing w:after="0" w:line="259" w:lineRule="auto"/>
        <w:tabs>
          <w:tab w:leader="none" w:pos="112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Extension</w:t>
      </w:r>
      <w:r>
        <w:rPr>
          <w:rFonts w:ascii="Arial" w:cs="Arial" w:eastAsia="Arial" w:hAnsi="Arial"/>
          <w:sz w:val="18"/>
          <w:szCs w:val="18"/>
          <w:color w:val="auto"/>
        </w:rPr>
        <w:t>. Each of the parties hereto hereby irrevocably agrees to extend, effective as of the date hereof, all of its Revolving Commitments and all of its Letter of Credit Commitments under the Credit Agreement, for an additional one-year period following the Revolving Termination Date (i.e., May 26, 2021) to the first anniversary of such Revolving Termination Date, such that the Extended Revolving Termination Date under the Credit Agreement shall be May 26, 2022.</w:t>
      </w:r>
    </w:p>
    <w:p>
      <w:pPr>
        <w:spacing w:after="0" w:line="186" w:lineRule="exact"/>
        <w:rPr>
          <w:rFonts w:ascii="Arial" w:cs="Arial" w:eastAsia="Arial" w:hAnsi="Arial"/>
          <w:sz w:val="18"/>
          <w:szCs w:val="18"/>
          <w:color w:val="auto"/>
        </w:rPr>
      </w:pPr>
    </w:p>
    <w:p>
      <w:pPr>
        <w:ind w:right="100" w:firstLine="646"/>
        <w:spacing w:after="0" w:line="277" w:lineRule="auto"/>
        <w:tabs>
          <w:tab w:leader="none" w:pos="112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effective upon satisfaction of the following conditions precedent (the date such conditions precedent are satisfied, the “</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20" w:hanging="515"/>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Receipt by Administrative Agent of executed counterparts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375285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21" w:right="239" w:bottom="1440" w:gutter="0" w:footer="0" w:header="0"/>
        </w:sectPr>
      </w:pPr>
    </w:p>
    <w:bookmarkStart w:id="5" w:name="page6"/>
    <w:bookmarkEnd w:id="5"/>
    <w:p>
      <w:pPr>
        <w:jc w:val="both"/>
        <w:ind w:left="660"/>
        <w:spacing w:after="0" w:line="259" w:lineRule="auto"/>
        <w:rPr>
          <w:sz w:val="20"/>
          <w:szCs w:val="20"/>
          <w:color w:val="auto"/>
        </w:rPr>
      </w:pPr>
      <w:r>
        <w:rPr>
          <w:rFonts w:ascii="Arial" w:cs="Arial" w:eastAsia="Arial" w:hAnsi="Arial"/>
          <w:sz w:val="18"/>
          <w:szCs w:val="18"/>
          <w:color w:val="auto"/>
        </w:rPr>
        <w:t>(which shall be originals, facsimile or pdf copies), executed and delivered by Borrower, Administrative Agent, each Lender and each Issuing Lender, and acknowledged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(a) may be satisfied by customary written evidence reasonably satisfactory to Administrative Agent (which may include electronic transmission of a signed signature page) that such party has signed a counterpart to this Amendment).</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Without limiting the generality of the provisions of Section 10.01 of the Credit Agreement, for purposes of determining compliance with the conditions specified in this Section 3, each Lender and each Issuing Lender that has signed or otherwise become a Lender or Issuing Lender under this Amendment shall be deemed to have consented to, approved or accepted or to be satisfied with, each document or other matter required thereunder to be consented to or approved by or acceptable or satisfactory to a Lender and/or Issuing Lender unless Administrative Agent shall have received notice from such Lender or Issuing Lender prior to the proposed Amendment No. 2 Effective Date specifying its objection thereto. Administrative Agent (or its counsel) shall promptly notify the Lenders, the Issuing Lenders and Borrower in writing of the occurrence of the Amendment No. 2 Effective Date, which shall be conclusive evidence of the occurrence thereof (it being understood that any failure to so notify shall not preclude the occurrence of the Amendment No. 2 Effective Date if all conditions to the occurrence thereof have been met). Notwithstanding anything to the contrary in this Amendment, this Section 3 and the conditions set out in this Section 3 shall cease to apply and be of no further effect on and from the Amendment No. 2 Effective Date.</w:t>
      </w:r>
    </w:p>
    <w:p>
      <w:pPr>
        <w:spacing w:after="0" w:line="167" w:lineRule="exact"/>
        <w:rPr>
          <w:sz w:val="20"/>
          <w:szCs w:val="20"/>
          <w:color w:val="auto"/>
        </w:rPr>
      </w:pPr>
    </w:p>
    <w:p>
      <w:pPr>
        <w:ind w:left="1380" w:hanging="643"/>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40" w:firstLine="654"/>
        <w:spacing w:after="0" w:line="255" w:lineRule="auto"/>
        <w:tabs>
          <w:tab w:leader="none" w:pos="19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Existing Credit Agreement (as amended hereby), and the obligations of the Loan Parties thereunder and under the other Loan Documents, are hereby ratified and confirmed and shall remain in full force and effect according to their terms. Except as expressly set forth herein, this Amendment shall not be deemed to be an amendment or modification of any other provisions of the Existing Credit Agreement or any other Loan Document or any right, power or remedy of the Lenders, nor constitute a waiver of any provision of the Existing Credit Agreement, any other Loan Document, or any other document, instrument and/or agreement executed or delivered in connection therewith or of any Default or Event of Default under any of the foregoing, in each case, whether arising before or after the date hereof or as a result of performance hereunder or thereunder.</w:t>
      </w:r>
    </w:p>
    <w:p>
      <w:pPr>
        <w:spacing w:after="0" w:line="189" w:lineRule="exact"/>
        <w:rPr>
          <w:rFonts w:ascii="Arial" w:cs="Arial" w:eastAsia="Arial" w:hAnsi="Arial"/>
          <w:sz w:val="18"/>
          <w:szCs w:val="18"/>
          <w:color w:val="auto"/>
        </w:rPr>
      </w:pPr>
    </w:p>
    <w:p>
      <w:pPr>
        <w:jc w:val="both"/>
        <w:ind w:left="740" w:firstLine="654"/>
        <w:spacing w:after="0" w:line="264" w:lineRule="auto"/>
        <w:tabs>
          <w:tab w:leader="none" w:pos="2081"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Guarantor (a) acknowledges and consents to all of the terms and conditions of this Amendment, (b) affirms all of its obligations under the Loan Documents and (c) agrees that this Amendment and all documents executed in connection herewith do not operate to reduce or discharge its obligations under the Credit Agreement or the Loan Documents.</w:t>
      </w:r>
    </w:p>
    <w:p>
      <w:pPr>
        <w:spacing w:after="0" w:line="181" w:lineRule="exact"/>
        <w:rPr>
          <w:rFonts w:ascii="Arial" w:cs="Arial" w:eastAsia="Arial" w:hAnsi="Arial"/>
          <w:sz w:val="18"/>
          <w:szCs w:val="18"/>
          <w:color w:val="auto"/>
        </w:rPr>
      </w:pPr>
    </w:p>
    <w:p>
      <w:pPr>
        <w:ind w:left="2040" w:hanging="654"/>
        <w:spacing w:after="0"/>
        <w:tabs>
          <w:tab w:leader="none" w:pos="2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Loan Party hereby represents and warrants as follows:</w:t>
      </w:r>
    </w:p>
    <w:p>
      <w:pPr>
        <w:spacing w:after="0" w:line="225" w:lineRule="exact"/>
        <w:rPr>
          <w:rFonts w:ascii="Arial" w:cs="Arial" w:eastAsia="Arial" w:hAnsi="Arial"/>
          <w:sz w:val="18"/>
          <w:szCs w:val="18"/>
          <w:color w:val="auto"/>
        </w:rPr>
      </w:pPr>
    </w:p>
    <w:p>
      <w:pPr>
        <w:ind w:left="1400" w:firstLine="643"/>
        <w:spacing w:after="0" w:line="277" w:lineRule="auto"/>
        <w:tabs>
          <w:tab w:leader="none" w:pos="2549" w:val="left"/>
        </w:tabs>
        <w:numPr>
          <w:ilvl w:val="2"/>
          <w:numId w:val="4"/>
        </w:numPr>
        <w:rPr>
          <w:rFonts w:ascii="Arial" w:cs="Arial" w:eastAsia="Arial" w:hAnsi="Arial"/>
          <w:sz w:val="18"/>
          <w:szCs w:val="18"/>
          <w:color w:val="auto"/>
        </w:rPr>
      </w:pPr>
      <w:r>
        <w:rPr>
          <w:rFonts w:ascii="Arial" w:cs="Arial" w:eastAsia="Arial" w:hAnsi="Arial"/>
          <w:sz w:val="18"/>
          <w:szCs w:val="18"/>
          <w:color w:val="auto"/>
        </w:rPr>
        <w:t>Each Loan Party has taken all necessary corporate or limited liability company action to authorize the execution, delivery and performance of this Amendment.</w:t>
      </w:r>
    </w:p>
    <w:p>
      <w:pPr>
        <w:spacing w:after="0" w:line="170" w:lineRule="exact"/>
        <w:rPr>
          <w:rFonts w:ascii="Arial" w:cs="Arial" w:eastAsia="Arial" w:hAnsi="Arial"/>
          <w:sz w:val="18"/>
          <w:szCs w:val="18"/>
          <w:color w:val="auto"/>
        </w:rPr>
      </w:pPr>
    </w:p>
    <w:p>
      <w:pPr>
        <w:ind w:left="1400" w:firstLine="643"/>
        <w:spacing w:after="0" w:line="277" w:lineRule="auto"/>
        <w:tabs>
          <w:tab w:leader="none" w:pos="2685" w:val="left"/>
        </w:tabs>
        <w:numPr>
          <w:ilvl w:val="2"/>
          <w:numId w:val="4"/>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of the Loan Parties and constitutes each of the Loan Parties’ legal, valid and binding obligations, enforceable in accordance with its terms, except as such</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6" w:name="page7"/>
    <w:bookmarkEnd w:id="6"/>
    <w:p>
      <w:pPr>
        <w:ind w:left="200" w:hanging="8"/>
        <w:spacing w:after="0" w:line="277" w:lineRule="auto"/>
        <w:rPr>
          <w:sz w:val="20"/>
          <w:szCs w:val="20"/>
          <w:color w:val="auto"/>
        </w:rPr>
      </w:pPr>
      <w:r>
        <w:rPr>
          <w:rFonts w:ascii="Arial" w:cs="Arial" w:eastAsia="Arial" w:hAnsi="Arial"/>
          <w:sz w:val="18"/>
          <w:szCs w:val="18"/>
          <w:color w:val="auto"/>
        </w:rPr>
        <w:t>enforceability may be limited by Debtor Relief Laws and general principles of equity (regardless of whether such enforceability is considered in a proceeding in equity or at law).</w:t>
      </w:r>
    </w:p>
    <w:p>
      <w:pPr>
        <w:spacing w:after="0" w:line="170" w:lineRule="exact"/>
        <w:rPr>
          <w:sz w:val="20"/>
          <w:szCs w:val="20"/>
          <w:color w:val="auto"/>
        </w:rPr>
      </w:pPr>
    </w:p>
    <w:p>
      <w:pPr>
        <w:jc w:val="both"/>
        <w:ind w:left="200" w:firstLine="643"/>
        <w:spacing w:after="0" w:line="259" w:lineRule="auto"/>
        <w:tabs>
          <w:tab w:leader="none" w:pos="1446"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Governmental Authority is required in connection with the execution, delivery or performance by any Loan Party of this Amendment other than those that have already been obtained and are in full force and effect or the failure of which to have obtained would not reasonably be expected to have a Material Adverse Effect.</w:t>
      </w:r>
    </w:p>
    <w:p>
      <w:pPr>
        <w:spacing w:after="0" w:line="186" w:lineRule="exact"/>
        <w:rPr>
          <w:rFonts w:ascii="Arial" w:cs="Arial" w:eastAsia="Arial" w:hAnsi="Arial"/>
          <w:sz w:val="18"/>
          <w:szCs w:val="18"/>
          <w:color w:val="auto"/>
        </w:rPr>
      </w:pPr>
    </w:p>
    <w:p>
      <w:pPr>
        <w:ind w:left="1420" w:hanging="577"/>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as of the date hereof.</w:t>
      </w:r>
    </w:p>
    <w:p>
      <w:pPr>
        <w:spacing w:after="0" w:line="225" w:lineRule="exact"/>
        <w:rPr>
          <w:rFonts w:ascii="Arial" w:cs="Arial" w:eastAsia="Arial" w:hAnsi="Arial"/>
          <w:sz w:val="18"/>
          <w:szCs w:val="18"/>
          <w:color w:val="auto"/>
        </w:rPr>
      </w:pPr>
    </w:p>
    <w:p>
      <w:pPr>
        <w:jc w:val="both"/>
        <w:ind w:left="-460" w:firstLine="654"/>
        <w:spacing w:after="0" w:line="286" w:lineRule="auto"/>
        <w:tabs>
          <w:tab w:leader="none" w:pos="82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when so executed and delivered shall be an original, but all of which shall constitute one and the same instrument. Delivery of an executed counterpart of this Amendment by telecopy shall be effective as an original and shall constitute a representation that an executed original shall be delivered.</w:t>
      </w:r>
    </w:p>
    <w:p>
      <w:pPr>
        <w:spacing w:after="0" w:line="161" w:lineRule="exact"/>
        <w:rPr>
          <w:rFonts w:ascii="Arial" w:cs="Arial" w:eastAsia="Arial" w:hAnsi="Arial"/>
          <w:sz w:val="17"/>
          <w:szCs w:val="17"/>
          <w:color w:val="auto"/>
        </w:rPr>
      </w:pPr>
    </w:p>
    <w:p>
      <w:pPr>
        <w:jc w:val="both"/>
        <w:ind w:left="-460" w:firstLine="654"/>
        <w:spacing w:after="0" w:line="261" w:lineRule="auto"/>
        <w:tabs>
          <w:tab w:leader="none" w:pos="987"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THIS AMENDMENT AND THE RIGHTS AND OBLIGATIONS OF THE PARTIES HEREUNDER AND ANY CLAIMS, CONTROVERSY, DISPUTE OR CAUSE OF ACTION (WHETHER IN CONTRACT OR TORT OR OTHERWISE) BASED UPON, ARISING OUT OF OR RELATING TO THIS AMENDMENT SHALL BE GOVERNED BY, AND CONSTRUED IN ACCORDANCE WITH, THE LAW OF THE STATE OF NEW YORK.</w:t>
      </w:r>
    </w:p>
    <w:p>
      <w:pPr>
        <w:spacing w:after="0" w:line="184"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26"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ectPr>
          <w:pgSz w:w="11900" w:h="16838" w:orient="portrait"/>
          <w:cols w:equalWidth="0" w:num="1">
            <w:col w:w="9960"/>
          </w:cols>
          <w:pgMar w:left="1240" w:top="584" w:right="699" w:bottom="1440" w:gutter="0" w:footer="0" w:header="0"/>
        </w:sectPr>
      </w:pPr>
    </w:p>
    <w:p>
      <w:pPr>
        <w:spacing w:after="0" w:line="24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E. Dordelman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Senior Vice President, Treasury and Treasury</w:t>
            </w:r>
          </w:p>
        </w:tc>
      </w:tr>
    </w:tbl>
    <w:p>
      <w:pPr>
        <w:spacing w:after="0" w:line="94"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240" w:top="584" w:right="699" w:bottom="1440" w:gutter="0" w:footer="0" w:header="0"/>
          <w:type w:val="continuous"/>
        </w:sectPr>
      </w:pPr>
    </w:p>
    <w:bookmarkStart w:id="8" w:name="page9"/>
    <w:bookmarkEnd w:id="8"/>
    <w:p>
      <w:pPr>
        <w:ind w:left="3960"/>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Administrative Agent, Lender and Issuing Lender</w:t>
      </w:r>
    </w:p>
    <w:p>
      <w:pPr>
        <w:spacing w:after="0" w:line="200" w:lineRule="exact"/>
        <w:rPr>
          <w:sz w:val="20"/>
          <w:szCs w:val="20"/>
          <w:color w:val="auto"/>
        </w:rPr>
      </w:pPr>
    </w:p>
    <w:p>
      <w:pPr>
        <w:spacing w:after="0" w:line="227"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 Thauer</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Peter B. Thauer</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9" w:name="page10"/>
    <w:bookmarkEnd w:id="9"/>
    <w:p>
      <w:pPr>
        <w:ind w:left="3960"/>
        <w:spacing w:after="0"/>
        <w:rPr>
          <w:sz w:val="20"/>
          <w:szCs w:val="20"/>
          <w:color w:val="auto"/>
        </w:rPr>
      </w:pPr>
      <w:r>
        <w:rPr>
          <w:rFonts w:ascii="Arial" w:cs="Arial" w:eastAsia="Arial" w:hAnsi="Arial"/>
          <w:sz w:val="18"/>
          <w:szCs w:val="18"/>
          <w:color w:val="auto"/>
        </w:rPr>
        <w:t>Name of Lender and Issuing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BANK OF AMERICA, N.A.</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Bolio</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Brandon Bolio</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0" w:name="page11"/>
    <w:bookmarkEnd w:id="10"/>
    <w:p>
      <w:pPr>
        <w:ind w:left="3960"/>
        <w:spacing w:after="0"/>
        <w:rPr>
          <w:sz w:val="20"/>
          <w:szCs w:val="20"/>
          <w:color w:val="auto"/>
        </w:rPr>
      </w:pPr>
      <w:r>
        <w:rPr>
          <w:rFonts w:ascii="Arial" w:cs="Arial" w:eastAsia="Arial" w:hAnsi="Arial"/>
          <w:sz w:val="18"/>
          <w:szCs w:val="18"/>
          <w:color w:val="auto"/>
        </w:rPr>
        <w:t>Name of Lender and Issuing Lender:</w:t>
      </w: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CITIBANK, N.A.</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Vondriska</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Vondriska</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1" w:name="page12"/>
    <w:bookmarkEnd w:id="11"/>
    <w:p>
      <w:pPr>
        <w:ind w:left="3960"/>
        <w:spacing w:after="0"/>
        <w:rPr>
          <w:sz w:val="20"/>
          <w:szCs w:val="20"/>
          <w:color w:val="auto"/>
        </w:rPr>
      </w:pPr>
      <w:r>
        <w:rPr>
          <w:rFonts w:ascii="Arial" w:cs="Arial" w:eastAsia="Arial" w:hAnsi="Arial"/>
          <w:sz w:val="18"/>
          <w:szCs w:val="18"/>
          <w:color w:val="auto"/>
        </w:rPr>
        <w:t>Name of Lender and Issuing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MIZUHO BANK, LTD.</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Rahn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Tracy Rahn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2" w:name="page13"/>
    <w:bookmarkEnd w:id="12"/>
    <w:p>
      <w:pPr>
        <w:ind w:left="3960"/>
        <w:spacing w:after="0"/>
        <w:rPr>
          <w:sz w:val="20"/>
          <w:szCs w:val="20"/>
          <w:color w:val="auto"/>
        </w:rPr>
      </w:pPr>
      <w:r>
        <w:rPr>
          <w:rFonts w:ascii="Arial" w:cs="Arial" w:eastAsia="Arial" w:hAnsi="Arial"/>
          <w:sz w:val="18"/>
          <w:szCs w:val="18"/>
          <w:color w:val="auto"/>
        </w:rPr>
        <w:t>Name of Lender and Issuing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MORGAN STANLEY BANK, N.A.</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3" w:name="page14"/>
    <w:bookmarkEnd w:id="13"/>
    <w:p>
      <w:pPr>
        <w:ind w:left="3960"/>
        <w:spacing w:after="0"/>
        <w:rPr>
          <w:sz w:val="20"/>
          <w:szCs w:val="20"/>
          <w:color w:val="auto"/>
        </w:rPr>
      </w:pPr>
      <w:r>
        <w:rPr>
          <w:rFonts w:ascii="Arial" w:cs="Arial" w:eastAsia="Arial" w:hAnsi="Arial"/>
          <w:sz w:val="18"/>
          <w:szCs w:val="18"/>
          <w:color w:val="auto"/>
        </w:rPr>
        <w:t>Name of Lender and Issuing Lender:</w:t>
      </w:r>
    </w:p>
    <w:p>
      <w:pPr>
        <w:spacing w:after="0" w:line="22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MUFG Bank, Ltd.</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Dana L. McDougall</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Dana L. McDougall</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4" w:name="page15"/>
    <w:bookmarkEnd w:id="14"/>
    <w:p>
      <w:pPr>
        <w:ind w:left="3960"/>
        <w:spacing w:after="0"/>
        <w:rPr>
          <w:sz w:val="20"/>
          <w:szCs w:val="20"/>
          <w:color w:val="auto"/>
        </w:rPr>
      </w:pPr>
      <w:r>
        <w:rPr>
          <w:rFonts w:ascii="Arial" w:cs="Arial" w:eastAsia="Arial" w:hAnsi="Arial"/>
          <w:sz w:val="18"/>
          <w:szCs w:val="18"/>
          <w:b w:val="1"/>
          <w:bCs w:val="1"/>
          <w:color w:val="auto"/>
        </w:rPr>
        <w:t>WELLS FARGO BANK, N.A.,</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Lender and Issuing Lender</w:t>
      </w:r>
    </w:p>
    <w:p>
      <w:pPr>
        <w:spacing w:after="0" w:line="200" w:lineRule="exact"/>
        <w:rPr>
          <w:sz w:val="20"/>
          <w:szCs w:val="20"/>
          <w:color w:val="auto"/>
        </w:rPr>
      </w:pPr>
    </w:p>
    <w:p>
      <w:pPr>
        <w:spacing w:after="0" w:line="227"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J. Grocholski</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Nicholas Grocholski</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5" w:name="page16"/>
    <w:bookmarkEnd w:id="15"/>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BARCLAYS BANK PLC</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Corrigan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Martin Corrigan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6" w:name="page17"/>
    <w:bookmarkEnd w:id="16"/>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BNP Paribas</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R. Paul</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G. R. Paul</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Dykl</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Melissa Dykl</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7" w:name="page18"/>
    <w:bookmarkEnd w:id="17"/>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Commerzbank AG, NY Branch</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Kiernan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Neil Kiernan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8" w:name="page19"/>
    <w:bookmarkEnd w:id="18"/>
    <w:p>
      <w:pPr>
        <w:ind w:left="3960"/>
        <w:spacing w:after="0"/>
        <w:rPr>
          <w:sz w:val="20"/>
          <w:szCs w:val="20"/>
          <w:color w:val="auto"/>
        </w:rPr>
      </w:pPr>
      <w:r>
        <w:rPr>
          <w:rFonts w:ascii="Arial" w:cs="Arial" w:eastAsia="Arial" w:hAnsi="Arial"/>
          <w:sz w:val="18"/>
          <w:szCs w:val="18"/>
          <w:b w:val="1"/>
          <w:bCs w:val="1"/>
          <w:color w:val="auto"/>
        </w:rPr>
        <w:t>CREDIT SUISSE AG, CAYMAN ISLANDS BRANCH</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O’Daly</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William O’Daly</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Andrew Maletta</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 Andrew Maletta</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9" w:name="page20"/>
    <w:bookmarkEnd w:id="19"/>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DEUTSCHE BANK AG NEW YORK BRANCH</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70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Virginia Cosenza</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0" w:name="page21"/>
    <w:bookmarkEnd w:id="20"/>
    <w:p>
      <w:pPr>
        <w:ind w:left="396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 Scott Johnson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 W. Scott Johnson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 w:name="page22"/>
    <w:bookmarkEnd w:id="21"/>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BANCO SANTANDER, S.A., NEW YORK BRANCH</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Rita Walz-Cuccioli</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Rita Walz-Cuccioli</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70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Corcoran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Terence Corcoran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2" w:name="page23"/>
    <w:bookmarkEnd w:id="22"/>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Maguire</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Maguire</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3" w:name="page24"/>
    <w:bookmarkEnd w:id="23"/>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TORONTO DOMINION (TEXAS) LLC</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Kuo</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Peter Kuo</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 w:name="page25"/>
    <w:bookmarkEnd w:id="24"/>
    <w:p>
      <w:pPr>
        <w:ind w:left="396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Durkin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Ryan Durkin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5" w:name="page26"/>
    <w:bookmarkEnd w:id="25"/>
    <w:p>
      <w:pPr>
        <w:ind w:left="3960"/>
        <w:spacing w:after="0"/>
        <w:rPr>
          <w:sz w:val="20"/>
          <w:szCs w:val="20"/>
          <w:color w:val="auto"/>
        </w:rPr>
      </w:pPr>
      <w:r>
        <w:rPr>
          <w:rFonts w:ascii="Arial" w:cs="Arial" w:eastAsia="Arial" w:hAnsi="Arial"/>
          <w:sz w:val="18"/>
          <w:szCs w:val="18"/>
          <w:b w:val="1"/>
          <w:bCs w:val="1"/>
          <w:color w:val="auto"/>
        </w:rPr>
        <w:t xml:space="preserve">DNB CAPITAL LLC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F. Kurpiewski</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Philip F. Kurpiewski</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70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Kristie Li</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Kristie Li</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6" w:name="page27"/>
    <w:bookmarkEnd w:id="26"/>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INDUSTRIAL AND COMMERCIAL BANK OF CHINA</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LIMITED, NEW YORK BRANCH</w:t>
      </w:r>
    </w:p>
    <w:p>
      <w:pPr>
        <w:spacing w:after="0" w:line="200" w:lineRule="exact"/>
        <w:rPr>
          <w:sz w:val="20"/>
          <w:szCs w:val="20"/>
          <w:color w:val="auto"/>
        </w:rPr>
      </w:pPr>
    </w:p>
    <w:p>
      <w:pPr>
        <w:spacing w:after="0" w:line="227"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Yuanyuan Peng</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Yuanyuan Peng</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70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Dayi Liu</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Dayi Liu</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7" w:name="page28"/>
    <w:bookmarkEnd w:id="27"/>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PNC BANK, NATIONAL ASSOCIATION</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Meredith Jermann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Meredith Jermann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8" w:name="page29"/>
    <w:bookmarkEnd w:id="28"/>
    <w:p>
      <w:pPr>
        <w:ind w:left="3960"/>
        <w:spacing w:after="0"/>
        <w:rPr>
          <w:sz w:val="20"/>
          <w:szCs w:val="20"/>
          <w:color w:val="auto"/>
        </w:rPr>
      </w:pPr>
      <w:r>
        <w:rPr>
          <w:rFonts w:ascii="Arial" w:cs="Arial" w:eastAsia="Arial" w:hAnsi="Arial"/>
          <w:sz w:val="18"/>
          <w:szCs w:val="18"/>
          <w:b w:val="1"/>
          <w:bCs w:val="1"/>
          <w:color w:val="auto"/>
        </w:rPr>
        <w:t xml:space="preserve">U.S. BANK, NATIONAL ASSOCIATION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Garret Komjathy</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Garret Komjathy</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9" w:name="page30"/>
    <w:bookmarkEnd w:id="29"/>
    <w:p>
      <w:pPr>
        <w:ind w:left="3960"/>
        <w:spacing w:after="0"/>
        <w:rPr>
          <w:sz w:val="20"/>
          <w:szCs w:val="20"/>
          <w:color w:val="auto"/>
        </w:rPr>
      </w:pPr>
      <w:r>
        <w:rPr>
          <w:rFonts w:ascii="Arial" w:cs="Arial" w:eastAsia="Arial" w:hAnsi="Arial"/>
          <w:sz w:val="18"/>
          <w:szCs w:val="18"/>
          <w:color w:val="auto"/>
        </w:rPr>
        <w:t>Name of Lender and Issuing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BANK OF NEW YORK MELLON</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Rachael Dolinish</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Rachael Dolinish</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0" w:name="page31"/>
    <w:bookmarkEnd w:id="30"/>
    <w:p>
      <w:pPr>
        <w:ind w:left="3960"/>
        <w:spacing w:after="0"/>
        <w:rPr>
          <w:sz w:val="20"/>
          <w:szCs w:val="20"/>
          <w:color w:val="auto"/>
        </w:rPr>
      </w:pPr>
      <w:r>
        <w:rPr>
          <w:rFonts w:ascii="Arial" w:cs="Arial" w:eastAsia="Arial" w:hAnsi="Arial"/>
          <w:sz w:val="18"/>
          <w:szCs w:val="18"/>
          <w:color w:val="auto"/>
        </w:rPr>
        <w:t>Name of Lender :</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SOCIETE GENERALE</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Shelley Yu</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Shelley Yu</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1" w:name="page32"/>
    <w:bookmarkEnd w:id="31"/>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right="539"/>
        <w:spacing w:after="0" w:line="282" w:lineRule="auto"/>
        <w:rPr>
          <w:sz w:val="20"/>
          <w:szCs w:val="20"/>
          <w:color w:val="auto"/>
        </w:rPr>
      </w:pPr>
      <w:r>
        <w:rPr>
          <w:rFonts w:ascii="Arial" w:cs="Arial" w:eastAsia="Arial" w:hAnsi="Arial"/>
          <w:sz w:val="18"/>
          <w:szCs w:val="18"/>
          <w:b w:val="1"/>
          <w:bCs w:val="1"/>
          <w:color w:val="auto"/>
        </w:rPr>
        <w:t>AGRICULTURAL BANK OF CHINA LTD., NEW YORK BRANCH</w:t>
      </w:r>
    </w:p>
    <w:p>
      <w:pPr>
        <w:spacing w:after="0" w:line="382"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Nelson Chou</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Nelson Chou</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SVP &amp; Head of Corporate Banking</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 w:name="page33"/>
    <w:bookmarkEnd w:id="32"/>
    <w:p>
      <w:pPr>
        <w:ind w:left="3960"/>
        <w:spacing w:after="0"/>
        <w:rPr>
          <w:sz w:val="20"/>
          <w:szCs w:val="20"/>
          <w:color w:val="auto"/>
        </w:rPr>
      </w:pPr>
      <w:r>
        <w:rPr>
          <w:rFonts w:ascii="Arial" w:cs="Arial" w:eastAsia="Arial" w:hAnsi="Arial"/>
          <w:sz w:val="18"/>
          <w:szCs w:val="18"/>
          <w:color w:val="auto"/>
        </w:rPr>
        <w:t>Name of Lender: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BANK OF CHINA, NEW YORK BRANCH</w:t>
      </w:r>
    </w:p>
    <w:p>
      <w:pPr>
        <w:spacing w:after="0" w:line="200" w:lineRule="exact"/>
        <w:rPr>
          <w:sz w:val="20"/>
          <w:szCs w:val="20"/>
          <w:color w:val="auto"/>
        </w:rPr>
      </w:pPr>
    </w:p>
    <w:p>
      <w:pPr>
        <w:spacing w:after="0" w:line="24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Qiao</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Raymond Qiao</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 w:name="page34"/>
    <w:bookmarkEnd w:id="33"/>
    <w:p>
      <w:pPr>
        <w:ind w:left="3960"/>
        <w:spacing w:after="0"/>
        <w:rPr>
          <w:sz w:val="20"/>
          <w:szCs w:val="20"/>
          <w:color w:val="auto"/>
        </w:rPr>
      </w:pPr>
      <w:r>
        <w:rPr>
          <w:rFonts w:ascii="Arial" w:cs="Arial" w:eastAsia="Arial" w:hAnsi="Arial"/>
          <w:sz w:val="18"/>
          <w:szCs w:val="18"/>
          <w:color w:val="auto"/>
        </w:rPr>
        <w:t>ACKNOWLEDGED AND CONSENTED TO:</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COMCAST CABLE COMMUNICATIONS,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6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Name: William E. Dordelman</w:t>
            </w:r>
          </w:p>
        </w:tc>
      </w:tr>
      <w:tr>
        <w:trPr>
          <w:trHeight w:val="230"/>
        </w:trPr>
        <w:tc>
          <w:tcPr>
            <w:tcW w:w="6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   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6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Name: William E. Dordelman</w:t>
            </w:r>
          </w:p>
        </w:tc>
      </w:tr>
      <w:tr>
        <w:trPr>
          <w:trHeight w:val="230"/>
        </w:trPr>
        <w:tc>
          <w:tcPr>
            <w:tcW w:w="6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 w:name="page35"/>
    <w:bookmarkEnd w:id="34"/>
    <w:p>
      <w:pPr>
        <w:jc w:val="center"/>
        <w:ind w:right="-3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5"/>
          <w:szCs w:val="15"/>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536575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as amended pursuant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 xml:space="preserve">Amendment No. 1 to Credit Agreement dated as of April 27, 2018 </w:t>
      </w:r>
      <w:r>
        <w:rPr>
          <w:rFonts w:ascii="Arial" w:cs="Arial" w:eastAsia="Arial" w:hAnsi="Arial"/>
          <w:sz w:val="18"/>
          <w:szCs w:val="18"/>
          <w:b w:val="1"/>
          <w:bCs w:val="1"/>
          <w:i w:val="1"/>
          <w:iCs w:val="1"/>
          <w:u w:val="single" w:color="auto"/>
          <w:color w:val="0000FF"/>
        </w:rPr>
        <w:t>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0000FF"/>
        </w:rPr>
        <w:t>Amendment No. 2 to Credit Agreement and Extension Agreement dated as of June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177165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Financial Institutions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MORGAN STANLEY MUFG LOAN PARTNERS,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WELLS FARGO BANK, NATIONAL ASSOCIATION and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MORGAN STANLEY MUFG LOAN PARTNERS,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SECURITIES, LLC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365760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20" w:type="dxa"/>
            <w:vAlign w:val="bottom"/>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00" w:type="dxa"/>
            <w:vAlign w:val="bottom"/>
            <w:gridSpan w:val="3"/>
          </w:tcPr>
          <w:p>
            <w:pPr>
              <w:ind w:left="40"/>
              <w:spacing w:after="0"/>
              <w:rPr>
                <w:sz w:val="20"/>
                <w:szCs w:val="20"/>
                <w:color w:val="auto"/>
              </w:rPr>
            </w:pPr>
            <w:r>
              <w:rPr>
                <w:rFonts w:ascii="Arial" w:cs="Arial" w:eastAsia="Arial" w:hAnsi="Arial"/>
                <w:sz w:val="18"/>
                <w:szCs w:val="18"/>
                <w:b w:val="1"/>
                <w:bCs w:val="1"/>
                <w:color w:val="auto"/>
                <w:w w:val="78"/>
              </w:rPr>
              <w:t>Page</w:t>
            </w:r>
          </w:p>
        </w:tc>
      </w:tr>
      <w:tr>
        <w:trPr>
          <w:trHeight w:val="473"/>
        </w:trPr>
        <w:tc>
          <w:tcPr>
            <w:tcW w:w="10980" w:type="dxa"/>
            <w:vAlign w:val="bottom"/>
            <w:gridSpan w:val="7"/>
          </w:tcPr>
          <w:p>
            <w:pPr>
              <w:spacing w:after="0"/>
              <w:rPr>
                <w:sz w:val="20"/>
                <w:szCs w:val="20"/>
                <w:color w:val="auto"/>
              </w:rPr>
            </w:pPr>
            <w:r>
              <w:rPr>
                <w:rFonts w:ascii="Arial" w:cs="Arial" w:eastAsia="Arial" w:hAnsi="Arial"/>
                <w:sz w:val="18"/>
                <w:szCs w:val="18"/>
                <w:color w:val="auto"/>
              </w:rPr>
              <w:t>SECTION 1 DEFINITIONS AND ACCOUNTING TERMS</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1.01</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Defined Terms</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1.02</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Use of Certain Terms.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1.03</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Accounting Terms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1.04</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Rounding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1.05</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Exhibits and Schedules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1.06</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References to Agreements and Laws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1.07</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Pro Forma Calculations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257"/>
        </w:trPr>
        <w:tc>
          <w:tcPr>
            <w:tcW w:w="440" w:type="dxa"/>
            <w:vAlign w:val="bottom"/>
            <w:gridSpan w:val="2"/>
          </w:tcPr>
          <w:p>
            <w:pPr>
              <w:ind w:left="140"/>
              <w:spacing w:after="0"/>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08</w:t>
            </w: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0000FF"/>
              </w:rPr>
              <w:t>Interest Rates; LIBOR Notification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0000FF"/>
              </w:rPr>
              <w:t>31</w:t>
            </w:r>
          </w:p>
        </w:tc>
        <w:tc>
          <w:tcPr>
            <w:tcW w:w="4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980" w:type="dxa"/>
            <w:vAlign w:val="bottom"/>
            <w:gridSpan w:val="7"/>
          </w:tcPr>
          <w:p>
            <w:pPr>
              <w:spacing w:after="0"/>
              <w:rPr>
                <w:sz w:val="20"/>
                <w:szCs w:val="20"/>
                <w:color w:val="auto"/>
              </w:rPr>
            </w:pPr>
            <w:r>
              <w:rPr>
                <w:rFonts w:ascii="Arial" w:cs="Arial" w:eastAsia="Arial" w:hAnsi="Arial"/>
                <w:sz w:val="18"/>
                <w:szCs w:val="18"/>
                <w:color w:val="auto"/>
              </w:rPr>
              <w:t>SECTION 2 THE REVOLVING COMMITMENTS AND EXTENSIONS OF CREDIT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2.01</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Amount and Terms of Revolving Commitments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r>
      <w:tr>
        <w:trPr>
          <w:trHeight w:val="25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2.02</w:t>
            </w: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Procedure for Revolving Loan Borrowings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33</w:t>
            </w:r>
          </w:p>
        </w:tc>
        <w:tc>
          <w:tcPr>
            <w:tcW w:w="40" w:type="dxa"/>
            <w:vAlign w:val="bottom"/>
          </w:tcPr>
          <w:p>
            <w:pPr>
              <w:spacing w:after="0"/>
              <w:rPr>
                <w:sz w:val="22"/>
                <w:szCs w:val="22"/>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2.03</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Letters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40" w:type="dxa"/>
            <w:vAlign w:val="bottom"/>
          </w:tcPr>
          <w:p>
            <w:pPr>
              <w:spacing w:after="0"/>
              <w:rPr>
                <w:sz w:val="24"/>
                <w:szCs w:val="24"/>
                <w:color w:val="auto"/>
              </w:rPr>
            </w:pPr>
          </w:p>
        </w:tc>
      </w:tr>
      <w:tr>
        <w:trPr>
          <w:trHeight w:val="318"/>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2.04</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Competitive Bid Procedure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25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2.05</w:t>
            </w: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Reduction or Termination of Revolving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40</w:t>
            </w:r>
          </w:p>
        </w:tc>
        <w:tc>
          <w:tcPr>
            <w:tcW w:w="40" w:type="dxa"/>
            <w:vAlign w:val="bottom"/>
          </w:tcPr>
          <w:p>
            <w:pPr>
              <w:spacing w:after="0"/>
              <w:rPr>
                <w:sz w:val="22"/>
                <w:szCs w:val="22"/>
                <w:color w:val="auto"/>
              </w:rPr>
            </w:pPr>
          </w:p>
        </w:tc>
      </w:tr>
      <w:tr>
        <w:trPr>
          <w:trHeight w:val="318"/>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2.06</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Prepayments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4"/>
                <w:szCs w:val="24"/>
                <w:color w:val="auto"/>
              </w:rPr>
            </w:pPr>
          </w:p>
        </w:tc>
      </w:tr>
      <w:tr>
        <w:trPr>
          <w:trHeight w:val="25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2.07</w:t>
            </w: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Documentation of Loans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41</w:t>
            </w:r>
          </w:p>
        </w:tc>
        <w:tc>
          <w:tcPr>
            <w:tcW w:w="40" w:type="dxa"/>
            <w:vAlign w:val="bottom"/>
          </w:tcPr>
          <w:p>
            <w:pPr>
              <w:spacing w:after="0"/>
              <w:rPr>
                <w:sz w:val="22"/>
                <w:szCs w:val="22"/>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2.08</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Continuation and Conversion Option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42</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2.09</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42</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2.10</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Fees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43</w:t>
            </w:r>
          </w:p>
        </w:tc>
        <w:tc>
          <w:tcPr>
            <w:tcW w:w="40" w:type="dxa"/>
            <w:vAlign w:val="bottom"/>
          </w:tcPr>
          <w:p>
            <w:pPr>
              <w:spacing w:after="0"/>
              <w:rPr>
                <w:sz w:val="24"/>
                <w:szCs w:val="24"/>
                <w:color w:val="auto"/>
              </w:rPr>
            </w:pPr>
          </w:p>
        </w:tc>
      </w:tr>
      <w:tr>
        <w:trPr>
          <w:trHeight w:val="277"/>
        </w:trPr>
        <w:tc>
          <w:tcPr>
            <w:tcW w:w="140" w:type="dxa"/>
            <w:vAlign w:val="bottom"/>
          </w:tcPr>
          <w:p>
            <w:pPr>
              <w:spacing w:after="0"/>
              <w:rPr>
                <w:sz w:val="24"/>
                <w:szCs w:val="24"/>
                <w:color w:val="auto"/>
              </w:rPr>
            </w:pPr>
          </w:p>
        </w:tc>
        <w:tc>
          <w:tcPr>
            <w:tcW w:w="10840" w:type="dxa"/>
            <w:vAlign w:val="bottom"/>
            <w:gridSpan w:val="6"/>
          </w:tcPr>
          <w:p>
            <w:pPr>
              <w:spacing w:after="0"/>
              <w:rPr>
                <w:sz w:val="20"/>
                <w:szCs w:val="20"/>
                <w:color w:val="auto"/>
              </w:rPr>
            </w:pPr>
            <w:r>
              <w:rPr>
                <w:rFonts w:ascii="Arial" w:cs="Arial" w:eastAsia="Arial" w:hAnsi="Arial"/>
                <w:sz w:val="18"/>
                <w:szCs w:val="18"/>
                <w:color w:val="auto"/>
              </w:rPr>
              <w:t>2.11   Computation of Interest and Fees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43</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2.12</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Making Payments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43</w:t>
            </w:r>
          </w:p>
        </w:tc>
        <w:tc>
          <w:tcPr>
            <w:tcW w:w="40" w:type="dxa"/>
            <w:vAlign w:val="bottom"/>
          </w:tcPr>
          <w:p>
            <w:pPr>
              <w:spacing w:after="0"/>
              <w:rPr>
                <w:sz w:val="24"/>
                <w:szCs w:val="24"/>
                <w:color w:val="auto"/>
              </w:rPr>
            </w:pPr>
          </w:p>
        </w:tc>
      </w:tr>
      <w:tr>
        <w:trPr>
          <w:trHeight w:val="318"/>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2.13</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Funding Sources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2.14</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Defaulting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r>
      <w:tr>
        <w:trPr>
          <w:trHeight w:val="25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2.15</w:t>
            </w: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Currency Equivalents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46</w:t>
            </w:r>
          </w:p>
        </w:tc>
        <w:tc>
          <w:tcPr>
            <w:tcW w:w="40" w:type="dxa"/>
            <w:vAlign w:val="bottom"/>
          </w:tcPr>
          <w:p>
            <w:pPr>
              <w:spacing w:after="0"/>
              <w:rPr>
                <w:sz w:val="22"/>
                <w:szCs w:val="22"/>
                <w:color w:val="auto"/>
              </w:rPr>
            </w:pPr>
          </w:p>
        </w:tc>
      </w:tr>
      <w:tr>
        <w:trPr>
          <w:trHeight w:val="318"/>
        </w:trPr>
        <w:tc>
          <w:tcPr>
            <w:tcW w:w="10980" w:type="dxa"/>
            <w:vAlign w:val="bottom"/>
            <w:gridSpan w:val="7"/>
          </w:tcPr>
          <w:p>
            <w:pPr>
              <w:spacing w:after="0"/>
              <w:rPr>
                <w:sz w:val="20"/>
                <w:szCs w:val="20"/>
                <w:color w:val="auto"/>
              </w:rPr>
            </w:pPr>
            <w:r>
              <w:rPr>
                <w:rFonts w:ascii="Arial" w:cs="Arial" w:eastAsia="Arial" w:hAnsi="Arial"/>
                <w:sz w:val="18"/>
                <w:szCs w:val="18"/>
                <w:color w:val="auto"/>
              </w:rPr>
              <w:t>SECTION 3 TAXES, YIELD PROTECTION AND ILLEGALITY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r>
      <w:tr>
        <w:trPr>
          <w:trHeight w:val="29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3.01</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Taxes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r>
      <w:tr>
        <w:trPr>
          <w:trHeight w:val="25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3.02</w:t>
            </w: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Illegality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48</w:t>
            </w:r>
          </w:p>
        </w:tc>
        <w:tc>
          <w:tcPr>
            <w:tcW w:w="40" w:type="dxa"/>
            <w:vAlign w:val="bottom"/>
          </w:tcPr>
          <w:p>
            <w:pPr>
              <w:spacing w:after="0"/>
              <w:rPr>
                <w:sz w:val="22"/>
                <w:szCs w:val="22"/>
                <w:color w:val="auto"/>
              </w:rPr>
            </w:pPr>
          </w:p>
        </w:tc>
      </w:tr>
      <w:tr>
        <w:trPr>
          <w:trHeight w:val="318"/>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3.03</w:t>
            </w:r>
          </w:p>
        </w:tc>
        <w:tc>
          <w:tcPr>
            <w:tcW w:w="26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FF0000"/>
                <w:strike w:val="1"/>
                <w:w w:val="92"/>
              </w:rPr>
              <w:t>Inability to Determine Eurodollar Rates</w:t>
            </w: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47</w:t>
            </w:r>
          </w:p>
        </w:tc>
        <w:tc>
          <w:tcPr>
            <w:tcW w:w="40" w:type="dxa"/>
            <w:vAlign w:val="bottom"/>
          </w:tcPr>
          <w:p>
            <w:pPr>
              <w:spacing w:after="0"/>
              <w:rPr>
                <w:sz w:val="24"/>
                <w:szCs w:val="24"/>
                <w:color w:val="auto"/>
              </w:rPr>
            </w:pPr>
          </w:p>
        </w:tc>
      </w:tr>
      <w:tr>
        <w:trPr>
          <w:trHeight w:val="257"/>
        </w:trPr>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0000FF"/>
              </w:rPr>
              <w:t>Alternate Rate of Interest.</w:t>
            </w:r>
          </w:p>
        </w:tc>
        <w:tc>
          <w:tcPr>
            <w:tcW w:w="360" w:type="dxa"/>
            <w:vAlign w:val="bottom"/>
            <w:gridSpan w:val="2"/>
          </w:tcPr>
          <w:p>
            <w:pPr>
              <w:jc w:val="right"/>
              <w:spacing w:after="0"/>
              <w:rPr>
                <w:sz w:val="20"/>
                <w:szCs w:val="20"/>
                <w:color w:val="auto"/>
              </w:rPr>
            </w:pPr>
            <w:r>
              <w:rPr>
                <w:rFonts w:ascii="Arial" w:cs="Arial" w:eastAsia="Arial" w:hAnsi="Arial"/>
                <w:sz w:val="18"/>
                <w:szCs w:val="18"/>
                <w:color w:val="0000FF"/>
              </w:rPr>
              <w:t>48</w:t>
            </w:r>
          </w:p>
        </w:tc>
        <w:tc>
          <w:tcPr>
            <w:tcW w:w="40" w:type="dxa"/>
            <w:vAlign w:val="bottom"/>
          </w:tcPr>
          <w:p>
            <w:pPr>
              <w:spacing w:after="0"/>
              <w:rPr>
                <w:sz w:val="22"/>
                <w:szCs w:val="22"/>
                <w:color w:val="auto"/>
              </w:rPr>
            </w:pPr>
          </w:p>
        </w:tc>
      </w:tr>
      <w:tr>
        <w:trPr>
          <w:trHeight w:val="20"/>
        </w:trPr>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3.04</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Increased Cost and Reduced Return; Capital Adequacy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3.05</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Breakfunding Costs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3.06</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Matters Applicable to all Requests for Compensation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3.07</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Survival</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40" w:type="dxa"/>
            <w:vAlign w:val="bottom"/>
          </w:tcPr>
          <w:p>
            <w:pPr>
              <w:spacing w:after="0"/>
              <w:rPr>
                <w:sz w:val="24"/>
                <w:szCs w:val="24"/>
                <w:color w:val="auto"/>
              </w:rPr>
            </w:pPr>
          </w:p>
        </w:tc>
      </w:tr>
      <w:tr>
        <w:trPr>
          <w:trHeight w:val="277"/>
        </w:trPr>
        <w:tc>
          <w:tcPr>
            <w:tcW w:w="10980" w:type="dxa"/>
            <w:vAlign w:val="bottom"/>
            <w:gridSpan w:val="7"/>
          </w:tcPr>
          <w:p>
            <w:pPr>
              <w:spacing w:after="0"/>
              <w:rPr>
                <w:sz w:val="20"/>
                <w:szCs w:val="20"/>
                <w:color w:val="auto"/>
              </w:rPr>
            </w:pPr>
            <w:r>
              <w:rPr>
                <w:rFonts w:ascii="Arial" w:cs="Arial" w:eastAsia="Arial" w:hAnsi="Arial"/>
                <w:sz w:val="18"/>
                <w:szCs w:val="18"/>
                <w:color w:val="auto"/>
              </w:rPr>
              <w:t>SECTION 4 CONDITIONS PRECEDENT TO EXTENSIONS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40" w:type="dxa"/>
            <w:vAlign w:val="bottom"/>
          </w:tcPr>
          <w:p>
            <w:pPr>
              <w:spacing w:after="0"/>
              <w:rPr>
                <w:sz w:val="24"/>
                <w:szCs w:val="24"/>
                <w:color w:val="auto"/>
              </w:rPr>
            </w:pPr>
          </w:p>
        </w:tc>
      </w:tr>
      <w:tr>
        <w:trPr>
          <w:trHeight w:val="277"/>
        </w:trPr>
        <w:tc>
          <w:tcPr>
            <w:tcW w:w="440" w:type="dxa"/>
            <w:vAlign w:val="bottom"/>
            <w:gridSpan w:val="2"/>
          </w:tcPr>
          <w:p>
            <w:pPr>
              <w:ind w:left="140"/>
              <w:spacing w:after="0"/>
              <w:rPr>
                <w:sz w:val="20"/>
                <w:szCs w:val="20"/>
                <w:color w:val="auto"/>
              </w:rPr>
            </w:pPr>
            <w:r>
              <w:rPr>
                <w:rFonts w:ascii="Arial" w:cs="Arial" w:eastAsia="Arial" w:hAnsi="Arial"/>
                <w:sz w:val="18"/>
                <w:szCs w:val="18"/>
                <w:color w:val="auto"/>
                <w:w w:val="79"/>
              </w:rPr>
              <w:t>4.01</w:t>
            </w:r>
          </w:p>
        </w:tc>
        <w:tc>
          <w:tcPr>
            <w:tcW w:w="26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rPr>
              <w:t>Conditions Precedent to Effective Date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40" w:type="dxa"/>
            <w:vAlign w:val="bottom"/>
          </w:tcPr>
          <w:p>
            <w:pPr>
              <w:spacing w:after="0"/>
              <w:rPr>
                <w:sz w:val="24"/>
                <w:szCs w:val="24"/>
                <w:color w:val="auto"/>
              </w:rPr>
            </w:pPr>
          </w:p>
        </w:tc>
      </w:tr>
    </w:tbl>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58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4.02</w:t>
            </w:r>
          </w:p>
        </w:tc>
        <w:tc>
          <w:tcPr>
            <w:tcW w:w="10400" w:type="dxa"/>
            <w:vAlign w:val="bottom"/>
          </w:tcPr>
          <w:p>
            <w:pPr>
              <w:ind w:left="120"/>
              <w:spacing w:after="0"/>
              <w:rPr>
                <w:sz w:val="20"/>
                <w:szCs w:val="20"/>
                <w:color w:val="auto"/>
              </w:rPr>
            </w:pPr>
            <w:r>
              <w:rPr>
                <w:rFonts w:ascii="Arial" w:cs="Arial" w:eastAsia="Arial" w:hAnsi="Arial"/>
                <w:sz w:val="18"/>
                <w:szCs w:val="18"/>
                <w:color w:val="auto"/>
              </w:rPr>
              <w:t>Conditions to Certain Extensions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53</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4.03</w:t>
            </w:r>
          </w:p>
        </w:tc>
        <w:tc>
          <w:tcPr>
            <w:tcW w:w="10400" w:type="dxa"/>
            <w:vAlign w:val="bottom"/>
          </w:tcPr>
          <w:p>
            <w:pPr>
              <w:ind w:left="120"/>
              <w:spacing w:after="0"/>
              <w:rPr>
                <w:sz w:val="20"/>
                <w:szCs w:val="20"/>
                <w:color w:val="auto"/>
              </w:rPr>
            </w:pPr>
            <w:r>
              <w:rPr>
                <w:rFonts w:ascii="Arial" w:cs="Arial" w:eastAsia="Arial" w:hAnsi="Arial"/>
                <w:sz w:val="18"/>
                <w:szCs w:val="18"/>
                <w:color w:val="auto"/>
              </w:rPr>
              <w:t>Conditions to Certain Funds Credit Extensions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10400" w:type="dxa"/>
            <w:vAlign w:val="bottom"/>
          </w:tcPr>
          <w:p>
            <w:pPr>
              <w:ind w:left="120"/>
              <w:spacing w:after="0"/>
              <w:rPr>
                <w:sz w:val="20"/>
                <w:szCs w:val="20"/>
                <w:color w:val="auto"/>
              </w:rPr>
            </w:pPr>
            <w:r>
              <w:rPr>
                <w:rFonts w:ascii="Arial" w:cs="Arial" w:eastAsia="Arial" w:hAnsi="Arial"/>
                <w:sz w:val="18"/>
                <w:szCs w:val="18"/>
                <w:color w:val="auto"/>
              </w:rPr>
              <w:t>Determinations Under Sections 4.01, 4.02 and 4.03</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4.05</w:t>
            </w:r>
          </w:p>
        </w:tc>
        <w:tc>
          <w:tcPr>
            <w:tcW w:w="10400" w:type="dxa"/>
            <w:vAlign w:val="bottom"/>
          </w:tcPr>
          <w:p>
            <w:pPr>
              <w:ind w:left="120"/>
              <w:spacing w:after="0"/>
              <w:rPr>
                <w:sz w:val="20"/>
                <w:szCs w:val="20"/>
                <w:color w:val="auto"/>
              </w:rPr>
            </w:pPr>
            <w:r>
              <w:rPr>
                <w:rFonts w:ascii="Arial" w:cs="Arial" w:eastAsia="Arial" w:hAnsi="Arial"/>
                <w:sz w:val="18"/>
                <w:szCs w:val="18"/>
                <w:color w:val="auto"/>
              </w:rPr>
              <w:t>Actions by Lenders During Certain Funds Period</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r>
      <w:tr>
        <w:trPr>
          <w:trHeight w:val="277"/>
        </w:trPr>
        <w:tc>
          <w:tcPr>
            <w:tcW w:w="1098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10400" w:type="dxa"/>
            <w:vAlign w:val="bottom"/>
          </w:tcPr>
          <w:p>
            <w:pPr>
              <w:ind w:left="120"/>
              <w:spacing w:after="0"/>
              <w:rPr>
                <w:sz w:val="20"/>
                <w:szCs w:val="20"/>
                <w:color w:val="auto"/>
              </w:rPr>
            </w:pPr>
            <w:r>
              <w:rPr>
                <w:rFonts w:ascii="Arial" w:cs="Arial" w:eastAsia="Arial" w:hAnsi="Arial"/>
                <w:sz w:val="18"/>
                <w:szCs w:val="18"/>
                <w:color w:val="auto"/>
              </w:rPr>
              <w:t>Existence and Qualification; Power; Compliance with Laws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10400" w:type="dxa"/>
            <w:vAlign w:val="bottom"/>
          </w:tcPr>
          <w:p>
            <w:pPr>
              <w:ind w:left="120"/>
              <w:spacing w:after="0"/>
              <w:rPr>
                <w:sz w:val="20"/>
                <w:szCs w:val="20"/>
                <w:color w:val="auto"/>
              </w:rPr>
            </w:pPr>
            <w:r>
              <w:rPr>
                <w:rFonts w:ascii="Arial" w:cs="Arial" w:eastAsia="Arial" w:hAnsi="Arial"/>
                <w:sz w:val="18"/>
                <w:szCs w:val="18"/>
                <w:color w:val="auto"/>
              </w:rPr>
              <w:t>Power; Authorization; Enforceable Obligations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5.03</w:t>
            </w:r>
          </w:p>
        </w:tc>
        <w:tc>
          <w:tcPr>
            <w:tcW w:w="10400" w:type="dxa"/>
            <w:vAlign w:val="bottom"/>
          </w:tcPr>
          <w:p>
            <w:pPr>
              <w:ind w:left="120"/>
              <w:spacing w:after="0"/>
              <w:rPr>
                <w:sz w:val="20"/>
                <w:szCs w:val="20"/>
                <w:color w:val="auto"/>
              </w:rPr>
            </w:pPr>
            <w:r>
              <w:rPr>
                <w:rFonts w:ascii="Arial" w:cs="Arial" w:eastAsia="Arial" w:hAnsi="Arial"/>
                <w:sz w:val="18"/>
                <w:szCs w:val="18"/>
                <w:color w:val="auto"/>
              </w:rPr>
              <w:t>No Legal Bar</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5.04</w:t>
            </w:r>
          </w:p>
        </w:tc>
        <w:tc>
          <w:tcPr>
            <w:tcW w:w="10400" w:type="dxa"/>
            <w:vAlign w:val="bottom"/>
          </w:tcPr>
          <w:p>
            <w:pPr>
              <w:ind w:left="120"/>
              <w:spacing w:after="0"/>
              <w:rPr>
                <w:sz w:val="20"/>
                <w:szCs w:val="20"/>
                <w:color w:val="auto"/>
              </w:rPr>
            </w:pPr>
            <w:r>
              <w:rPr>
                <w:rFonts w:ascii="Arial" w:cs="Arial" w:eastAsia="Arial" w:hAnsi="Arial"/>
                <w:sz w:val="18"/>
                <w:szCs w:val="18"/>
                <w:color w:val="auto"/>
              </w:rPr>
              <w:t>Financial Statements; No Material Adverse Effect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1040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5.06</w:t>
            </w:r>
          </w:p>
        </w:tc>
        <w:tc>
          <w:tcPr>
            <w:tcW w:w="104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5.07</w:t>
            </w:r>
          </w:p>
        </w:tc>
        <w:tc>
          <w:tcPr>
            <w:tcW w:w="1040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r>
      <w:tr>
        <w:trPr>
          <w:trHeight w:val="277"/>
        </w:trPr>
        <w:tc>
          <w:tcPr>
            <w:tcW w:w="1098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1040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10400" w:type="dxa"/>
            <w:vAlign w:val="bottom"/>
          </w:tcPr>
          <w:p>
            <w:pPr>
              <w:ind w:left="120"/>
              <w:spacing w:after="0"/>
              <w:rPr>
                <w:sz w:val="20"/>
                <w:szCs w:val="20"/>
                <w:color w:val="auto"/>
              </w:rPr>
            </w:pPr>
            <w:r>
              <w:rPr>
                <w:rFonts w:ascii="Arial" w:cs="Arial" w:eastAsia="Arial" w:hAnsi="Arial"/>
                <w:sz w:val="18"/>
                <w:szCs w:val="18"/>
                <w:color w:val="auto"/>
              </w:rPr>
              <w:t>Certificates, Notices and Other Information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6.03</w:t>
            </w:r>
          </w:p>
        </w:tc>
        <w:tc>
          <w:tcPr>
            <w:tcW w:w="10400" w:type="dxa"/>
            <w:vAlign w:val="bottom"/>
          </w:tcPr>
          <w:p>
            <w:pPr>
              <w:ind w:left="120"/>
              <w:spacing w:after="0"/>
              <w:rPr>
                <w:sz w:val="20"/>
                <w:szCs w:val="20"/>
                <w:color w:val="auto"/>
              </w:rPr>
            </w:pPr>
            <w:r>
              <w:rPr>
                <w:rFonts w:ascii="Arial" w:cs="Arial" w:eastAsia="Arial" w:hAnsi="Arial"/>
                <w:sz w:val="18"/>
                <w:szCs w:val="18"/>
                <w:color w:val="auto"/>
              </w:rPr>
              <w:t>Payment of Taxes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6.04</w:t>
            </w:r>
          </w:p>
        </w:tc>
        <w:tc>
          <w:tcPr>
            <w:tcW w:w="10400" w:type="dxa"/>
            <w:vAlign w:val="bottom"/>
          </w:tcPr>
          <w:p>
            <w:pPr>
              <w:ind w:left="120"/>
              <w:spacing w:after="0"/>
              <w:rPr>
                <w:sz w:val="20"/>
                <w:szCs w:val="20"/>
                <w:color w:val="auto"/>
              </w:rPr>
            </w:pPr>
            <w:r>
              <w:rPr>
                <w:rFonts w:ascii="Arial" w:cs="Arial" w:eastAsia="Arial" w:hAnsi="Arial"/>
                <w:sz w:val="18"/>
                <w:szCs w:val="18"/>
                <w:color w:val="auto"/>
              </w:rPr>
              <w:t>Preservation of Existence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1040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6.06</w:t>
            </w:r>
          </w:p>
        </w:tc>
        <w:tc>
          <w:tcPr>
            <w:tcW w:w="10400" w:type="dxa"/>
            <w:vAlign w:val="bottom"/>
          </w:tcPr>
          <w:p>
            <w:pPr>
              <w:ind w:left="120"/>
              <w:spacing w:after="0"/>
              <w:rPr>
                <w:sz w:val="20"/>
                <w:szCs w:val="20"/>
                <w:color w:val="auto"/>
              </w:rPr>
            </w:pPr>
            <w:r>
              <w:rPr>
                <w:rFonts w:ascii="Arial" w:cs="Arial" w:eastAsia="Arial" w:hAnsi="Arial"/>
                <w:sz w:val="18"/>
                <w:szCs w:val="18"/>
                <w:color w:val="auto"/>
              </w:rPr>
              <w:t>Inspection Rights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10400" w:type="dxa"/>
            <w:vAlign w:val="bottom"/>
          </w:tcPr>
          <w:p>
            <w:pPr>
              <w:ind w:left="120"/>
              <w:spacing w:after="0"/>
              <w:rPr>
                <w:sz w:val="20"/>
                <w:szCs w:val="20"/>
                <w:color w:val="auto"/>
              </w:rPr>
            </w:pPr>
            <w:r>
              <w:rPr>
                <w:rFonts w:ascii="Arial" w:cs="Arial" w:eastAsia="Arial" w:hAnsi="Arial"/>
                <w:sz w:val="18"/>
                <w:szCs w:val="18"/>
                <w:color w:val="auto"/>
              </w:rPr>
              <w:t>Keeping of Records and Books of Account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6.08</w:t>
            </w:r>
          </w:p>
        </w:tc>
        <w:tc>
          <w:tcPr>
            <w:tcW w:w="10400" w:type="dxa"/>
            <w:vAlign w:val="bottom"/>
          </w:tcPr>
          <w:p>
            <w:pPr>
              <w:ind w:left="120"/>
              <w:spacing w:after="0"/>
              <w:rPr>
                <w:sz w:val="20"/>
                <w:szCs w:val="20"/>
                <w:color w:val="auto"/>
              </w:rPr>
            </w:pPr>
            <w:r>
              <w:rPr>
                <w:rFonts w:ascii="Arial" w:cs="Arial" w:eastAsia="Arial" w:hAnsi="Arial"/>
                <w:sz w:val="18"/>
                <w:szCs w:val="18"/>
                <w:color w:val="auto"/>
              </w:rPr>
              <w:t>Designation of Unrestricted Subsidiaries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6.09</w:t>
            </w:r>
          </w:p>
        </w:tc>
        <w:tc>
          <w:tcPr>
            <w:tcW w:w="1040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10400" w:type="dxa"/>
            <w:vAlign w:val="bottom"/>
          </w:tcPr>
          <w:p>
            <w:pPr>
              <w:ind w:left="120"/>
              <w:spacing w:after="0"/>
              <w:rPr>
                <w:sz w:val="20"/>
                <w:szCs w:val="20"/>
                <w:color w:val="auto"/>
              </w:rPr>
            </w:pPr>
            <w:r>
              <w:rPr>
                <w:rFonts w:ascii="Arial" w:cs="Arial" w:eastAsia="Arial" w:hAnsi="Arial"/>
                <w:sz w:val="18"/>
                <w:szCs w:val="18"/>
                <w:color w:val="auto"/>
              </w:rPr>
              <w:t>Guarantors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r>
      <w:tr>
        <w:trPr>
          <w:trHeight w:val="277"/>
        </w:trPr>
        <w:tc>
          <w:tcPr>
            <w:tcW w:w="1098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7.01</w:t>
            </w:r>
          </w:p>
        </w:tc>
        <w:tc>
          <w:tcPr>
            <w:tcW w:w="10400" w:type="dxa"/>
            <w:vAlign w:val="bottom"/>
          </w:tcPr>
          <w:p>
            <w:pPr>
              <w:ind w:left="120"/>
              <w:spacing w:after="0"/>
              <w:rPr>
                <w:sz w:val="20"/>
                <w:szCs w:val="20"/>
                <w:color w:val="auto"/>
              </w:rPr>
            </w:pPr>
            <w:r>
              <w:rPr>
                <w:rFonts w:ascii="Arial" w:cs="Arial" w:eastAsia="Arial" w:hAnsi="Arial"/>
                <w:sz w:val="18"/>
                <w:szCs w:val="18"/>
                <w:color w:val="auto"/>
              </w:rPr>
              <w:t>Liens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10400" w:type="dxa"/>
            <w:vAlign w:val="bottom"/>
          </w:tcPr>
          <w:p>
            <w:pPr>
              <w:ind w:left="120"/>
              <w:spacing w:after="0"/>
              <w:rPr>
                <w:sz w:val="20"/>
                <w:szCs w:val="20"/>
                <w:color w:val="auto"/>
              </w:rPr>
            </w:pPr>
            <w:r>
              <w:rPr>
                <w:rFonts w:ascii="Arial" w:cs="Arial" w:eastAsia="Arial" w:hAnsi="Arial"/>
                <w:sz w:val="18"/>
                <w:szCs w:val="18"/>
                <w:color w:val="auto"/>
              </w:rPr>
              <w:t>Non-Guarantor Subsidiary Indebtedness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60</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1040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10400" w:type="dxa"/>
            <w:vAlign w:val="bottom"/>
          </w:tcPr>
          <w:p>
            <w:pPr>
              <w:ind w:left="120"/>
              <w:spacing w:after="0"/>
              <w:rPr>
                <w:sz w:val="20"/>
                <w:szCs w:val="20"/>
                <w:color w:val="auto"/>
              </w:rPr>
            </w:pPr>
            <w:r>
              <w:rPr>
                <w:rFonts w:ascii="Arial" w:cs="Arial" w:eastAsia="Arial" w:hAnsi="Arial"/>
                <w:sz w:val="18"/>
                <w:szCs w:val="18"/>
                <w:color w:val="auto"/>
              </w:rPr>
              <w:t>ERISA</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7.05</w:t>
            </w:r>
          </w:p>
        </w:tc>
        <w:tc>
          <w:tcPr>
            <w:tcW w:w="1040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10400" w:type="dxa"/>
            <w:vAlign w:val="bottom"/>
          </w:tcPr>
          <w:p>
            <w:pPr>
              <w:ind w:left="120"/>
              <w:spacing w:after="0"/>
              <w:rPr>
                <w:sz w:val="20"/>
                <w:szCs w:val="20"/>
                <w:color w:val="auto"/>
              </w:rPr>
            </w:pPr>
            <w:r>
              <w:rPr>
                <w:rFonts w:ascii="Arial" w:cs="Arial" w:eastAsia="Arial" w:hAnsi="Arial"/>
                <w:sz w:val="18"/>
                <w:szCs w:val="18"/>
                <w:color w:val="auto"/>
              </w:rPr>
              <w:t>Financial Covenant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277"/>
        </w:trPr>
        <w:tc>
          <w:tcPr>
            <w:tcW w:w="1098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8.01</w:t>
            </w:r>
          </w:p>
        </w:tc>
        <w:tc>
          <w:tcPr>
            <w:tcW w:w="1040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8.02</w:t>
            </w:r>
          </w:p>
        </w:tc>
        <w:tc>
          <w:tcPr>
            <w:tcW w:w="1040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8.03</w:t>
            </w:r>
          </w:p>
        </w:tc>
        <w:tc>
          <w:tcPr>
            <w:tcW w:w="10400" w:type="dxa"/>
            <w:vAlign w:val="bottom"/>
          </w:tcPr>
          <w:p>
            <w:pPr>
              <w:ind w:left="120"/>
              <w:spacing w:after="0"/>
              <w:rPr>
                <w:sz w:val="20"/>
                <w:szCs w:val="20"/>
                <w:color w:val="auto"/>
              </w:rPr>
            </w:pPr>
            <w:r>
              <w:rPr>
                <w:rFonts w:ascii="Arial" w:cs="Arial" w:eastAsia="Arial" w:hAnsi="Arial"/>
                <w:sz w:val="18"/>
                <w:szCs w:val="18"/>
                <w:color w:val="auto"/>
              </w:rPr>
              <w:t>Clean-Up Period</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r>
      <w:tr>
        <w:trPr>
          <w:trHeight w:val="277"/>
        </w:trPr>
        <w:tc>
          <w:tcPr>
            <w:tcW w:w="1098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77"/>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9.01</w:t>
            </w:r>
          </w:p>
        </w:tc>
        <w:tc>
          <w:tcPr>
            <w:tcW w:w="1040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bl>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608" w:right="2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20" w:type="dxa"/>
            <w:vAlign w:val="bottom"/>
          </w:tcPr>
          <w:p>
            <w:pPr>
              <w:ind w:left="140"/>
              <w:spacing w:after="0"/>
              <w:rPr>
                <w:sz w:val="20"/>
                <w:szCs w:val="20"/>
                <w:color w:val="auto"/>
              </w:rPr>
            </w:pPr>
            <w:r>
              <w:rPr>
                <w:rFonts w:ascii="Arial" w:cs="Arial" w:eastAsia="Arial" w:hAnsi="Arial"/>
                <w:sz w:val="18"/>
                <w:szCs w:val="18"/>
                <w:color w:val="auto"/>
              </w:rPr>
              <w:t>9.02</w:t>
            </w:r>
          </w:p>
        </w:tc>
        <w:tc>
          <w:tcPr>
            <w:tcW w:w="10360" w:type="dxa"/>
            <w:vAlign w:val="bottom"/>
          </w:tcPr>
          <w:p>
            <w:pPr>
              <w:ind w:left="80"/>
              <w:spacing w:after="0"/>
              <w:rPr>
                <w:sz w:val="20"/>
                <w:szCs w:val="20"/>
                <w:color w:val="auto"/>
              </w:rPr>
            </w:pPr>
            <w:r>
              <w:rPr>
                <w:rFonts w:ascii="Arial" w:cs="Arial" w:eastAsia="Arial" w:hAnsi="Arial"/>
                <w:sz w:val="18"/>
                <w:szCs w:val="18"/>
                <w:color w:val="auto"/>
              </w:rPr>
              <w:t>Delegation of Duties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9.03</w:t>
            </w:r>
          </w:p>
        </w:tc>
        <w:tc>
          <w:tcPr>
            <w:tcW w:w="10360" w:type="dxa"/>
            <w:vAlign w:val="bottom"/>
          </w:tcPr>
          <w:p>
            <w:pPr>
              <w:ind w:left="80"/>
              <w:spacing w:after="0"/>
              <w:rPr>
                <w:sz w:val="20"/>
                <w:szCs w:val="20"/>
                <w:color w:val="auto"/>
              </w:rPr>
            </w:pPr>
            <w:r>
              <w:rPr>
                <w:rFonts w:ascii="Arial" w:cs="Arial" w:eastAsia="Arial" w:hAnsi="Arial"/>
                <w:sz w:val="18"/>
                <w:szCs w:val="18"/>
                <w:color w:val="auto"/>
              </w:rPr>
              <w:t>Exculpatory Provisions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9.04</w:t>
            </w:r>
          </w:p>
        </w:tc>
        <w:tc>
          <w:tcPr>
            <w:tcW w:w="10360" w:type="dxa"/>
            <w:vAlign w:val="bottom"/>
          </w:tcPr>
          <w:p>
            <w:pPr>
              <w:ind w:left="80"/>
              <w:spacing w:after="0"/>
              <w:rPr>
                <w:sz w:val="20"/>
                <w:szCs w:val="20"/>
                <w:color w:val="auto"/>
              </w:rPr>
            </w:pPr>
            <w:r>
              <w:rPr>
                <w:rFonts w:ascii="Arial" w:cs="Arial" w:eastAsia="Arial" w:hAnsi="Arial"/>
                <w:sz w:val="18"/>
                <w:szCs w:val="18"/>
                <w:color w:val="auto"/>
              </w:rPr>
              <w:t>Reliance by Administrative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9.05</w:t>
            </w:r>
          </w:p>
        </w:tc>
        <w:tc>
          <w:tcPr>
            <w:tcW w:w="10360" w:type="dxa"/>
            <w:vAlign w:val="bottom"/>
          </w:tcPr>
          <w:p>
            <w:pPr>
              <w:ind w:left="80"/>
              <w:spacing w:after="0"/>
              <w:rPr>
                <w:sz w:val="20"/>
                <w:szCs w:val="20"/>
                <w:color w:val="auto"/>
              </w:rPr>
            </w:pPr>
            <w:r>
              <w:rPr>
                <w:rFonts w:ascii="Arial" w:cs="Arial" w:eastAsia="Arial" w:hAnsi="Arial"/>
                <w:sz w:val="18"/>
                <w:szCs w:val="18"/>
                <w:color w:val="auto"/>
              </w:rPr>
              <w:t>Notice of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9.06</w:t>
            </w:r>
          </w:p>
        </w:tc>
        <w:tc>
          <w:tcPr>
            <w:tcW w:w="10360" w:type="dxa"/>
            <w:vAlign w:val="bottom"/>
          </w:tcPr>
          <w:p>
            <w:pPr>
              <w:ind w:left="80"/>
              <w:spacing w:after="0"/>
              <w:rPr>
                <w:sz w:val="20"/>
                <w:szCs w:val="20"/>
                <w:color w:val="auto"/>
              </w:rPr>
            </w:pPr>
            <w:r>
              <w:rPr>
                <w:rFonts w:ascii="Arial" w:cs="Arial" w:eastAsia="Arial" w:hAnsi="Arial"/>
                <w:sz w:val="18"/>
                <w:szCs w:val="18"/>
                <w:color w:val="auto"/>
              </w:rPr>
              <w:t>Non-Reliance on Agents and Other Lenders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9.07</w:t>
            </w:r>
          </w:p>
        </w:tc>
        <w:tc>
          <w:tcPr>
            <w:tcW w:w="1036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9.08</w:t>
            </w:r>
          </w:p>
        </w:tc>
        <w:tc>
          <w:tcPr>
            <w:tcW w:w="10360" w:type="dxa"/>
            <w:vAlign w:val="bottom"/>
          </w:tcPr>
          <w:p>
            <w:pPr>
              <w:ind w:left="80"/>
              <w:spacing w:after="0"/>
              <w:rPr>
                <w:sz w:val="20"/>
                <w:szCs w:val="20"/>
                <w:color w:val="auto"/>
              </w:rPr>
            </w:pPr>
            <w:r>
              <w:rPr>
                <w:rFonts w:ascii="Arial" w:cs="Arial" w:eastAsia="Arial" w:hAnsi="Arial"/>
                <w:sz w:val="18"/>
                <w:szCs w:val="18"/>
                <w:color w:val="auto"/>
              </w:rPr>
              <w:t>Agent in Its Individual Capacity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9.09</w:t>
            </w:r>
          </w:p>
        </w:tc>
        <w:tc>
          <w:tcPr>
            <w:tcW w:w="10360" w:type="dxa"/>
            <w:vAlign w:val="bottom"/>
          </w:tcPr>
          <w:p>
            <w:pPr>
              <w:ind w:left="80"/>
              <w:spacing w:after="0"/>
              <w:rPr>
                <w:sz w:val="20"/>
                <w:szCs w:val="20"/>
                <w:color w:val="auto"/>
              </w:rPr>
            </w:pPr>
            <w:r>
              <w:rPr>
                <w:rFonts w:ascii="Arial" w:cs="Arial" w:eastAsia="Arial" w:hAnsi="Arial"/>
                <w:sz w:val="18"/>
                <w:szCs w:val="18"/>
                <w:color w:val="auto"/>
              </w:rPr>
              <w:t>Successor Administrative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9.10</w:t>
            </w:r>
          </w:p>
        </w:tc>
        <w:tc>
          <w:tcPr>
            <w:tcW w:w="10360" w:type="dxa"/>
            <w:vAlign w:val="bottom"/>
          </w:tcPr>
          <w:p>
            <w:pPr>
              <w:ind w:left="80"/>
              <w:spacing w:after="0"/>
              <w:rPr>
                <w:sz w:val="20"/>
                <w:szCs w:val="20"/>
                <w:color w:val="auto"/>
              </w:rPr>
            </w:pPr>
            <w:r>
              <w:rPr>
                <w:rFonts w:ascii="Arial" w:cs="Arial" w:eastAsia="Arial" w:hAnsi="Arial"/>
                <w:sz w:val="18"/>
                <w:szCs w:val="18"/>
                <w:color w:val="auto"/>
              </w:rPr>
              <w:t>Co-Documentation Agents and Syndication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9.11</w:t>
            </w:r>
          </w:p>
        </w:tc>
        <w:tc>
          <w:tcPr>
            <w:tcW w:w="10360" w:type="dxa"/>
            <w:vAlign w:val="bottom"/>
          </w:tcPr>
          <w:p>
            <w:pPr>
              <w:ind w:left="80"/>
              <w:spacing w:after="0"/>
              <w:rPr>
                <w:sz w:val="20"/>
                <w:szCs w:val="20"/>
                <w:color w:val="auto"/>
              </w:rPr>
            </w:pPr>
            <w:r>
              <w:rPr>
                <w:rFonts w:ascii="Arial" w:cs="Arial" w:eastAsia="Arial" w:hAnsi="Arial"/>
                <w:sz w:val="18"/>
                <w:szCs w:val="18"/>
                <w:color w:val="auto"/>
              </w:rPr>
              <w:t>Certain ERISA Matters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68</w:t>
            </w:r>
          </w:p>
        </w:tc>
      </w:tr>
      <w:tr>
        <w:trPr>
          <w:trHeight w:val="277"/>
        </w:trPr>
        <w:tc>
          <w:tcPr>
            <w:tcW w:w="1098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70</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10.01</w:t>
            </w:r>
          </w:p>
        </w:tc>
        <w:tc>
          <w:tcPr>
            <w:tcW w:w="10360" w:type="dxa"/>
            <w:vAlign w:val="bottom"/>
          </w:tcPr>
          <w:p>
            <w:pPr>
              <w:ind w:left="80"/>
              <w:spacing w:after="0"/>
              <w:rPr>
                <w:sz w:val="20"/>
                <w:szCs w:val="20"/>
                <w:color w:val="auto"/>
              </w:rPr>
            </w:pPr>
            <w:r>
              <w:rPr>
                <w:rFonts w:ascii="Arial" w:cs="Arial" w:eastAsia="Arial" w:hAnsi="Arial"/>
                <w:sz w:val="18"/>
                <w:szCs w:val="18"/>
                <w:color w:val="auto"/>
              </w:rPr>
              <w:t>Amendments; Consents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70</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10.02</w:t>
            </w:r>
          </w:p>
        </w:tc>
        <w:tc>
          <w:tcPr>
            <w:tcW w:w="10360" w:type="dxa"/>
            <w:vAlign w:val="bottom"/>
          </w:tcPr>
          <w:p>
            <w:pPr>
              <w:ind w:left="80"/>
              <w:spacing w:after="0"/>
              <w:rPr>
                <w:sz w:val="20"/>
                <w:szCs w:val="20"/>
                <w:color w:val="auto"/>
              </w:rPr>
            </w:pPr>
            <w:r>
              <w:rPr>
                <w:rFonts w:ascii="Arial" w:cs="Arial" w:eastAsia="Arial" w:hAnsi="Arial"/>
                <w:sz w:val="18"/>
                <w:szCs w:val="18"/>
                <w:color w:val="auto"/>
              </w:rPr>
              <w:t>Requisite Notice; Electronic Communications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10.03</w:t>
            </w:r>
          </w:p>
        </w:tc>
        <w:tc>
          <w:tcPr>
            <w:tcW w:w="10360" w:type="dxa"/>
            <w:vAlign w:val="bottom"/>
          </w:tcPr>
          <w:p>
            <w:pPr>
              <w:ind w:left="80"/>
              <w:spacing w:after="0"/>
              <w:rPr>
                <w:sz w:val="20"/>
                <w:szCs w:val="20"/>
                <w:color w:val="auto"/>
              </w:rPr>
            </w:pPr>
            <w:r>
              <w:rPr>
                <w:rFonts w:ascii="Arial" w:cs="Arial" w:eastAsia="Arial" w:hAnsi="Arial"/>
                <w:sz w:val="18"/>
                <w:szCs w:val="18"/>
                <w:color w:val="auto"/>
              </w:rPr>
              <w:t>Attorney Costs and Expenses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73</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10.04</w:t>
            </w:r>
          </w:p>
        </w:tc>
        <w:tc>
          <w:tcPr>
            <w:tcW w:w="10360" w:type="dxa"/>
            <w:vAlign w:val="bottom"/>
          </w:tcPr>
          <w:p>
            <w:pPr>
              <w:ind w:left="80"/>
              <w:spacing w:after="0"/>
              <w:rPr>
                <w:sz w:val="20"/>
                <w:szCs w:val="20"/>
                <w:color w:val="auto"/>
              </w:rPr>
            </w:pPr>
            <w:r>
              <w:rPr>
                <w:rFonts w:ascii="Arial" w:cs="Arial" w:eastAsia="Arial" w:hAnsi="Arial"/>
                <w:sz w:val="18"/>
                <w:szCs w:val="18"/>
                <w:color w:val="auto"/>
              </w:rPr>
              <w:t>Binding Effect; Assignment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73</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10.05</w:t>
            </w:r>
          </w:p>
        </w:tc>
        <w:tc>
          <w:tcPr>
            <w:tcW w:w="10360" w:type="dxa"/>
            <w:vAlign w:val="bottom"/>
          </w:tcPr>
          <w:p>
            <w:pPr>
              <w:ind w:left="80"/>
              <w:spacing w:after="0"/>
              <w:rPr>
                <w:sz w:val="20"/>
                <w:szCs w:val="20"/>
                <w:color w:val="auto"/>
              </w:rPr>
            </w:pPr>
            <w:r>
              <w:rPr>
                <w:rFonts w:ascii="Arial" w:cs="Arial" w:eastAsia="Arial" w:hAnsi="Arial"/>
                <w:sz w:val="18"/>
                <w:szCs w:val="18"/>
                <w:color w:val="auto"/>
              </w:rPr>
              <w:t>Set-off</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10.06</w:t>
            </w:r>
          </w:p>
        </w:tc>
        <w:tc>
          <w:tcPr>
            <w:tcW w:w="10360" w:type="dxa"/>
            <w:vAlign w:val="bottom"/>
          </w:tcPr>
          <w:p>
            <w:pPr>
              <w:ind w:left="80"/>
              <w:spacing w:after="0"/>
              <w:rPr>
                <w:sz w:val="20"/>
                <w:szCs w:val="20"/>
                <w:color w:val="auto"/>
              </w:rPr>
            </w:pPr>
            <w:r>
              <w:rPr>
                <w:rFonts w:ascii="Arial" w:cs="Arial" w:eastAsia="Arial" w:hAnsi="Arial"/>
                <w:sz w:val="18"/>
                <w:szCs w:val="18"/>
                <w:color w:val="auto"/>
              </w:rPr>
              <w:t>Sharing of Payments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10.07</w:t>
            </w:r>
          </w:p>
        </w:tc>
        <w:tc>
          <w:tcPr>
            <w:tcW w:w="10360" w:type="dxa"/>
            <w:vAlign w:val="bottom"/>
          </w:tcPr>
          <w:p>
            <w:pPr>
              <w:ind w:left="80"/>
              <w:spacing w:after="0"/>
              <w:rPr>
                <w:sz w:val="20"/>
                <w:szCs w:val="20"/>
                <w:color w:val="auto"/>
              </w:rPr>
            </w:pPr>
            <w:r>
              <w:rPr>
                <w:rFonts w:ascii="Arial" w:cs="Arial" w:eastAsia="Arial" w:hAnsi="Arial"/>
                <w:sz w:val="18"/>
                <w:szCs w:val="18"/>
                <w:color w:val="auto"/>
              </w:rPr>
              <w:t>No Waiver; Cumulative Remedies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10.08</w:t>
            </w:r>
          </w:p>
        </w:tc>
        <w:tc>
          <w:tcPr>
            <w:tcW w:w="10360" w:type="dxa"/>
            <w:vAlign w:val="bottom"/>
          </w:tcPr>
          <w:p>
            <w:pPr>
              <w:ind w:left="80"/>
              <w:spacing w:after="0"/>
              <w:rPr>
                <w:sz w:val="20"/>
                <w:szCs w:val="20"/>
                <w:color w:val="auto"/>
              </w:rPr>
            </w:pPr>
            <w:r>
              <w:rPr>
                <w:rFonts w:ascii="Arial" w:cs="Arial" w:eastAsia="Arial" w:hAnsi="Arial"/>
                <w:sz w:val="18"/>
                <w:szCs w:val="18"/>
                <w:color w:val="auto"/>
              </w:rPr>
              <w:t>Usury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10.09</w:t>
            </w:r>
          </w:p>
        </w:tc>
        <w:tc>
          <w:tcPr>
            <w:tcW w:w="103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10.10</w:t>
            </w:r>
          </w:p>
        </w:tc>
        <w:tc>
          <w:tcPr>
            <w:tcW w:w="1036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10.11</w:t>
            </w:r>
          </w:p>
        </w:tc>
        <w:tc>
          <w:tcPr>
            <w:tcW w:w="10360" w:type="dxa"/>
            <w:vAlign w:val="bottom"/>
          </w:tcPr>
          <w:p>
            <w:pPr>
              <w:ind w:left="80"/>
              <w:spacing w:after="0"/>
              <w:rPr>
                <w:sz w:val="20"/>
                <w:szCs w:val="20"/>
                <w:color w:val="auto"/>
              </w:rPr>
            </w:pPr>
            <w:r>
              <w:rPr>
                <w:rFonts w:ascii="Arial" w:cs="Arial" w:eastAsia="Arial" w:hAnsi="Arial"/>
                <w:sz w:val="18"/>
                <w:szCs w:val="18"/>
                <w:color w:val="auto"/>
              </w:rPr>
              <w:t>Nature of Lenders’ Obligations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10.12</w:t>
            </w:r>
          </w:p>
        </w:tc>
        <w:tc>
          <w:tcPr>
            <w:tcW w:w="10360" w:type="dxa"/>
            <w:vAlign w:val="bottom"/>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10.13</w:t>
            </w:r>
          </w:p>
        </w:tc>
        <w:tc>
          <w:tcPr>
            <w:tcW w:w="10360" w:type="dxa"/>
            <w:vAlign w:val="bottom"/>
          </w:tcPr>
          <w:p>
            <w:pPr>
              <w:ind w:left="80"/>
              <w:spacing w:after="0"/>
              <w:rPr>
                <w:sz w:val="20"/>
                <w:szCs w:val="20"/>
                <w:color w:val="auto"/>
              </w:rPr>
            </w:pPr>
            <w:r>
              <w:rPr>
                <w:rFonts w:ascii="Arial" w:cs="Arial" w:eastAsia="Arial" w:hAnsi="Arial"/>
                <w:sz w:val="18"/>
                <w:szCs w:val="18"/>
                <w:color w:val="auto"/>
              </w:rPr>
              <w:t>Indemnity by Borrower</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10.14</w:t>
            </w:r>
          </w:p>
        </w:tc>
        <w:tc>
          <w:tcPr>
            <w:tcW w:w="10360" w:type="dxa"/>
            <w:vAlign w:val="bottom"/>
          </w:tcPr>
          <w:p>
            <w:pPr>
              <w:ind w:left="80"/>
              <w:spacing w:after="0"/>
              <w:rPr>
                <w:sz w:val="20"/>
                <w:szCs w:val="20"/>
                <w:color w:val="auto"/>
              </w:rPr>
            </w:pPr>
            <w:r>
              <w:rPr>
                <w:rFonts w:ascii="Arial" w:cs="Arial" w:eastAsia="Arial" w:hAnsi="Arial"/>
                <w:sz w:val="18"/>
                <w:szCs w:val="18"/>
                <w:color w:val="auto"/>
              </w:rPr>
              <w:t>Nonliability of Lenders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78</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10.15</w:t>
            </w:r>
          </w:p>
        </w:tc>
        <w:tc>
          <w:tcPr>
            <w:tcW w:w="10360" w:type="dxa"/>
            <w:vAlign w:val="bottom"/>
          </w:tcPr>
          <w:p>
            <w:pPr>
              <w:ind w:left="80"/>
              <w:spacing w:after="0"/>
              <w:rPr>
                <w:sz w:val="20"/>
                <w:szCs w:val="20"/>
                <w:color w:val="auto"/>
              </w:rPr>
            </w:pPr>
            <w:r>
              <w:rPr>
                <w:rFonts w:ascii="Arial" w:cs="Arial" w:eastAsia="Arial" w:hAnsi="Arial"/>
                <w:sz w:val="18"/>
                <w:szCs w:val="18"/>
                <w:color w:val="auto"/>
              </w:rPr>
              <w:t>No Third Parties Benefitted</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79</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10.16</w:t>
            </w:r>
          </w:p>
        </w:tc>
        <w:tc>
          <w:tcPr>
            <w:tcW w:w="103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79</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10.17</w:t>
            </w:r>
          </w:p>
        </w:tc>
        <w:tc>
          <w:tcPr>
            <w:tcW w:w="1036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79</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10.18</w:t>
            </w:r>
          </w:p>
        </w:tc>
        <w:tc>
          <w:tcPr>
            <w:tcW w:w="10360" w:type="dxa"/>
            <w:vAlign w:val="bottom"/>
          </w:tcPr>
          <w:p>
            <w:pPr>
              <w:ind w:left="80"/>
              <w:spacing w:after="0"/>
              <w:rPr>
                <w:sz w:val="20"/>
                <w:szCs w:val="20"/>
                <w:color w:val="auto"/>
              </w:rPr>
            </w:pPr>
            <w:r>
              <w:rPr>
                <w:rFonts w:ascii="Arial" w:cs="Arial" w:eastAsia="Arial" w:hAnsi="Arial"/>
                <w:sz w:val="18"/>
                <w:szCs w:val="18"/>
                <w:color w:val="auto"/>
              </w:rPr>
              <w:t>Headings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80</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10.19</w:t>
            </w:r>
          </w:p>
        </w:tc>
        <w:tc>
          <w:tcPr>
            <w:tcW w:w="10360" w:type="dxa"/>
            <w:vAlign w:val="bottom"/>
          </w:tcPr>
          <w:p>
            <w:pPr>
              <w:ind w:left="80"/>
              <w:spacing w:after="0"/>
              <w:rPr>
                <w:sz w:val="20"/>
                <w:szCs w:val="20"/>
                <w:color w:val="auto"/>
              </w:rPr>
            </w:pPr>
            <w:r>
              <w:rPr>
                <w:rFonts w:ascii="Arial" w:cs="Arial" w:eastAsia="Arial" w:hAnsi="Arial"/>
                <w:sz w:val="18"/>
                <w:szCs w:val="18"/>
                <w:color w:val="auto"/>
              </w:rPr>
              <w:t>Time of the Essence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80</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10.20</w:t>
            </w:r>
          </w:p>
        </w:tc>
        <w:tc>
          <w:tcPr>
            <w:tcW w:w="10360" w:type="dxa"/>
            <w:vAlign w:val="bottom"/>
          </w:tcPr>
          <w:p>
            <w:pPr>
              <w:ind w:left="80"/>
              <w:spacing w:after="0"/>
              <w:rPr>
                <w:sz w:val="20"/>
                <w:szCs w:val="20"/>
                <w:color w:val="auto"/>
              </w:rPr>
            </w:pPr>
            <w:r>
              <w:rPr>
                <w:rFonts w:ascii="Arial" w:cs="Arial" w:eastAsia="Arial" w:hAnsi="Arial"/>
                <w:sz w:val="18"/>
                <w:szCs w:val="18"/>
                <w:color w:val="auto"/>
              </w:rPr>
              <w:t>Status of Lenders and Administrative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80</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10.21</w:t>
            </w:r>
          </w:p>
        </w:tc>
        <w:tc>
          <w:tcPr>
            <w:tcW w:w="10360" w:type="dxa"/>
            <w:vAlign w:val="bottom"/>
          </w:tcPr>
          <w:p>
            <w:pPr>
              <w:ind w:left="80"/>
              <w:spacing w:after="0"/>
              <w:rPr>
                <w:sz w:val="20"/>
                <w:szCs w:val="20"/>
                <w:color w:val="auto"/>
              </w:rPr>
            </w:pPr>
            <w:r>
              <w:rPr>
                <w:rFonts w:ascii="Arial" w:cs="Arial" w:eastAsia="Arial" w:hAnsi="Arial"/>
                <w:sz w:val="18"/>
                <w:szCs w:val="18"/>
                <w:color w:val="auto"/>
              </w:rPr>
              <w:t>Removal and Replacement of Lenders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81</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10.22</w:t>
            </w:r>
          </w:p>
        </w:tc>
        <w:tc>
          <w:tcPr>
            <w:tcW w:w="10360" w:type="dxa"/>
            <w:vAlign w:val="bottom"/>
          </w:tcPr>
          <w:p>
            <w:pPr>
              <w:ind w:left="80"/>
              <w:spacing w:after="0"/>
              <w:rPr>
                <w:sz w:val="20"/>
                <w:szCs w:val="20"/>
                <w:color w:val="auto"/>
              </w:rPr>
            </w:pPr>
            <w:r>
              <w:rPr>
                <w:rFonts w:ascii="Arial" w:cs="Arial" w:eastAsia="Arial" w:hAnsi="Arial"/>
                <w:sz w:val="18"/>
                <w:szCs w:val="18"/>
                <w:color w:val="auto"/>
              </w:rPr>
              <w:t>Governing Law; Submission to Jurisdiction; Waivers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82</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10.23</w:t>
            </w:r>
          </w:p>
        </w:tc>
        <w:tc>
          <w:tcPr>
            <w:tcW w:w="10360" w:type="dxa"/>
            <w:vAlign w:val="bottom"/>
          </w:tcPr>
          <w:p>
            <w:pPr>
              <w:ind w:left="80"/>
              <w:spacing w:after="0"/>
              <w:rPr>
                <w:sz w:val="20"/>
                <w:szCs w:val="20"/>
                <w:color w:val="auto"/>
              </w:rPr>
            </w:pPr>
            <w:r>
              <w:rPr>
                <w:rFonts w:ascii="Arial" w:cs="Arial" w:eastAsia="Arial" w:hAnsi="Arial"/>
                <w:sz w:val="18"/>
                <w:szCs w:val="18"/>
                <w:color w:val="auto"/>
              </w:rPr>
              <w:t>Waiver of Right to Trial by Jury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83</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10.24</w:t>
            </w:r>
          </w:p>
        </w:tc>
        <w:tc>
          <w:tcPr>
            <w:tcW w:w="10360" w:type="dxa"/>
            <w:vAlign w:val="bottom"/>
          </w:tcPr>
          <w:p>
            <w:pPr>
              <w:ind w:left="80"/>
              <w:spacing w:after="0"/>
              <w:rPr>
                <w:sz w:val="20"/>
                <w:szCs w:val="20"/>
                <w:color w:val="auto"/>
              </w:rPr>
            </w:pPr>
            <w:r>
              <w:rPr>
                <w:rFonts w:ascii="Arial" w:cs="Arial" w:eastAsia="Arial" w:hAnsi="Arial"/>
                <w:sz w:val="18"/>
                <w:szCs w:val="18"/>
                <w:color w:val="auto"/>
              </w:rPr>
              <w:t>USA PATRIOT Act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83</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10.25</w:t>
            </w:r>
          </w:p>
        </w:tc>
        <w:tc>
          <w:tcPr>
            <w:tcW w:w="1036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83</w:t>
            </w:r>
          </w:p>
        </w:tc>
      </w:tr>
      <w:tr>
        <w:trPr>
          <w:trHeight w:val="277"/>
        </w:trPr>
        <w:tc>
          <w:tcPr>
            <w:tcW w:w="620" w:type="dxa"/>
            <w:vAlign w:val="bottom"/>
          </w:tcPr>
          <w:p>
            <w:pPr>
              <w:ind w:left="140"/>
              <w:spacing w:after="0"/>
              <w:rPr>
                <w:sz w:val="20"/>
                <w:szCs w:val="20"/>
                <w:color w:val="auto"/>
              </w:rPr>
            </w:pPr>
            <w:r>
              <w:rPr>
                <w:rFonts w:ascii="Arial" w:cs="Arial" w:eastAsia="Arial" w:hAnsi="Arial"/>
                <w:sz w:val="18"/>
                <w:szCs w:val="18"/>
                <w:color w:val="auto"/>
              </w:rPr>
              <w:t>10.26</w:t>
            </w:r>
          </w:p>
        </w:tc>
        <w:tc>
          <w:tcPr>
            <w:tcW w:w="10360" w:type="dxa"/>
            <w:vAlign w:val="bottom"/>
          </w:tcPr>
          <w:p>
            <w:pPr>
              <w:ind w:left="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83</w:t>
            </w:r>
          </w:p>
        </w:tc>
      </w:tr>
    </w:tbl>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608"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EXHIBITS</w:t>
      </w:r>
    </w:p>
    <w:p>
      <w:pPr>
        <w:spacing w:after="0" w:line="266" w:lineRule="exact"/>
        <w:rPr>
          <w:sz w:val="20"/>
          <w:szCs w:val="20"/>
          <w:color w:val="auto"/>
        </w:rPr>
      </w:pPr>
    </w:p>
    <w:p>
      <w:pPr>
        <w:ind w:left="740" w:hanging="691"/>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90" w:lineRule="exact"/>
        <w:rPr>
          <w:sz w:val="20"/>
          <w:szCs w:val="20"/>
          <w:color w:val="auto"/>
        </w:rPr>
      </w:pPr>
    </w:p>
    <w:p>
      <w:pPr>
        <w:ind w:left="740" w:hanging="691"/>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Compliance Certificate</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Form of Assignment and Assumption</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E-1</w:t>
      </w:r>
      <w:r>
        <w:rPr>
          <w:rFonts w:ascii="Arial" w:cs="Arial" w:eastAsia="Arial" w:hAnsi="Arial"/>
          <w:sz w:val="16"/>
          <w:szCs w:val="16"/>
          <w:color w:val="auto"/>
        </w:rPr>
        <w:t>Form of New Lender Supplement</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Form of Increased Revolving Commitment Activation Notice</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F-1</w:t>
      </w:r>
      <w:r>
        <w:rPr>
          <w:rFonts w:ascii="Arial" w:cs="Arial" w:eastAsia="Arial" w:hAnsi="Arial"/>
          <w:sz w:val="16"/>
          <w:szCs w:val="16"/>
          <w:color w:val="auto"/>
        </w:rPr>
        <w:t>Form of U.S. Tax Compliance Certificate (For Non-U.S. Lenders That Are Not Partnerships For U.S. Federal Income Tax Purposes)</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F-2</w:t>
      </w:r>
      <w:r>
        <w:rPr>
          <w:rFonts w:ascii="Arial" w:cs="Arial" w:eastAsia="Arial" w:hAnsi="Arial"/>
          <w:sz w:val="16"/>
          <w:szCs w:val="16"/>
          <w:color w:val="auto"/>
        </w:rPr>
        <w:t>Form of U.S. Tax Compliance Certificate (For Non-U.S. Participants That Are Not Partnerships For U.S. Federal Income Tax Purposes)</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F-3</w:t>
      </w:r>
      <w:r>
        <w:rPr>
          <w:rFonts w:ascii="Arial" w:cs="Arial" w:eastAsia="Arial" w:hAnsi="Arial"/>
          <w:sz w:val="16"/>
          <w:szCs w:val="16"/>
          <w:color w:val="auto"/>
        </w:rPr>
        <w:t>Form of U.S. Tax Compliance Certificate (For Non-U.S. Participants That Are Partnerships For U.S. Federal Income Tax Purposes)</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F-4</w:t>
      </w:r>
      <w:r>
        <w:rPr>
          <w:rFonts w:ascii="Arial" w:cs="Arial" w:eastAsia="Arial" w:hAnsi="Arial"/>
          <w:sz w:val="16"/>
          <w:szCs w:val="16"/>
          <w:color w:val="auto"/>
        </w:rPr>
        <w:t>Form of U.S. Tax Compliance Certificate (For Non-U.S. Lenders That Are Partnerships For U.S. Federal Income Tax Purposes)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66" w:lineRule="exact"/>
        <w:rPr>
          <w:sz w:val="20"/>
          <w:szCs w:val="20"/>
          <w:color w:val="auto"/>
        </w:rPr>
      </w:pPr>
    </w:p>
    <w:p>
      <w:pPr>
        <w:ind w:left="740" w:hanging="691"/>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Monetization Transactions</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Revolving Commitments</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2.03</w:t>
      </w:r>
      <w:r>
        <w:rPr>
          <w:rFonts w:ascii="Arial" w:cs="Arial" w:eastAsia="Arial" w:hAnsi="Arial"/>
          <w:sz w:val="16"/>
          <w:szCs w:val="16"/>
          <w:color w:val="auto"/>
        </w:rPr>
        <w:t>Letter of Credit Commitments; Issuers of Existing Letters of Credit</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6.08</w:t>
      </w:r>
      <w:r>
        <w:rPr>
          <w:rFonts w:ascii="Arial" w:cs="Arial" w:eastAsia="Arial" w:hAnsi="Arial"/>
          <w:sz w:val="16"/>
          <w:szCs w:val="16"/>
          <w:color w:val="auto"/>
        </w:rPr>
        <w:t>Unrestricted Subsidiaries</w:t>
      </w:r>
    </w:p>
    <w:p>
      <w:pPr>
        <w:spacing w:after="0" w:line="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10.02   Addresses for Notices</w:t>
      </w:r>
    </w:p>
    <w:p>
      <w:pPr>
        <w:spacing w:after="0" w:line="39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This CREDIT AGREEMENT is entered into as of May 26, 2016, by and among </w:t>
      </w:r>
      <w:r>
        <w:rPr>
          <w:rFonts w:ascii="Arial" w:cs="Arial" w:eastAsia="Arial" w:hAnsi="Arial"/>
          <w:sz w:val="18"/>
          <w:szCs w:val="18"/>
          <w:color w:val="FF0000"/>
          <w:strike w:val="1"/>
        </w:rPr>
        <w:t>Comcast Corporation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COMCAST CORPORATION</w:t>
      </w:r>
      <w:r>
        <w:rPr>
          <w:rFonts w:ascii="Arial" w:cs="Arial" w:eastAsia="Arial" w:hAnsi="Arial"/>
          <w:sz w:val="18"/>
          <w:szCs w:val="18"/>
          <w:color w:val="auto"/>
        </w:rPr>
        <w:t>, a Pennsylvania corporation (“Borrower”), each lender from time to time party hereto (collectively, “Lenders” and individually, a “Lender”), JPMORGAN CHASE BANK, N.A., as Administrative Agent, CITIBANK, N.A., as syndication agent (in such capacity, “Syndication Agent”), and MORGAN STANLEY MUFG LOAN PARTNERS, LLC (acting through Morgan Stanley Senior Funding, Inc. and MUFG Bank, Ltd. (f/k/a The Bank of Tokyo-Mitsubishi UFJ, Ltd.)</w:t>
      </w:r>
      <w:r>
        <w:rPr>
          <w:rFonts w:ascii="Arial" w:cs="Arial" w:eastAsia="Arial" w:hAnsi="Arial"/>
          <w:sz w:val="18"/>
          <w:szCs w:val="18"/>
          <w:u w:val="single" w:color="auto"/>
          <w:color w:val="0000FF"/>
        </w:rPr>
        <w:t>)</w:t>
      </w:r>
      <w:r>
        <w:rPr>
          <w:rFonts w:ascii="Arial" w:cs="Arial" w:eastAsia="Arial" w:hAnsi="Arial"/>
          <w:sz w:val="18"/>
          <w:szCs w:val="18"/>
          <w:color w:val="auto"/>
        </w:rPr>
        <w:t>, WELLS FARGO BANK, NATIONAL ASSOCIATION and MIZUHO BANK, LTD., as co-documentation agents (in such capacity, “Co-Documentation Agents”).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u w:val="single" w:color="auto"/>
          <w:color w:val="0000FF"/>
        </w:rPr>
        <w:t>“ABR”, when used in reference to any Loan or Borrowing, refers to whether such Loan, or the Loans comprising such Borrowing, bear interest at a rate determined by reference to the Alternate Base Rate.</w:t>
      </w:r>
    </w:p>
    <w:p>
      <w:pPr>
        <w:spacing w:after="0" w:line="170"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“Acceptance Condition” means, with respect to an Offer, the condition set forth in the Offer Documents with respect to the number of acceptances to an Offer which must be secured to declare such Offer unconditional as to acceptances which shall be more than 50% of the Target shares carrying voting rights.</w:t>
      </w:r>
    </w:p>
    <w:p>
      <w:pPr>
        <w:spacing w:after="0" w:line="181"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1"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the Target Acquisition or any other acquisition that is a Material Acquisition in accordance with clause (ii) of the definition thereof and any related transactions or series of related transactions in respect of the Target Acquisition or any other acquisition that is a Material Acquisition in accordance with clause (ii) of the definition thereof (including for the purpose of refinancing or replacing all or a portion of any pre-existing Indebtedness of the Target Group or the Person(s) or assets to be acquired);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release of the proceeds thereof to Borrower and its Restricted</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t>Subsidiaries (or an Unrestricted Subsidiary, so long as, in the good faith determination of Borrower, such Unrestricted Subsidiary is expected to become a Restricted Subsidiary in connection with the consummation of such Material Acquisition) is contingent upon the consummation of the Target Acquisition or such Material Acquisition and, pending such release, such proceeds are held in escrow (and, if the definitive agreement (or, in the case of a tender offer or similar transaction, the definitive offer document) for the Target Acquisition or such Material Acquisition is terminated prior to the consummation thereof or if the Target Acquisition or such Material Acquisition is otherwise not consummated by the date specified in the 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the Target Acquisition or such Material Acquisition is not consummated by the date specified in the definitive documentation relating to such Indebtedness (and if the definitive agreement (or, in the case of a tender offer or similar transaction, the definitive offer document) for the Target Acquisition or such Material Acquisition is terminated in accordance with its terms prior to the consummation of the Target Acquisition or such Material Acquisition or the Target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72"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u w:val="single" w:color="auto"/>
          <w:color w:val="0000FF"/>
        </w:rPr>
        <w:t>“Adjusted LIBO Rate” means</w:t>
      </w:r>
      <w:r>
        <w:rPr>
          <w:rFonts w:ascii="Arial" w:cs="Arial" w:eastAsia="Arial" w:hAnsi="Arial"/>
          <w:sz w:val="16"/>
          <w:szCs w:val="16"/>
          <w:u w:val="single" w:color="auto"/>
          <w:color w:val="008000"/>
        </w:rPr>
        <w:t>, with respect to any</w:t>
      </w:r>
      <w:r>
        <w:rPr>
          <w:rFonts w:ascii="Arial" w:cs="Arial" w:eastAsia="Arial" w:hAnsi="Arial"/>
          <w:sz w:val="16"/>
          <w:szCs w:val="16"/>
          <w:u w:val="single" w:color="auto"/>
          <w:color w:val="0000FF"/>
        </w:rPr>
        <w:t xml:space="preserve"> Eurodollar Rate Borrowing for any Interest Period, an interest rate </w:t>
      </w:r>
      <w:r>
        <w:rPr>
          <w:rFonts w:ascii="Arial" w:cs="Arial" w:eastAsia="Arial" w:hAnsi="Arial"/>
          <w:sz w:val="16"/>
          <w:szCs w:val="16"/>
          <w:i w:val="1"/>
          <w:iCs w:val="1"/>
          <w:u w:val="single" w:color="auto"/>
          <w:color w:val="0000FF"/>
        </w:rPr>
        <w:t>per annum</w:t>
      </w:r>
      <w:r>
        <w:rPr>
          <w:rFonts w:ascii="Arial" w:cs="Arial" w:eastAsia="Arial" w:hAnsi="Arial"/>
          <w:sz w:val="16"/>
          <w:szCs w:val="16"/>
          <w:u w:val="single" w:color="auto"/>
          <w:color w:val="0000FF"/>
        </w:rPr>
        <w:t xml:space="preserve"> (rounded upwards, if necessary, to the next 1/16 of 1%) equal to (a) the LIBO Rate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-211455</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4" w:lineRule="exact"/>
        <w:rPr>
          <w:sz w:val="20"/>
          <w:szCs w:val="20"/>
          <w:color w:val="auto"/>
        </w:rPr>
      </w:pPr>
    </w:p>
    <w:p>
      <w:pPr>
        <w:ind w:right="200" w:firstLine="1297"/>
        <w:spacing w:after="0" w:line="286" w:lineRule="auto"/>
        <w:rPr>
          <w:sz w:val="20"/>
          <w:szCs w:val="20"/>
          <w:color w:val="auto"/>
        </w:rPr>
      </w:pPr>
      <w:r>
        <w:rPr>
          <w:rFonts w:ascii="Arial" w:cs="Arial" w:eastAsia="Arial" w:hAnsi="Arial"/>
          <w:sz w:val="17"/>
          <w:szCs w:val="17"/>
          <w:color w:val="auto"/>
        </w:rPr>
        <w:t xml:space="preserve">“Administrative Agent” means JPMorgan Chase Bank, N.A., in its capacity as administrative agent under any of the Loan Documents, or any successor administrative agent permitted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Borrowings, Continuations or Conversions denominated in Canadian Dollars, Euros, Sterling or Yen, Administrative Agent shall be J.P. Morgan Europe Limited.</w:t>
      </w:r>
    </w:p>
    <w:p>
      <w:pPr>
        <w:spacing w:after="0" w:line="166"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170"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“Affected Currency</w:t>
      </w:r>
      <w:r>
        <w:rPr>
          <w:rFonts w:ascii="Arial" w:cs="Arial" w:eastAsia="Arial" w:hAnsi="Arial"/>
          <w:sz w:val="18"/>
          <w:szCs w:val="18"/>
          <w:u w:val="single" w:color="auto"/>
          <w:color w:val="008000"/>
        </w:rPr>
        <w:t>” has the meaning set forth in</w:t>
      </w:r>
      <w:r>
        <w:rPr>
          <w:rFonts w:ascii="Arial" w:cs="Arial" w:eastAsia="Arial" w:hAnsi="Arial"/>
          <w:sz w:val="18"/>
          <w:szCs w:val="18"/>
          <w:u w:val="single" w:color="auto"/>
          <w:color w:val="0000FF"/>
        </w:rPr>
        <w:t xml:space="preserve"> Section 3.03(a).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-10160</wp:posOffset>
            </wp:positionV>
            <wp:extent cx="28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“Agents” means the collective reference to Administrative Agent, Syndication Agent and Co-Documentation Agents.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2" w:name="page43"/>
    <w:bookmarkEnd w:id="42"/>
    <w:p>
      <w:pPr>
        <w:ind w:left="130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ind w:right="340" w:firstLine="1297"/>
        <w:spacing w:after="0" w:line="342" w:lineRule="auto"/>
        <w:rPr>
          <w:sz w:val="20"/>
          <w:szCs w:val="20"/>
          <w:color w:val="auto"/>
        </w:rPr>
      </w:pPr>
      <w:r>
        <w:rPr>
          <w:rFonts w:ascii="Arial" w:cs="Arial" w:eastAsia="Arial" w:hAnsi="Arial"/>
          <w:sz w:val="16"/>
          <w:szCs w:val="16"/>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124" w:lineRule="exact"/>
        <w:rPr>
          <w:sz w:val="20"/>
          <w:szCs w:val="20"/>
          <w:color w:val="auto"/>
        </w:rPr>
      </w:pPr>
    </w:p>
    <w:p>
      <w:pPr>
        <w:jc w:val="both"/>
        <w:ind w:right="120" w:firstLine="1297"/>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right="960" w:firstLine="1297"/>
        <w:spacing w:after="0" w:line="277" w:lineRule="auto"/>
        <w:rPr>
          <w:sz w:val="20"/>
          <w:szCs w:val="20"/>
          <w:color w:val="auto"/>
        </w:rPr>
      </w:pPr>
      <w:r>
        <w:rPr>
          <w:rFonts w:ascii="Arial" w:cs="Arial" w:eastAsia="Arial" w:hAnsi="Arial"/>
          <w:sz w:val="18"/>
          <w:szCs w:val="18"/>
          <w:color w:val="auto"/>
        </w:rPr>
        <w:t>“Agreement” means this Credit Agreement, as amended, restated, extended, supplemented or otherwise modified in writing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25" w:lineRule="exact"/>
        <w:rPr>
          <w:sz w:val="20"/>
          <w:szCs w:val="20"/>
          <w:color w:val="auto"/>
        </w:rPr>
      </w:pPr>
    </w:p>
    <w:p>
      <w:pPr>
        <w:jc w:val="both"/>
        <w:ind w:right="100" w:firstLine="1297"/>
        <w:spacing w:after="0" w:line="289" w:lineRule="auto"/>
        <w:rPr>
          <w:sz w:val="20"/>
          <w:szCs w:val="20"/>
          <w:color w:val="auto"/>
        </w:rPr>
      </w:pPr>
      <w:r>
        <w:rPr>
          <w:rFonts w:ascii="Arial" w:cs="Arial" w:eastAsia="Arial" w:hAnsi="Arial"/>
          <w:sz w:val="16"/>
          <w:szCs w:val="16"/>
          <w:u w:val="single" w:color="auto"/>
          <w:color w:val="0000FF"/>
        </w:rPr>
        <w:t xml:space="preserve">“Alternate Base Rate” means, for any day, a </w:t>
      </w:r>
      <w:r>
        <w:rPr>
          <w:rFonts w:ascii="Arial" w:cs="Arial" w:eastAsia="Arial" w:hAnsi="Arial"/>
          <w:sz w:val="16"/>
          <w:szCs w:val="16"/>
          <w:u w:val="single" w:color="auto"/>
          <w:color w:val="008000"/>
        </w:rPr>
        <w:t>rate</w:t>
      </w:r>
      <w:r>
        <w:rPr>
          <w:rFonts w:ascii="Arial" w:cs="Arial" w:eastAsia="Arial" w:hAnsi="Arial"/>
          <w:sz w:val="16"/>
          <w:szCs w:val="16"/>
          <w:u w:val="single" w:color="auto"/>
          <w:color w:val="0000FF"/>
        </w:rPr>
        <w:t xml:space="preserve"> </w:t>
      </w:r>
      <w:r>
        <w:rPr>
          <w:rFonts w:ascii="Arial" w:cs="Arial" w:eastAsia="Arial" w:hAnsi="Arial"/>
          <w:sz w:val="16"/>
          <w:szCs w:val="16"/>
          <w:i w:val="1"/>
          <w:iCs w:val="1"/>
          <w:u w:val="single" w:color="auto"/>
          <w:color w:val="008000"/>
        </w:rPr>
        <w:t>per annum</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equal to the</w:t>
      </w:r>
      <w:r>
        <w:rPr>
          <w:rFonts w:ascii="Arial" w:cs="Arial" w:eastAsia="Arial" w:hAnsi="Arial"/>
          <w:sz w:val="16"/>
          <w:szCs w:val="16"/>
          <w:u w:val="single" w:color="auto"/>
          <w:color w:val="0000FF"/>
        </w:rPr>
        <w:t xml:space="preserve"> greatest of (a) the Prime Rate in effect on such day, (b) the NYFRB Rate in effect on such day plus ½ of 1% and(c) the Adjusted LIBO Rate for Dollars for a one 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3.03, then the Alternate Base Rate shall be the greater of clauses (a) and (b) above and shall be determined without reference to clause (c) above</w:t>
      </w:r>
      <w:r>
        <w:rPr>
          <w:rFonts w:ascii="Arial" w:cs="Arial" w:eastAsia="Arial" w:hAnsi="Arial"/>
          <w:sz w:val="16"/>
          <w:szCs w:val="16"/>
          <w:u w:val="single" w:color="auto"/>
          <w:color w:val="008000"/>
        </w:rPr>
        <w:t>. For the avoidance of doubt,</w:t>
      </w:r>
      <w:r>
        <w:rPr>
          <w:rFonts w:ascii="Arial" w:cs="Arial" w:eastAsia="Arial" w:hAnsi="Arial"/>
          <w:sz w:val="16"/>
          <w:szCs w:val="16"/>
          <w:u w:val="single" w:color="auto"/>
          <w:color w:val="0000FF"/>
        </w:rPr>
        <w:t xml:space="preserve"> if the Alternate Base Rate as determined pursuant to the foregoing would be less than 0.00%, such rate </w:t>
      </w:r>
      <w:r>
        <w:rPr>
          <w:rFonts w:ascii="Arial" w:cs="Arial" w:eastAsia="Arial" w:hAnsi="Arial"/>
          <w:sz w:val="16"/>
          <w:szCs w:val="16"/>
          <w:u w:val="single" w:color="auto"/>
          <w:color w:val="008000"/>
        </w:rPr>
        <w:t>shall be deemed to be</w:t>
      </w:r>
      <w:r>
        <w:rPr>
          <w:rFonts w:ascii="Arial" w:cs="Arial" w:eastAsia="Arial" w:hAnsi="Arial"/>
          <w:sz w:val="16"/>
          <w:szCs w:val="16"/>
          <w:u w:val="single" w:color="auto"/>
          <w:color w:val="0000FF"/>
        </w:rPr>
        <w:t xml:space="preserve"> 0.00%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-1144905</wp:posOffset>
            </wp:positionV>
            <wp:extent cx="368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-184150</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-46990</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“Alternative Currency” means (x) with respect to any Letter of Credit, (a) Euros, (b) Yen, (c) Sterling, (d) Canadian Dollars and (e) any currency other than Dollars, Euros, Yen, Sterling, or Canadian Dollars in which an Issuing Lender is willing to issue a Letter of Credit and (y) with respect to any Loan, (a) Euros, (b) Yen, (c) Sterling, (d) Canadian Dollars and (e) any currency other than Dollars, Euros, Yen, Sterling, or Canadian Dollars in which each Lender has agreed to make Loans.</w:t>
      </w:r>
    </w:p>
    <w:p>
      <w:pPr>
        <w:spacing w:after="0" w:line="18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“Amendment No. 1” means that certain Amendment No. 1 to Credit Agreement dated as of the Amendment No. 1 Effective Date, by and among Borrower, the Lenders party thereto and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“Amendment No. 1 Effective Date” means April 27, 2018.</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u w:val="single" w:color="auto"/>
          <w:color w:val="0000FF"/>
        </w:rPr>
        <w:t>“Amendment No. 2” means that certain Amendment No. 2 to Credit Agreement and Extension Agreement dated as of the Amendment No. 2 Effective Date, by and among Borrower, the Lenders party thereto and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“Amendment No. 2 Effective Date” means June 18, 2019.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“Announcement Date” has the meaning set forth in the definition of Certain Funds Period.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584" w:right="479" w:bottom="1440" w:gutter="0" w:footer="0" w:header="0"/>
        </w:sectPr>
      </w:pPr>
    </w:p>
    <w:bookmarkStart w:id="43" w:name="page44"/>
    <w:bookmarkEnd w:id="43"/>
    <w:p>
      <w:pPr>
        <w:ind w:left="1300"/>
        <w:spacing w:after="0"/>
        <w:rPr>
          <w:sz w:val="20"/>
          <w:szCs w:val="20"/>
          <w:color w:val="auto"/>
        </w:rPr>
      </w:pPr>
      <w:r>
        <w:rPr>
          <w:rFonts w:ascii="Arial" w:cs="Arial" w:eastAsia="Arial" w:hAnsi="Arial"/>
          <w:sz w:val="17"/>
          <w:szCs w:val="17"/>
          <w:color w:val="auto"/>
        </w:rPr>
        <w:t>“Annualized EBITDA” means, at any date of determination, EBITDA for the two (2) fiscal quarter periods then most recently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times two (2).</w:t>
      </w:r>
    </w:p>
    <w:p>
      <w:pPr>
        <w:spacing w:after="0" w:line="21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“Applicable Amount” means the rate per annum, in basis points, set forth under the relevant column heading below based upon the applicable Debt Ratings: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rPr>
              <w:t>Pricing</w:t>
            </w:r>
          </w:p>
        </w:tc>
        <w:tc>
          <w:tcPr>
            <w:tcW w:w="2360" w:type="dxa"/>
            <w:vAlign w:val="bottom"/>
          </w:tcPr>
          <w:p>
            <w:pPr>
              <w:ind w:left="380"/>
              <w:spacing w:after="0"/>
              <w:rPr>
                <w:sz w:val="20"/>
                <w:szCs w:val="20"/>
                <w:color w:val="auto"/>
              </w:rPr>
            </w:pPr>
            <w:r>
              <w:rPr>
                <w:rFonts w:ascii="Arial" w:cs="Arial" w:eastAsia="Arial" w:hAnsi="Arial"/>
                <w:sz w:val="18"/>
                <w:szCs w:val="18"/>
                <w:b w:val="1"/>
                <w:bCs w:val="1"/>
                <w:color w:val="auto"/>
              </w:rPr>
              <w:t>Debt Ratings</w:t>
            </w:r>
          </w:p>
        </w:tc>
        <w:tc>
          <w:tcPr>
            <w:tcW w:w="3620" w:type="dxa"/>
            <w:vAlign w:val="bottom"/>
          </w:tcPr>
          <w:p>
            <w:pPr>
              <w:ind w:left="920"/>
              <w:spacing w:after="0"/>
              <w:rPr>
                <w:sz w:val="20"/>
                <w:szCs w:val="20"/>
                <w:color w:val="auto"/>
              </w:rPr>
            </w:pPr>
            <w:r>
              <w:rPr>
                <w:rFonts w:ascii="Arial" w:cs="Arial" w:eastAsia="Arial" w:hAnsi="Arial"/>
                <w:sz w:val="18"/>
                <w:szCs w:val="18"/>
                <w:b w:val="1"/>
                <w:bCs w:val="1"/>
                <w:color w:val="auto"/>
              </w:rPr>
              <w:t>Commitment</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0000FF"/>
              </w:rPr>
              <w:t xml:space="preserve">Alternate </w:t>
            </w:r>
            <w:r>
              <w:rPr>
                <w:rFonts w:ascii="Arial" w:cs="Arial" w:eastAsia="Arial" w:hAnsi="Arial"/>
                <w:sz w:val="18"/>
                <w:szCs w:val="18"/>
                <w:b w:val="1"/>
                <w:bCs w:val="1"/>
                <w:color w:val="000000"/>
              </w:rPr>
              <w:t>Base</w:t>
            </w:r>
          </w:p>
        </w:tc>
        <w:tc>
          <w:tcPr>
            <w:tcW w:w="1900" w:type="dxa"/>
            <w:vAlign w:val="bottom"/>
          </w:tcPr>
          <w:p>
            <w:pPr>
              <w:ind w:left="560"/>
              <w:spacing w:after="0"/>
              <w:rPr>
                <w:sz w:val="20"/>
                <w:szCs w:val="20"/>
                <w:color w:val="auto"/>
              </w:rPr>
            </w:pPr>
            <w:r>
              <w:rPr>
                <w:rFonts w:ascii="Arial" w:cs="Arial" w:eastAsia="Arial" w:hAnsi="Arial"/>
                <w:sz w:val="18"/>
                <w:szCs w:val="18"/>
                <w:b w:val="1"/>
                <w:bCs w:val="1"/>
                <w:color w:val="auto"/>
                <w:w w:val="91"/>
              </w:rPr>
              <w:t>Eurodollar Rate /</w:t>
            </w:r>
          </w:p>
        </w:tc>
      </w:tr>
      <w:tr>
        <w:trPr>
          <w:trHeight w:val="222"/>
        </w:trPr>
        <w:tc>
          <w:tcPr>
            <w:tcW w:w="960" w:type="dxa"/>
            <w:vAlign w:val="bottom"/>
          </w:tcPr>
          <w:p>
            <w:pPr>
              <w:spacing w:after="0"/>
              <w:rPr>
                <w:sz w:val="20"/>
                <w:szCs w:val="20"/>
                <w:color w:val="auto"/>
              </w:rPr>
            </w:pPr>
            <w:r>
              <w:rPr>
                <w:rFonts w:ascii="Arial" w:cs="Arial" w:eastAsia="Arial" w:hAnsi="Arial"/>
                <w:sz w:val="18"/>
                <w:szCs w:val="18"/>
                <w:b w:val="1"/>
                <w:bCs w:val="1"/>
                <w:color w:val="auto"/>
              </w:rPr>
              <w:t>Level</w:t>
            </w:r>
          </w:p>
        </w:tc>
        <w:tc>
          <w:tcPr>
            <w:tcW w:w="2360" w:type="dxa"/>
            <w:vAlign w:val="bottom"/>
          </w:tcPr>
          <w:p>
            <w:pPr>
              <w:ind w:left="380"/>
              <w:spacing w:after="0"/>
              <w:rPr>
                <w:sz w:val="20"/>
                <w:szCs w:val="20"/>
                <w:color w:val="auto"/>
              </w:rPr>
            </w:pPr>
            <w:r>
              <w:rPr>
                <w:rFonts w:ascii="Arial" w:cs="Arial" w:eastAsia="Arial" w:hAnsi="Arial"/>
                <w:sz w:val="18"/>
                <w:szCs w:val="18"/>
                <w:b w:val="1"/>
                <w:bCs w:val="1"/>
                <w:color w:val="auto"/>
              </w:rPr>
              <w:t>S&amp;P/Moody’s</w:t>
            </w:r>
          </w:p>
        </w:tc>
        <w:tc>
          <w:tcPr>
            <w:tcW w:w="3620" w:type="dxa"/>
            <w:vAlign w:val="bottom"/>
          </w:tcPr>
          <w:p>
            <w:pPr>
              <w:ind w:left="920"/>
              <w:spacing w:after="0"/>
              <w:rPr>
                <w:sz w:val="20"/>
                <w:szCs w:val="20"/>
                <w:color w:val="auto"/>
              </w:rPr>
            </w:pPr>
            <w:r>
              <w:rPr>
                <w:rFonts w:ascii="Arial" w:cs="Arial" w:eastAsia="Arial" w:hAnsi="Arial"/>
                <w:sz w:val="18"/>
                <w:szCs w:val="18"/>
                <w:b w:val="1"/>
                <w:bCs w:val="1"/>
                <w:color w:val="auto"/>
              </w:rPr>
              <w:t>Fee</w:t>
            </w:r>
          </w:p>
        </w:tc>
        <w:tc>
          <w:tcPr>
            <w:tcW w:w="7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Rate</w:t>
            </w:r>
          </w:p>
        </w:tc>
        <w:tc>
          <w:tcPr>
            <w:tcW w:w="920" w:type="dxa"/>
            <w:vAlign w:val="bottom"/>
          </w:tcPr>
          <w:p>
            <w:pPr>
              <w:spacing w:after="0"/>
              <w:rPr>
                <w:sz w:val="19"/>
                <w:szCs w:val="19"/>
                <w:color w:val="auto"/>
              </w:rPr>
            </w:pPr>
          </w:p>
        </w:tc>
        <w:tc>
          <w:tcPr>
            <w:tcW w:w="1900" w:type="dxa"/>
            <w:vAlign w:val="bottom"/>
          </w:tcPr>
          <w:p>
            <w:pPr>
              <w:ind w:left="560"/>
              <w:spacing w:after="0"/>
              <w:rPr>
                <w:sz w:val="20"/>
                <w:szCs w:val="20"/>
                <w:color w:val="auto"/>
              </w:rPr>
            </w:pPr>
            <w:r>
              <w:rPr>
                <w:rFonts w:ascii="Arial" w:cs="Arial" w:eastAsia="Arial" w:hAnsi="Arial"/>
                <w:sz w:val="18"/>
                <w:szCs w:val="18"/>
                <w:b w:val="1"/>
                <w:bCs w:val="1"/>
                <w:color w:val="auto"/>
                <w:w w:val="94"/>
              </w:rPr>
              <w:t>Letters of Credit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w:t>
            </w:r>
          </w:p>
        </w:tc>
        <w:tc>
          <w:tcPr>
            <w:tcW w:w="2360" w:type="dxa"/>
            <w:vAlign w:val="bottom"/>
          </w:tcPr>
          <w:p>
            <w:pPr>
              <w:ind w:left="380"/>
              <w:spacing w:after="0"/>
              <w:rPr>
                <w:sz w:val="20"/>
                <w:szCs w:val="20"/>
                <w:color w:val="auto"/>
              </w:rPr>
            </w:pPr>
            <w:r>
              <w:rPr>
                <w:rFonts w:ascii="Arial" w:cs="Arial" w:eastAsia="Arial" w:hAnsi="Arial"/>
                <w:sz w:val="18"/>
                <w:szCs w:val="18"/>
                <w:color w:val="auto"/>
              </w:rPr>
              <w:t>≥A+/A1</w:t>
            </w:r>
          </w:p>
        </w:tc>
        <w:tc>
          <w:tcPr>
            <w:tcW w:w="3620" w:type="dxa"/>
            <w:vAlign w:val="bottom"/>
          </w:tcPr>
          <w:p>
            <w:pPr>
              <w:ind w:left="920"/>
              <w:spacing w:after="0"/>
              <w:rPr>
                <w:sz w:val="20"/>
                <w:szCs w:val="20"/>
                <w:color w:val="auto"/>
              </w:rPr>
            </w:pPr>
            <w:r>
              <w:rPr>
                <w:rFonts w:ascii="Arial" w:cs="Arial" w:eastAsia="Arial" w:hAnsi="Arial"/>
                <w:sz w:val="18"/>
                <w:szCs w:val="18"/>
                <w:color w:val="auto"/>
              </w:rPr>
              <w:t>5.0</w:t>
            </w:r>
          </w:p>
        </w:tc>
        <w:tc>
          <w:tcPr>
            <w:tcW w:w="780" w:type="dxa"/>
            <w:vAlign w:val="bottom"/>
          </w:tcPr>
          <w:p>
            <w:pPr>
              <w:spacing w:after="0"/>
              <w:rPr>
                <w:sz w:val="20"/>
                <w:szCs w:val="20"/>
                <w:color w:val="auto"/>
              </w:rPr>
            </w:pPr>
            <w:r>
              <w:rPr>
                <w:rFonts w:ascii="Arial" w:cs="Arial" w:eastAsia="Arial" w:hAnsi="Arial"/>
                <w:sz w:val="18"/>
                <w:szCs w:val="18"/>
                <w:color w:val="auto"/>
              </w:rPr>
              <w:t>0.0</w:t>
            </w:r>
          </w:p>
        </w:tc>
        <w:tc>
          <w:tcPr>
            <w:tcW w:w="92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75.0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w:t>
            </w:r>
          </w:p>
        </w:tc>
        <w:tc>
          <w:tcPr>
            <w:tcW w:w="2360" w:type="dxa"/>
            <w:vAlign w:val="bottom"/>
          </w:tcPr>
          <w:p>
            <w:pPr>
              <w:ind w:left="380"/>
              <w:spacing w:after="0"/>
              <w:rPr>
                <w:sz w:val="20"/>
                <w:szCs w:val="20"/>
                <w:color w:val="auto"/>
              </w:rPr>
            </w:pPr>
            <w:r>
              <w:rPr>
                <w:rFonts w:ascii="Arial" w:cs="Arial" w:eastAsia="Arial" w:hAnsi="Arial"/>
                <w:sz w:val="18"/>
                <w:szCs w:val="18"/>
                <w:color w:val="auto"/>
              </w:rPr>
              <w:t>A/A2</w:t>
            </w:r>
          </w:p>
        </w:tc>
        <w:tc>
          <w:tcPr>
            <w:tcW w:w="3620" w:type="dxa"/>
            <w:vAlign w:val="bottom"/>
          </w:tcPr>
          <w:p>
            <w:pPr>
              <w:ind w:left="92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0"/>
                <w:szCs w:val="20"/>
                <w:color w:val="auto"/>
              </w:rPr>
            </w:pPr>
            <w:r>
              <w:rPr>
                <w:rFonts w:ascii="Arial" w:cs="Arial" w:eastAsia="Arial" w:hAnsi="Arial"/>
                <w:sz w:val="18"/>
                <w:szCs w:val="18"/>
                <w:color w:val="auto"/>
              </w:rPr>
              <w:t>0.0</w:t>
            </w:r>
          </w:p>
        </w:tc>
        <w:tc>
          <w:tcPr>
            <w:tcW w:w="92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87.5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w:t>
            </w:r>
          </w:p>
        </w:tc>
        <w:tc>
          <w:tcPr>
            <w:tcW w:w="2360" w:type="dxa"/>
            <w:vAlign w:val="bottom"/>
          </w:tcPr>
          <w:p>
            <w:pPr>
              <w:ind w:left="380"/>
              <w:spacing w:after="0"/>
              <w:rPr>
                <w:sz w:val="20"/>
                <w:szCs w:val="20"/>
                <w:color w:val="auto"/>
              </w:rPr>
            </w:pPr>
            <w:r>
              <w:rPr>
                <w:rFonts w:ascii="Arial" w:cs="Arial" w:eastAsia="Arial" w:hAnsi="Arial"/>
                <w:sz w:val="18"/>
                <w:szCs w:val="18"/>
                <w:color w:val="auto"/>
              </w:rPr>
              <w:t>A-/A3</w:t>
            </w:r>
          </w:p>
        </w:tc>
        <w:tc>
          <w:tcPr>
            <w:tcW w:w="3620" w:type="dxa"/>
            <w:vAlign w:val="bottom"/>
          </w:tcPr>
          <w:p>
            <w:pPr>
              <w:ind w:left="920"/>
              <w:spacing w:after="0"/>
              <w:rPr>
                <w:sz w:val="20"/>
                <w:szCs w:val="20"/>
                <w:color w:val="auto"/>
              </w:rPr>
            </w:pPr>
            <w:r>
              <w:rPr>
                <w:rFonts w:ascii="Arial" w:cs="Arial" w:eastAsia="Arial" w:hAnsi="Arial"/>
                <w:sz w:val="18"/>
                <w:szCs w:val="18"/>
                <w:color w:val="auto"/>
              </w:rPr>
              <w:t>9.0</w:t>
            </w:r>
          </w:p>
        </w:tc>
        <w:tc>
          <w:tcPr>
            <w:tcW w:w="780" w:type="dxa"/>
            <w:vAlign w:val="bottom"/>
          </w:tcPr>
          <w:p>
            <w:pPr>
              <w:spacing w:after="0"/>
              <w:rPr>
                <w:sz w:val="20"/>
                <w:szCs w:val="20"/>
                <w:color w:val="auto"/>
              </w:rPr>
            </w:pPr>
            <w:r>
              <w:rPr>
                <w:rFonts w:ascii="Arial" w:cs="Arial" w:eastAsia="Arial" w:hAnsi="Arial"/>
                <w:sz w:val="18"/>
                <w:szCs w:val="18"/>
                <w:color w:val="auto"/>
              </w:rPr>
              <w:t>0.0</w:t>
            </w:r>
          </w:p>
        </w:tc>
        <w:tc>
          <w:tcPr>
            <w:tcW w:w="92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100.0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w:t>
            </w:r>
          </w:p>
        </w:tc>
        <w:tc>
          <w:tcPr>
            <w:tcW w:w="2360" w:type="dxa"/>
            <w:vAlign w:val="bottom"/>
          </w:tcPr>
          <w:p>
            <w:pPr>
              <w:ind w:left="380"/>
              <w:spacing w:after="0"/>
              <w:rPr>
                <w:sz w:val="20"/>
                <w:szCs w:val="20"/>
                <w:color w:val="auto"/>
              </w:rPr>
            </w:pPr>
            <w:r>
              <w:rPr>
                <w:rFonts w:ascii="Arial" w:cs="Arial" w:eastAsia="Arial" w:hAnsi="Arial"/>
                <w:sz w:val="18"/>
                <w:szCs w:val="18"/>
                <w:color w:val="auto"/>
              </w:rPr>
              <w:t>BBB+/Baa1</w:t>
            </w:r>
          </w:p>
        </w:tc>
        <w:tc>
          <w:tcPr>
            <w:tcW w:w="3620" w:type="dxa"/>
            <w:vAlign w:val="bottom"/>
          </w:tcPr>
          <w:p>
            <w:pPr>
              <w:ind w:left="920"/>
              <w:spacing w:after="0"/>
              <w:rPr>
                <w:sz w:val="20"/>
                <w:szCs w:val="20"/>
                <w:color w:val="auto"/>
              </w:rPr>
            </w:pPr>
            <w:r>
              <w:rPr>
                <w:rFonts w:ascii="Arial" w:cs="Arial" w:eastAsia="Arial" w:hAnsi="Arial"/>
                <w:sz w:val="18"/>
                <w:szCs w:val="18"/>
                <w:color w:val="auto"/>
              </w:rPr>
              <w:t>11.0</w:t>
            </w:r>
          </w:p>
        </w:tc>
        <w:tc>
          <w:tcPr>
            <w:tcW w:w="780" w:type="dxa"/>
            <w:vAlign w:val="bottom"/>
          </w:tcPr>
          <w:p>
            <w:pPr>
              <w:spacing w:after="0"/>
              <w:rPr>
                <w:sz w:val="20"/>
                <w:szCs w:val="20"/>
                <w:color w:val="auto"/>
              </w:rPr>
            </w:pPr>
            <w:r>
              <w:rPr>
                <w:rFonts w:ascii="Arial" w:cs="Arial" w:eastAsia="Arial" w:hAnsi="Arial"/>
                <w:sz w:val="18"/>
                <w:szCs w:val="18"/>
                <w:color w:val="auto"/>
              </w:rPr>
              <w:t>12.5</w:t>
            </w:r>
          </w:p>
        </w:tc>
        <w:tc>
          <w:tcPr>
            <w:tcW w:w="92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112.5</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5</w:t>
            </w:r>
          </w:p>
        </w:tc>
        <w:tc>
          <w:tcPr>
            <w:tcW w:w="2360" w:type="dxa"/>
            <w:vAlign w:val="bottom"/>
          </w:tcPr>
          <w:p>
            <w:pPr>
              <w:ind w:left="380"/>
              <w:spacing w:after="0"/>
              <w:rPr>
                <w:sz w:val="20"/>
                <w:szCs w:val="20"/>
                <w:color w:val="auto"/>
              </w:rPr>
            </w:pPr>
            <w:r>
              <w:rPr>
                <w:rFonts w:ascii="Arial" w:cs="Arial" w:eastAsia="Arial" w:hAnsi="Arial"/>
                <w:sz w:val="18"/>
                <w:szCs w:val="18"/>
                <w:color w:val="auto"/>
              </w:rPr>
              <w:t>≤BBB/Baa2</w:t>
            </w:r>
          </w:p>
        </w:tc>
        <w:tc>
          <w:tcPr>
            <w:tcW w:w="3620" w:type="dxa"/>
            <w:vAlign w:val="bottom"/>
          </w:tcPr>
          <w:p>
            <w:pPr>
              <w:ind w:left="920"/>
              <w:spacing w:after="0"/>
              <w:rPr>
                <w:sz w:val="20"/>
                <w:szCs w:val="20"/>
                <w:color w:val="auto"/>
              </w:rPr>
            </w:pPr>
            <w:r>
              <w:rPr>
                <w:rFonts w:ascii="Arial" w:cs="Arial" w:eastAsia="Arial" w:hAnsi="Arial"/>
                <w:sz w:val="18"/>
                <w:szCs w:val="18"/>
                <w:color w:val="auto"/>
              </w:rPr>
              <w:t>15.0</w:t>
            </w:r>
          </w:p>
        </w:tc>
        <w:tc>
          <w:tcPr>
            <w:tcW w:w="780" w:type="dxa"/>
            <w:vAlign w:val="bottom"/>
          </w:tcPr>
          <w:p>
            <w:pPr>
              <w:spacing w:after="0"/>
              <w:rPr>
                <w:sz w:val="20"/>
                <w:szCs w:val="20"/>
                <w:color w:val="auto"/>
              </w:rPr>
            </w:pPr>
            <w:r>
              <w:rPr>
                <w:rFonts w:ascii="Arial" w:cs="Arial" w:eastAsia="Arial" w:hAnsi="Arial"/>
                <w:sz w:val="18"/>
                <w:szCs w:val="18"/>
                <w:color w:val="auto"/>
              </w:rPr>
              <w:t>25.0</w:t>
            </w:r>
          </w:p>
        </w:tc>
        <w:tc>
          <w:tcPr>
            <w:tcW w:w="920" w:type="dxa"/>
            <w:vAlign w:val="bottom"/>
          </w:tcPr>
          <w:p>
            <w:pPr>
              <w:spacing w:after="0"/>
              <w:rPr>
                <w:sz w:val="20"/>
                <w:szCs w:val="20"/>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125.0</w:t>
            </w:r>
          </w:p>
        </w:tc>
      </w:tr>
    </w:tbl>
    <w:p>
      <w:pPr>
        <w:spacing w:after="0" w:line="22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As used in this definition, “Debt Rating” means, as of any date of determination, the rating as determined by either S&amp;P or Moody’s (collectively, the “Debt Ratings”) of Borrower’s senior unsecured non-credit -enhanced long-term Indebtedness for borrowed money (the “Subject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81"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“Applicable Payment Date” means, (a) as to any Eurodollar Rate Loan, the last day of the relevant Interest Period, any date that such Loan is prepaid or Converted in whole or in part and the maturity date of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right="20"/>
        <w:spacing w:after="0" w:line="273" w:lineRule="auto"/>
        <w:rPr>
          <w:sz w:val="20"/>
          <w:szCs w:val="20"/>
          <w:color w:val="auto"/>
        </w:rPr>
      </w:pPr>
      <w:r>
        <w:rPr>
          <w:rFonts w:ascii="Arial" w:cs="Arial" w:eastAsia="Arial" w:hAnsi="Arial"/>
          <w:sz w:val="17"/>
          <w:szCs w:val="17"/>
          <w:color w:val="auto"/>
        </w:rPr>
        <w:t>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Time” means New York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to the extent applicable, an agreement (in form and substance reasonably acceptable to Borrower) incorporating an Assignment and Assumption by reference pursuant to a Platform as to which Administrative Agent and the parties to the Assignment and Assumption are participants.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“Attorney Costs” means the reasonable and documented fees and disbursements of a law firm or other external counsel.</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66"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220" w:firstLine="1297"/>
        <w:spacing w:after="0" w:line="257" w:lineRule="auto"/>
        <w:rPr>
          <w:sz w:val="20"/>
          <w:szCs w:val="20"/>
          <w:color w:val="auto"/>
        </w:rPr>
      </w:pPr>
      <w:r>
        <w:rPr>
          <w:rFonts w:ascii="Arial" w:cs="Arial" w:eastAsia="Arial" w:hAnsi="Arial"/>
          <w:sz w:val="18"/>
          <w:szCs w:val="18"/>
          <w:color w:val="FF0000"/>
          <w:strike w:val="1"/>
        </w:rPr>
        <w:t xml:space="preserve">“Base Rate” means for any day a fluctuating </w:t>
      </w:r>
      <w:r>
        <w:rPr>
          <w:rFonts w:ascii="Arial" w:cs="Arial" w:eastAsia="Arial" w:hAnsi="Arial"/>
          <w:sz w:val="18"/>
          <w:szCs w:val="18"/>
          <w:color w:val="008000"/>
          <w:strike w:val="1"/>
        </w:rPr>
        <w:t>rate per annum equal to the</w:t>
      </w:r>
      <w:r>
        <w:rPr>
          <w:rFonts w:ascii="Arial" w:cs="Arial" w:eastAsia="Arial" w:hAnsi="Arial"/>
          <w:sz w:val="18"/>
          <w:szCs w:val="18"/>
          <w:color w:val="FF0000"/>
          <w:strike w:val="1"/>
        </w:rPr>
        <w:t xml:space="preserve"> highest </w:t>
      </w:r>
      <w:r>
        <w:rPr>
          <w:rFonts w:ascii="Arial" w:cs="Arial" w:eastAsia="Arial" w:hAnsi="Arial"/>
          <w:sz w:val="18"/>
          <w:szCs w:val="18"/>
          <w:color w:val="008000"/>
          <w:strike w:val="1"/>
        </w:rPr>
        <w:t>of (a) the Federal Funds Rate in effect</w:t>
      </w:r>
      <w:r>
        <w:rPr>
          <w:rFonts w:ascii="Arial" w:cs="Arial" w:eastAsia="Arial" w:hAnsi="Arial"/>
          <w:sz w:val="18"/>
          <w:szCs w:val="18"/>
          <w:color w:val="FF0000"/>
          <w:strike w:val="1"/>
        </w:rPr>
        <w:t xml:space="preserve"> for such day plus 1/2 of 1%,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and (c) the Eurodollar Rate that would be calculated as of such day (or, if such day </w:t>
      </w:r>
      <w:r>
        <w:rPr>
          <w:rFonts w:ascii="Arial" w:cs="Arial" w:eastAsia="Arial" w:hAnsi="Arial"/>
          <w:sz w:val="18"/>
          <w:szCs w:val="18"/>
          <w:color w:val="008000"/>
          <w:strike w:val="1"/>
        </w:rPr>
        <w:t>is not a Business Day,</w:t>
      </w:r>
      <w:r>
        <w:rPr>
          <w:rFonts w:ascii="Arial" w:cs="Arial" w:eastAsia="Arial" w:hAnsi="Arial"/>
          <w:sz w:val="18"/>
          <w:szCs w:val="18"/>
          <w:color w:val="FF0000"/>
          <w:strike w:val="1"/>
        </w:rPr>
        <w:t xml:space="preserve"> as of the next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-625475</wp:posOffset>
            </wp:positionV>
            <wp:extent cx="28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6264910</wp:posOffset>
            </wp:positionH>
            <wp:positionV relativeFrom="paragraph">
              <wp:posOffset>-213995</wp:posOffset>
            </wp:positionV>
            <wp:extent cx="28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color w:val="FF0000"/>
          <w:strike w:val="1"/>
        </w:rPr>
        <w:t>Business Day) in respect of a proposed Eurodollar Loan with a one month Interest Period plus 1% . Any change in such rate announced by JPMorgan Chase shall take effect at the opening of business on the day specified in the public announcement of such change.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“Base Rate Loan” means a Loan made hereunder that bears interest based upon the Base Rate.</w:t>
      </w:r>
    </w:p>
    <w:p>
      <w:pPr>
        <w:spacing w:after="0" w:line="225" w:lineRule="exact"/>
        <w:rPr>
          <w:sz w:val="20"/>
          <w:szCs w:val="20"/>
          <w:color w:val="auto"/>
        </w:rPr>
      </w:pPr>
    </w:p>
    <w:p>
      <w:pPr>
        <w:jc w:val="both"/>
        <w:ind w:right="460" w:firstLine="1297"/>
        <w:spacing w:after="0" w:line="264" w:lineRule="auto"/>
        <w:rPr>
          <w:sz w:val="20"/>
          <w:szCs w:val="20"/>
          <w:color w:val="auto"/>
        </w:rPr>
      </w:pPr>
      <w:r>
        <w:rPr>
          <w:rFonts w:ascii="Arial" w:cs="Arial" w:eastAsia="Arial" w:hAnsi="Arial"/>
          <w:sz w:val="18"/>
          <w:szCs w:val="18"/>
          <w:color w:val="auto"/>
        </w:rPr>
        <w:t>“Benefit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“Bidco” means a wholly-owned Subsidiary of Borrower formed for the purpose of acquiring all or a portion of the Target shares as set forth in the Offer Document.</w:t>
      </w:r>
    </w:p>
    <w:p>
      <w:pPr>
        <w:spacing w:after="0" w:line="170"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“Bridge Credit Agreement” means that certain 364-Day Bridge Credit Agreement dated as of April 25, 2018, by and among Comcast Corporation, the lenders party thereto, Bank of America, N.A., as administrative agent, and Wells Fargo Bank, National Association, as syndication agent.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Loan Documents” means the Loan Documents (as defined in the Bridge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Loans” means the Loans (as defined in the Bridge Credit Agreement).</w:t>
      </w:r>
    </w:p>
    <w:p>
      <w:pPr>
        <w:spacing w:after="0" w:line="225" w:lineRule="exact"/>
        <w:rPr>
          <w:sz w:val="20"/>
          <w:szCs w:val="20"/>
          <w:color w:val="auto"/>
        </w:rPr>
      </w:pPr>
    </w:p>
    <w:p>
      <w:pPr>
        <w:ind w:right="140" w:firstLine="1297"/>
        <w:spacing w:after="0" w:line="270" w:lineRule="auto"/>
        <w:rPr>
          <w:sz w:val="20"/>
          <w:szCs w:val="20"/>
          <w:color w:val="auto"/>
        </w:rPr>
      </w:pPr>
      <w:r>
        <w:rPr>
          <w:rFonts w:ascii="Arial" w:cs="Arial" w:eastAsia="Arial" w:hAnsi="Arial"/>
          <w:sz w:val="17"/>
          <w:szCs w:val="17"/>
          <w:color w:val="auto"/>
        </w:rPr>
        <w:t xml:space="preserve">“Business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“Business Day”, when used in connection with (i) any Eurodollar Rate Loan (or </w:t>
      </w:r>
      <w:r>
        <w:rPr>
          <w:rFonts w:ascii="Arial" w:cs="Arial" w:eastAsia="Arial" w:hAnsi="Arial"/>
          <w:sz w:val="17"/>
          <w:szCs w:val="17"/>
          <w:color w:val="FF0000"/>
          <w:strike w:val="1"/>
        </w:rPr>
        <w:t>Base Rate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ABR</w:t>
      </w:r>
      <w:r>
        <w:rPr>
          <w:rFonts w:ascii="Arial" w:cs="Arial" w:eastAsia="Arial" w:hAnsi="Arial"/>
          <w:sz w:val="17"/>
          <w:szCs w:val="17"/>
          <w:color w:val="0000FF"/>
        </w:rPr>
        <w:t xml:space="preserve"> </w:t>
      </w:r>
      <w:r>
        <w:rPr>
          <w:rFonts w:ascii="Arial" w:cs="Arial" w:eastAsia="Arial" w:hAnsi="Arial"/>
          <w:sz w:val="17"/>
          <w:szCs w:val="17"/>
          <w:color w:val="000000"/>
        </w:rPr>
        <w:t>Loan the rate of which is based on the</w:t>
      </w:r>
      <w:r>
        <w:rPr>
          <w:rFonts w:ascii="Arial" w:cs="Arial" w:eastAsia="Arial" w:hAnsi="Arial"/>
          <w:sz w:val="17"/>
          <w:szCs w:val="17"/>
          <w:color w:val="0000FF"/>
        </w:rPr>
        <w:t xml:space="preserve">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Adjusted LIBO</w:t>
      </w:r>
      <w:r>
        <w:rPr>
          <w:rFonts w:ascii="Arial" w:cs="Arial" w:eastAsia="Arial" w:hAnsi="Arial"/>
          <w:sz w:val="17"/>
          <w:szCs w:val="17"/>
          <w:color w:val="0000FF"/>
        </w:rPr>
        <w:t xml:space="preserve"> </w:t>
      </w:r>
      <w:r>
        <w:rPr>
          <w:rFonts w:ascii="Arial" w:cs="Arial" w:eastAsia="Arial" w:hAnsi="Arial"/>
          <w:sz w:val="17"/>
          <w:szCs w:val="17"/>
          <w:color w:val="000000"/>
        </w:rPr>
        <w:t>Rate), shall also exclude any day on which banks are not open for dealings in Dollar,</w:t>
      </w:r>
      <w:r>
        <w:rPr>
          <w:rFonts w:ascii="Arial" w:cs="Arial" w:eastAsia="Arial" w:hAnsi="Arial"/>
          <w:sz w:val="17"/>
          <w:szCs w:val="17"/>
          <w:color w:val="0000FF"/>
        </w:rPr>
        <w:t xml:space="preserve"> </w:t>
      </w:r>
      <w:r>
        <w:rPr>
          <w:rFonts w:ascii="Arial" w:cs="Arial" w:eastAsia="Arial" w:hAnsi="Arial"/>
          <w:sz w:val="17"/>
          <w:szCs w:val="17"/>
          <w:color w:val="000000"/>
        </w:rPr>
        <w:t>Euro or Sterling deposits in the London interbank market, (ii) any Loan denominated in Euros shall also exclude any day on which (x) commercial banks in London are authorized or required by law to remain closed or (y) TARGET is authorized or required by law to remain closed, (iii) any Loan denominated in Sterling shall also exclude any day on which commercial banks in London are authorized or required by law to remain closed, (iv) any Loan denominated in Yen shall also exclude any day on which commercial banks in Tokyo, Japan are authorized or required by law to remain closed and (v) any Loan denominated in Canadian Dollars shall also exclude any day on which commercial banks in Toronto, Canada are authorized or required by law to remain closed.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right="440" w:firstLine="1297"/>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“Canadian Dollar” and “C$” means lawful money of Canada.</w:t>
      </w:r>
    </w:p>
    <w:p>
      <w:pPr>
        <w:spacing w:after="0" w:line="225" w:lineRule="exact"/>
        <w:rPr>
          <w:sz w:val="20"/>
          <w:szCs w:val="20"/>
          <w:color w:val="auto"/>
        </w:rPr>
      </w:pPr>
    </w:p>
    <w:p>
      <w:pPr>
        <w:jc w:val="both"/>
        <w:ind w:firstLine="1364"/>
        <w:spacing w:after="0" w:line="269" w:lineRule="auto"/>
        <w:rPr>
          <w:sz w:val="20"/>
          <w:szCs w:val="20"/>
          <w:color w:val="auto"/>
        </w:rPr>
      </w:pPr>
      <w:r>
        <w:rPr>
          <w:rFonts w:ascii="Arial" w:cs="Arial" w:eastAsia="Arial" w:hAnsi="Arial"/>
          <w:sz w:val="17"/>
          <w:szCs w:val="17"/>
          <w:u w:val="single" w:color="auto"/>
          <w:color w:val="0000FF"/>
        </w:rPr>
        <w:t xml:space="preserve">“Canadian Prime Rate” means, on any day, the rate determined </w:t>
      </w:r>
      <w:r>
        <w:rPr>
          <w:rFonts w:ascii="Arial" w:cs="Arial" w:eastAsia="Arial" w:hAnsi="Arial"/>
          <w:sz w:val="17"/>
          <w:szCs w:val="17"/>
          <w:u w:val="single" w:color="auto"/>
          <w:color w:val="008000"/>
        </w:rPr>
        <w:t>by the Administrative Agent</w:t>
      </w:r>
      <w:r>
        <w:rPr>
          <w:rFonts w:ascii="Arial" w:cs="Arial" w:eastAsia="Arial" w:hAnsi="Arial"/>
          <w:sz w:val="17"/>
          <w:szCs w:val="17"/>
          <w:u w:val="single" w:color="auto"/>
          <w:color w:val="0000FF"/>
        </w:rPr>
        <w:t xml:space="preserve"> to be the higher of (i) the rate equal to the PRIMCAN Index rate that appears on the Bloomberg screen at 10:15 a.m. Toronto, Ontario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w:t>
      </w:r>
      <w:r>
        <w:rPr>
          <w:rFonts w:ascii="Arial" w:cs="Arial" w:eastAsia="Arial" w:hAnsi="Arial"/>
          <w:sz w:val="17"/>
          <w:szCs w:val="17"/>
          <w:u w:val="single" w:color="auto"/>
          <w:color w:val="008000"/>
        </w:rPr>
        <w:t>or, in the event</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such rate does not appear on </w:t>
      </w:r>
      <w:r>
        <w:rPr>
          <w:rFonts w:ascii="Arial" w:cs="Arial" w:eastAsia="Arial" w:hAnsi="Arial"/>
          <w:sz w:val="17"/>
          <w:szCs w:val="17"/>
          <w:u w:val="single" w:color="auto"/>
          <w:color w:val="0000FF"/>
        </w:rPr>
        <w:t>such</w:t>
      </w:r>
      <w:r>
        <w:rPr>
          <w:rFonts w:ascii="Arial" w:cs="Arial" w:eastAsia="Arial" w:hAnsi="Arial"/>
          <w:sz w:val="17"/>
          <w:szCs w:val="17"/>
          <w:u w:val="single" w:color="auto"/>
          <w:color w:val="008000"/>
        </w:rPr>
        <w:t xml:space="preserve"> page or screen, on any successor or substitute page </w:t>
      </w:r>
      <w:r>
        <w:rPr>
          <w:rFonts w:ascii="Arial" w:cs="Arial" w:eastAsia="Arial" w:hAnsi="Arial"/>
          <w:sz w:val="17"/>
          <w:szCs w:val="17"/>
          <w:u w:val="single" w:color="auto"/>
          <w:color w:val="0000FF"/>
        </w:rPr>
        <w:t>or</w:t>
      </w:r>
      <w:r>
        <w:rPr>
          <w:rFonts w:ascii="Arial" w:cs="Arial" w:eastAsia="Arial" w:hAnsi="Arial"/>
          <w:sz w:val="17"/>
          <w:szCs w:val="17"/>
          <w:u w:val="single" w:color="auto"/>
          <w:color w:val="008000"/>
        </w:rPr>
        <w:t xml:space="preserve"> screen that displays such rate, or on the appropriate page of such other information service that publishes such rate from time to time</w:t>
      </w:r>
      <w:r>
        <w:rPr>
          <w:rFonts w:ascii="Arial" w:cs="Arial" w:eastAsia="Arial" w:hAnsi="Arial"/>
          <w:sz w:val="17"/>
          <w:szCs w:val="17"/>
          <w:u w:val="single" w:color="auto"/>
          <w:color w:val="0000FF"/>
        </w:rPr>
        <w:t>, as selected by the</w:t>
      </w:r>
      <w:r>
        <w:rPr>
          <w:rFonts w:ascii="Arial" w:cs="Arial" w:eastAsia="Arial" w:hAnsi="Arial"/>
          <w:sz w:val="17"/>
          <w:szCs w:val="17"/>
          <w:u w:val="single" w:color="auto"/>
          <w:color w:val="008000"/>
        </w:rPr>
        <w:t xml:space="preserve"> Administrative Agent in its reasonable discretion) </w:t>
      </w:r>
      <w:r>
        <w:rPr>
          <w:rFonts w:ascii="Arial" w:cs="Arial" w:eastAsia="Arial" w:hAnsi="Arial"/>
          <w:sz w:val="17"/>
          <w:szCs w:val="17"/>
          <w:u w:val="single" w:color="auto"/>
          <w:color w:val="0000FF"/>
        </w:rPr>
        <w:t>at 10:15 a.m.</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Toronto, Ontario time on such day, plus 1% per annum; provided, that if any the above rates shall be less than zero, such rate shall be deemed to be zero for purposes of this Agreement. Any change in the Canadian Prime Rate due to a change in the PRIMCAN Index or the CDOR Screen Rate shall be effective from and including the effective date of such change in the PRIMCAN Index or CDOR Screen Rate, respectively. “Canadian Prime Rate” when used in reference to any Loan or Borrowing, refers to whether such Loan, or the Loans comprising such Borrowing, are bearing interest at a rate determined by reference to the Canadian Prime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-860425</wp:posOffset>
            </wp:positionV>
            <wp:extent cx="368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-860425</wp:posOffset>
            </wp:positionV>
            <wp:extent cx="368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-723265</wp:posOffset>
            </wp:positionV>
            <wp:extent cx="368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63"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6"/>
          <w:szCs w:val="16"/>
          <w:u w:val="single" w:color="auto"/>
          <w:color w:val="0000FF"/>
        </w:rPr>
        <w:t xml:space="preserve">“CDOR Screen Rate” means on any day for the relevant Interest Period, </w:t>
      </w:r>
      <w:r>
        <w:rPr>
          <w:rFonts w:ascii="Arial" w:cs="Arial" w:eastAsia="Arial" w:hAnsi="Arial"/>
          <w:sz w:val="16"/>
          <w:szCs w:val="16"/>
          <w:u w:val="single" w:color="auto"/>
          <w:color w:val="008000"/>
        </w:rPr>
        <w:t>the annual rate of interest</w:t>
      </w:r>
      <w:r>
        <w:rPr>
          <w:rFonts w:ascii="Arial" w:cs="Arial" w:eastAsia="Arial" w:hAnsi="Arial"/>
          <w:sz w:val="16"/>
          <w:szCs w:val="16"/>
          <w:u w:val="single" w:color="auto"/>
          <w:color w:val="0000FF"/>
        </w:rPr>
        <w:t xml:space="preserve"> equal to the average rate applicable to Canadian dollar Canadian bankers’ acceptances for the applicable period that appears on the “Reuters Screen CDOR Page” as defined in the International Swap Dealer Association, Inc . definitions, as modified and amended from time to time (or, in the event such rate </w:t>
      </w:r>
      <w:r>
        <w:rPr>
          <w:rFonts w:ascii="Arial" w:cs="Arial" w:eastAsia="Arial" w:hAnsi="Arial"/>
          <w:sz w:val="16"/>
          <w:szCs w:val="16"/>
          <w:u w:val="single" w:color="auto"/>
          <w:color w:val="008000"/>
        </w:rPr>
        <w:t>does not appear on such page or</w:t>
      </w:r>
      <w:r>
        <w:rPr>
          <w:rFonts w:ascii="Arial" w:cs="Arial" w:eastAsia="Arial" w:hAnsi="Arial"/>
          <w:sz w:val="16"/>
          <w:szCs w:val="16"/>
          <w:u w:val="single" w:color="auto"/>
          <w:color w:val="0000FF"/>
        </w:rPr>
        <w:t xml:space="preserve"> screen, </w:t>
      </w:r>
      <w:r>
        <w:rPr>
          <w:rFonts w:ascii="Arial" w:cs="Arial" w:eastAsia="Arial" w:hAnsi="Arial"/>
          <w:sz w:val="16"/>
          <w:szCs w:val="16"/>
          <w:u w:val="single" w:color="auto"/>
          <w:color w:val="008000"/>
        </w:rPr>
        <w:t>on</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any successor or substitute page </w:t>
      </w:r>
      <w:r>
        <w:rPr>
          <w:rFonts w:ascii="Arial" w:cs="Arial" w:eastAsia="Arial" w:hAnsi="Arial"/>
          <w:sz w:val="16"/>
          <w:szCs w:val="16"/>
          <w:u w:val="single" w:color="auto"/>
          <w:color w:val="0000FF"/>
        </w:rPr>
        <w:t>or screen</w:t>
      </w:r>
      <w:r>
        <w:rPr>
          <w:rFonts w:ascii="Arial" w:cs="Arial" w:eastAsia="Arial" w:hAnsi="Arial"/>
          <w:sz w:val="16"/>
          <w:szCs w:val="16"/>
          <w:u w:val="single" w:color="auto"/>
          <w:color w:val="008000"/>
        </w:rPr>
        <w:t xml:space="preserve"> that displays such rate, or on the appropriate page of such other information service that publishes such rate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6741160</wp:posOffset>
            </wp:positionH>
            <wp:positionV relativeFrom="paragraph">
              <wp:posOffset>-161290</wp:posOffset>
            </wp:positionV>
            <wp:extent cx="28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-24130</wp:posOffset>
            </wp:positionV>
            <wp:extent cx="28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right="20"/>
        <w:spacing w:after="0" w:line="214" w:lineRule="auto"/>
        <w:rPr>
          <w:sz w:val="20"/>
          <w:szCs w:val="20"/>
          <w:color w:val="auto"/>
        </w:rPr>
      </w:pPr>
      <w:r>
        <w:rPr>
          <w:rFonts w:ascii="Arial" w:cs="Arial" w:eastAsia="Arial" w:hAnsi="Arial"/>
          <w:sz w:val="18"/>
          <w:szCs w:val="18"/>
          <w:u w:val="single" w:color="auto"/>
          <w:color w:val="008000"/>
        </w:rPr>
        <w:t>time to time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 as selected</w:t>
      </w:r>
      <w:r>
        <w:rPr>
          <w:rFonts w:ascii="Arial" w:cs="Arial" w:eastAsia="Arial" w:hAnsi="Arial"/>
          <w:sz w:val="18"/>
          <w:szCs w:val="18"/>
          <w:color w:val="008000"/>
        </w:rPr>
        <w:t xml:space="preserve"> </w:t>
      </w:r>
      <w:r>
        <w:rPr>
          <w:rFonts w:ascii="Arial" w:cs="Arial" w:eastAsia="Arial" w:hAnsi="Arial"/>
          <w:sz w:val="18"/>
          <w:szCs w:val="18"/>
          <w:u w:val="single" w:color="auto"/>
          <w:color w:val="008000"/>
        </w:rPr>
        <w:t>by the Administrative Agent in its reasonable discretion)</w:t>
      </w:r>
      <w:r>
        <w:rPr>
          <w:rFonts w:ascii="Arial" w:cs="Arial" w:eastAsia="Arial" w:hAnsi="Arial"/>
          <w:sz w:val="18"/>
          <w:szCs w:val="18"/>
          <w:u w:val="single" w:color="auto"/>
          <w:color w:val="0000FF"/>
        </w:rPr>
        <w:t>, rounded to the nearest 1/100</w:t>
      </w:r>
      <w:r>
        <w:rPr>
          <w:rFonts w:ascii="Arial" w:cs="Arial" w:eastAsia="Arial" w:hAnsi="Arial"/>
          <w:sz w:val="42"/>
          <w:szCs w:val="42"/>
          <w:color w:val="0000FF"/>
          <w:vertAlign w:val="superscript"/>
        </w:rPr>
        <w:t>th</w:t>
      </w:r>
      <w:r>
        <w:rPr>
          <w:rFonts w:ascii="Arial" w:cs="Arial" w:eastAsia="Arial" w:hAnsi="Arial"/>
          <w:sz w:val="18"/>
          <w:szCs w:val="18"/>
          <w:color w:val="008000"/>
        </w:rPr>
        <w:t xml:space="preserve"> </w:t>
      </w:r>
      <w:r>
        <w:rPr>
          <w:rFonts w:ascii="Arial" w:cs="Arial" w:eastAsia="Arial" w:hAnsi="Arial"/>
          <w:sz w:val="18"/>
          <w:szCs w:val="18"/>
          <w:color w:val="0000FF"/>
        </w:rPr>
        <w:t>of 1% (with .005% being rounded up), as</w:t>
      </w:r>
      <w:r>
        <w:rPr>
          <w:rFonts w:ascii="Arial" w:cs="Arial" w:eastAsia="Arial" w:hAnsi="Arial"/>
          <w:sz w:val="18"/>
          <w:szCs w:val="18"/>
          <w:color w:val="008000"/>
        </w:rPr>
        <w:t xml:space="preserve"> </w:t>
      </w:r>
      <w:r>
        <w:rPr>
          <w:rFonts w:ascii="Arial" w:cs="Arial" w:eastAsia="Arial" w:hAnsi="Arial"/>
          <w:sz w:val="18"/>
          <w:szCs w:val="18"/>
          <w:color w:val="0000FF"/>
        </w:rPr>
        <w:t xml:space="preserve">of </w:t>
      </w:r>
      <w:r>
        <w:rPr>
          <w:rFonts w:ascii="Arial" w:cs="Arial" w:eastAsia="Arial" w:hAnsi="Arial"/>
          <w:sz w:val="18"/>
          <w:szCs w:val="18"/>
          <w:u w:val="single" w:color="auto"/>
          <w:color w:val="008000"/>
        </w:rPr>
        <w:t>as of the applicable Requisite Time for such Interest Period (as adjusted by Administrative Agent after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applicable Requisite</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Time to reflect any error in</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the posted rate of interest or in the posted average annual rate of interest)</w:t>
      </w:r>
      <w:r>
        <w:rPr>
          <w:rFonts w:ascii="Arial" w:cs="Arial" w:eastAsia="Arial" w:hAnsi="Arial"/>
          <w:sz w:val="18"/>
          <w:szCs w:val="18"/>
          <w:u w:val="single" w:color="auto"/>
          <w:color w:val="0000FF"/>
        </w:rPr>
        <w:t>. If the CDOR</w:t>
      </w:r>
      <w:r>
        <w:rPr>
          <w:rFonts w:ascii="Arial" w:cs="Arial" w:eastAsia="Arial" w:hAnsi="Arial"/>
          <w:sz w:val="18"/>
          <w:szCs w:val="18"/>
          <w:u w:val="single" w:color="auto"/>
          <w:color w:val="008000"/>
        </w:rPr>
        <w:t xml:space="preserve"> Screen Rate shall be less than zero, </w:t>
      </w:r>
      <w:r>
        <w:rPr>
          <w:rFonts w:ascii="Arial" w:cs="Arial" w:eastAsia="Arial" w:hAnsi="Arial"/>
          <w:sz w:val="18"/>
          <w:szCs w:val="18"/>
          <w:u w:val="single" w:color="auto"/>
          <w:color w:val="0000FF"/>
        </w:rPr>
        <w:t>the CDOR Screen Rate shall</w:t>
      </w:r>
      <w:r>
        <w:rPr>
          <w:rFonts w:ascii="Arial" w:cs="Arial" w:eastAsia="Arial" w:hAnsi="Arial"/>
          <w:sz w:val="18"/>
          <w:szCs w:val="18"/>
          <w:u w:val="single" w:color="auto"/>
          <w:color w:val="008000"/>
        </w:rPr>
        <w:t xml:space="preserve"> be deemed to be zero for purposes of this Agreement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-435610</wp:posOffset>
            </wp:positionV>
            <wp:extent cx="285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-298450</wp:posOffset>
            </wp:positionV>
            <wp:extent cx="28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-161290</wp:posOffset>
            </wp:positionV>
            <wp:extent cx="28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-161290</wp:posOffset>
            </wp:positionV>
            <wp:extent cx="368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 xml:space="preserve">“CDOR”: </w:t>
      </w:r>
      <w:r>
        <w:rPr>
          <w:rFonts w:ascii="Arial" w:cs="Arial" w:eastAsia="Arial" w:hAnsi="Arial"/>
          <w:sz w:val="18"/>
          <w:szCs w:val="18"/>
          <w:color w:val="008000"/>
          <w:strike w:val="1"/>
        </w:rPr>
        <w:t>in relation to any Loan denominated in</w:t>
      </w:r>
      <w:r>
        <w:rPr>
          <w:rFonts w:ascii="Arial" w:cs="Arial" w:eastAsia="Arial" w:hAnsi="Arial"/>
          <w:sz w:val="18"/>
          <w:szCs w:val="18"/>
          <w:color w:val="FF0000"/>
          <w:strike w:val="1"/>
        </w:rPr>
        <w:t xml:space="preserve">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-53340</wp:posOffset>
            </wp:positionV>
            <wp:extent cx="285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660" w:right="20" w:firstLine="645"/>
        <w:spacing w:after="0" w:line="277" w:lineRule="auto"/>
        <w:tabs>
          <w:tab w:leader="none" w:pos="1611" w:val="left"/>
        </w:tabs>
        <w:numPr>
          <w:ilvl w:val="0"/>
          <w:numId w:val="1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applicable </w:t>
      </w:r>
      <w:r>
        <w:rPr>
          <w:rFonts w:ascii="Arial" w:cs="Arial" w:eastAsia="Arial" w:hAnsi="Arial"/>
          <w:sz w:val="18"/>
          <w:szCs w:val="18"/>
          <w:color w:val="008000"/>
          <w:strike w:val="1"/>
        </w:rPr>
        <w:t>Screen Rate as of the applicable Requisite Time</w:t>
      </w:r>
      <w:r>
        <w:rPr>
          <w:rFonts w:ascii="Arial" w:cs="Arial" w:eastAsia="Arial" w:hAnsi="Arial"/>
          <w:sz w:val="18"/>
          <w:szCs w:val="18"/>
          <w:color w:val="FF0000"/>
          <w:strike w:val="1"/>
        </w:rPr>
        <w:t xml:space="preserve"> and </w:t>
      </w:r>
      <w:r>
        <w:rPr>
          <w:rFonts w:ascii="Arial" w:cs="Arial" w:eastAsia="Arial" w:hAnsi="Arial"/>
          <w:sz w:val="18"/>
          <w:szCs w:val="18"/>
          <w:color w:val="008000"/>
          <w:strike w:val="1"/>
        </w:rPr>
        <w:t>for a period equal in length to</w:t>
      </w:r>
      <w:r>
        <w:rPr>
          <w:rFonts w:ascii="Arial" w:cs="Arial" w:eastAsia="Arial" w:hAnsi="Arial"/>
          <w:sz w:val="18"/>
          <w:szCs w:val="18"/>
          <w:color w:val="FF0000"/>
          <w:strike w:val="1"/>
        </w:rPr>
        <w:t xml:space="preserve"> the Interest Period of the applicable Borrowing, Continuation or Conversion; or</w:t>
      </w:r>
    </w:p>
    <w:p>
      <w:pPr>
        <w:spacing w:after="0" w:line="170" w:lineRule="exact"/>
        <w:rPr>
          <w:rFonts w:ascii="Arial" w:cs="Arial" w:eastAsia="Arial" w:hAnsi="Arial"/>
          <w:sz w:val="18"/>
          <w:szCs w:val="18"/>
          <w:color w:val="FF0000"/>
          <w:strike w:val="1"/>
        </w:rPr>
      </w:pPr>
    </w:p>
    <w:p>
      <w:pPr>
        <w:ind w:left="1600" w:hanging="295"/>
        <w:spacing w:after="0"/>
        <w:tabs>
          <w:tab w:leader="none" w:pos="1600" w:val="left"/>
        </w:tabs>
        <w:numPr>
          <w:ilvl w:val="0"/>
          <w:numId w:val="10"/>
        </w:numPr>
        <w:rPr>
          <w:rFonts w:ascii="Arial" w:cs="Arial" w:eastAsia="Arial" w:hAnsi="Arial"/>
          <w:sz w:val="17"/>
          <w:szCs w:val="17"/>
          <w:color w:val="FF0000"/>
          <w:strike w:val="1"/>
        </w:rPr>
      </w:pPr>
      <w:r>
        <w:rPr>
          <w:rFonts w:ascii="Arial" w:cs="Arial" w:eastAsia="Arial" w:hAnsi="Arial"/>
          <w:sz w:val="17"/>
          <w:szCs w:val="17"/>
          <w:color w:val="FF0000"/>
          <w:strike w:val="1"/>
        </w:rPr>
        <w:t>In the event the applicable Interest Period is an Impacted Interest Period, the rate per annum equal to the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-457200</wp:posOffset>
            </wp:positionV>
            <wp:extent cx="28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7"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“Certain Funds Credit Extension” means a Borrowing made or to be made during the Certain Funds Period where such Borrowing is to be made solely to finance any Certain Funds Purpose.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“Certain Funds Period” means the period from and including the Amendment No. 1 Effective Date to and including the first to occur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right="680" w:firstLine="1305"/>
        <w:spacing w:after="0" w:line="277" w:lineRule="auto"/>
        <w:tabs>
          <w:tab w:leader="none" w:pos="15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first to occur of (i) the date that is 15 months from the issuance of the initial Rule 2.7 Announcement (the date of such issuance, the “Announcement Date”) and (ii) September 30, 2019;</w:t>
      </w:r>
    </w:p>
    <w:p>
      <w:pPr>
        <w:spacing w:after="0" w:line="170" w:lineRule="exact"/>
        <w:rPr>
          <w:rFonts w:ascii="Arial" w:cs="Arial" w:eastAsia="Arial" w:hAnsi="Arial"/>
          <w:sz w:val="18"/>
          <w:szCs w:val="18"/>
          <w:color w:val="auto"/>
        </w:rPr>
      </w:pPr>
    </w:p>
    <w:p>
      <w:pPr>
        <w:ind w:right="20" w:firstLine="1305"/>
        <w:spacing w:after="0" w:line="264" w:lineRule="auto"/>
        <w:tabs>
          <w:tab w:leader="none" w:pos="15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an Offer lapses, terminates or is withdrawn (unless, within ten Business Days of such date, Borrower has notified Administrative Agent that it intends to launch a Scheme or a new Offer and a Rule 2.7 Announcement in respect of that Scheme or Offer, as applicable, is issued;</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date which is twenty-one (21) days after the later of (i) the date on which an Offer has become or has been declared unconditional in all respects and (ii) the date on which an Offer has closed for acceptances (unless, in each case, compulsory squeeze-out procedures for the acquisition of minority shareholdings in the Target pursuant to Part 28 of the Companies Act (“Compulsory Acquisition Procedures”) have commenced before such date);</w:t>
      </w:r>
    </w:p>
    <w:p>
      <w:pPr>
        <w:spacing w:after="0" w:line="186" w:lineRule="exact"/>
        <w:rPr>
          <w:rFonts w:ascii="Arial" w:cs="Arial" w:eastAsia="Arial" w:hAnsi="Arial"/>
          <w:sz w:val="18"/>
          <w:szCs w:val="18"/>
          <w:color w:val="auto"/>
        </w:rPr>
      </w:pPr>
    </w:p>
    <w:p>
      <w:pPr>
        <w:ind w:right="20" w:firstLine="1305"/>
        <w:spacing w:after="0" w:line="264" w:lineRule="auto"/>
        <w:tabs>
          <w:tab w:leader="none" w:pos="15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date on which the Target becomes a direct or indirect wholly-owned Subsidiary of Borrower and Borrower has paid all sums due pursuant to or in connection with, the Target Acquisition and any surrender or cancellation of options or awards over the shares of the Target;</w:t>
      </w:r>
    </w:p>
    <w:p>
      <w:pPr>
        <w:spacing w:after="0" w:line="181" w:lineRule="exact"/>
        <w:rPr>
          <w:rFonts w:ascii="Arial" w:cs="Arial" w:eastAsia="Arial" w:hAnsi="Arial"/>
          <w:sz w:val="18"/>
          <w:szCs w:val="18"/>
          <w:color w:val="auto"/>
        </w:rPr>
      </w:pPr>
    </w:p>
    <w:p>
      <w:pPr>
        <w:ind w:firstLine="1305"/>
        <w:spacing w:after="0" w:line="264" w:lineRule="auto"/>
        <w:tabs>
          <w:tab w:leader="none" w:pos="15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Target Acquisition is effected by way of a Scheme, 11:59 p.m. (New York City time) on the date falling 14 days after the Scheme Effective Date or, if later, the date immediately following any extension of the period for settlement of consideration provided by the Panel pursuant to the Takeover Code;</w:t>
      </w:r>
    </w:p>
    <w:p>
      <w:pPr>
        <w:spacing w:after="0" w:line="181" w:lineRule="exact"/>
        <w:rPr>
          <w:rFonts w:ascii="Arial" w:cs="Arial" w:eastAsia="Arial" w:hAnsi="Arial"/>
          <w:sz w:val="18"/>
          <w:szCs w:val="18"/>
          <w:color w:val="auto"/>
        </w:rPr>
      </w:pPr>
    </w:p>
    <w:p>
      <w:pPr>
        <w:ind w:right="180" w:firstLine="1305"/>
        <w:spacing w:after="0" w:line="286" w:lineRule="auto"/>
        <w:tabs>
          <w:tab w:leader="none" w:pos="15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11:59 p.m. (New York City time) on the date upon which a Scheme lapses, terminates or is withdrawn (or the same is rejected by the High Court or is not approved by the requisite shareholders of the Target (unless, within ten Business Days of such date, Borrower has notified Administrative Agent that it intends to launch an Offer and a Rule 2.7 Announcement in respect of that Offer is issued); and</w:t>
      </w:r>
    </w:p>
    <w:p>
      <w:pPr>
        <w:spacing w:after="0" w:line="165" w:lineRule="exact"/>
        <w:rPr>
          <w:rFonts w:ascii="Arial" w:cs="Arial" w:eastAsia="Arial" w:hAnsi="Arial"/>
          <w:sz w:val="17"/>
          <w:szCs w:val="17"/>
          <w:color w:val="auto"/>
        </w:rPr>
      </w:pPr>
    </w:p>
    <w:p>
      <w:pPr>
        <w:ind w:left="1600" w:hanging="295"/>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earlier termination date as may be expressly specified by Borrower to Administrative Agent in writing.</w:t>
      </w:r>
    </w:p>
    <w:p>
      <w:pPr>
        <w:spacing w:after="0" w:line="225"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color w:val="auto"/>
        </w:rPr>
        <w:t>“Certain Funds Purpose” means the consummation of any portion of the Target Acquisition (including, for the avoidance of doubt, any initial or subsequent purchase of Target shares during the Certain Funds Period) and/or the payment of any portion of the Transaction Costs.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Termination Date” means the date that is the last day of the Certain Funds Period.</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48" w:name="page49"/>
    <w:bookmarkEnd w:id="48"/>
    <w:p>
      <w:pPr>
        <w:ind w:left="1300"/>
        <w:spacing w:after="0"/>
        <w:rPr>
          <w:sz w:val="20"/>
          <w:szCs w:val="20"/>
          <w:color w:val="auto"/>
        </w:rPr>
      </w:pPr>
      <w:r>
        <w:rPr>
          <w:rFonts w:ascii="Arial" w:cs="Arial" w:eastAsia="Arial" w:hAnsi="Arial"/>
          <w:sz w:val="18"/>
          <w:szCs w:val="18"/>
          <w:color w:val="auto"/>
        </w:rPr>
        <w:t>“Clean-Up Period Termination Date” means the date that is 120 days after the Final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“Co-Documentation Agents” has the meaning set forth in the introductory paragraph hereto.</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any Lender or any Issuing Lender by means of electronic communications pursuant to Section 10.02(e), including through an Electronic System.</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“Companies Act” means the Companies Act 2006 of the United Kingdom,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Bid” means an offer by a Lender to make a Competitive Loan in accordance with Section 2.04.</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Bid Request” means a request by Borrower for Competitive Bids in accordance with Section 2.04.</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“Competitive Borrowing” means a Competitive Loan or group of Competitive Loans of the same type made on the same date and as to which a single Interest Period is in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“Compliance Certificate” means a certificate substantially in the form of Exhibit C, properly completed and signed by a Responsible Officer of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“Compulsory Acquisition Procedures” has the meaning set forth in the definition of Certain Funds Period.</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“Consolidated Net Tangible Assets” means, at any time, total assets minus (a) all franchise rights, goodwill, and other intangible assets, net of accumulated amortization and (b) all current liabilities (other than current portion of long-term debt), in each case appearing on the consolidated balance sheet of Borrower and its consolidated Subsidiaries most recently delivered (prior to such time) pursuant to Section 4.01(d)(i) or Section 6.01(a) (as applicable).</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substantially similar terms to the asset monetization transactions set forth on Schedule A (collectively, “Asset Monetization Transactions”).</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70"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“Declining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“Default Rate” means an interest rate equal to (i) in the case of overdue principal of any Loan, 2% per annum plus the rate otherwise applicable to such Loan as provided in Section 2.09(a) or (ii) in the case of any other overdue amount, 2% per annum plus the rate applicable to </w:t>
      </w:r>
      <w:r>
        <w:rPr>
          <w:rFonts w:ascii="Arial" w:cs="Arial" w:eastAsia="Arial" w:hAnsi="Arial"/>
          <w:sz w:val="18"/>
          <w:szCs w:val="18"/>
          <w:color w:val="FF0000"/>
          <w:strike w:val="1"/>
        </w:rPr>
        <w:t>Base</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ABR</w:t>
      </w:r>
      <w:r>
        <w:rPr>
          <w:rFonts w:ascii="Arial" w:cs="Arial" w:eastAsia="Arial" w:hAnsi="Arial"/>
          <w:sz w:val="18"/>
          <w:szCs w:val="18"/>
          <w:color w:val="FF0000"/>
        </w:rPr>
        <w:t xml:space="preserve"> </w:t>
      </w:r>
      <w:r>
        <w:rPr>
          <w:rFonts w:ascii="Arial" w:cs="Arial" w:eastAsia="Arial" w:hAnsi="Arial"/>
          <w:sz w:val="18"/>
          <w:szCs w:val="18"/>
          <w:color w:val="000000"/>
        </w:rPr>
        <w:t>Loans, in each case to the fullest extent permitted by applicable Laws.</w:t>
      </w:r>
    </w:p>
    <w:p>
      <w:pPr>
        <w:spacing w:after="0" w:line="181"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(e)(i) been (or has a parent company, including any intermediate parent company, that has been)</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7"/>
          <w:szCs w:val="17"/>
          <w:color w:val="auto"/>
        </w:rPr>
        <w:t>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 -in Action or bankruptcy proceeding or appointment, unless in the case of any Lender referred to in this clause (e) Borrower, Administrative Agent and each Issuing Lender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8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“Dollar Amount” means, at any time, for any amount, (i) if denominated in Dollars, the amount thereof and (ii) if denominated in an Alternative Currency, the amount thereof converted to Dollars in accordance with Section 2.15.</w:t>
      </w:r>
    </w:p>
    <w:p>
      <w:pPr>
        <w:spacing w:after="0" w:line="170" w:lineRule="exact"/>
        <w:rPr>
          <w:sz w:val="20"/>
          <w:szCs w:val="20"/>
          <w:color w:val="auto"/>
        </w:rPr>
      </w:pPr>
    </w:p>
    <w:p>
      <w:pPr>
        <w:ind w:right="180" w:firstLine="1297"/>
        <w:spacing w:after="0" w:line="291" w:lineRule="auto"/>
        <w:rPr>
          <w:sz w:val="20"/>
          <w:szCs w:val="20"/>
          <w:color w:val="auto"/>
        </w:rPr>
      </w:pPr>
      <w:r>
        <w:rPr>
          <w:rFonts w:ascii="Arial" w:cs="Arial" w:eastAsia="Arial" w:hAnsi="Arial"/>
          <w:sz w:val="16"/>
          <w:szCs w:val="16"/>
          <w:color w:val="auto"/>
        </w:rPr>
        <w:t>“Draw-Stop Event” means, from and after the Amendment No. 1 Effective Date, the continuance of any of the following events with respect to Borrower and the Guarantors only (and not, for the avoidance of doubt, (x) in relation to any other Subsidiary of Borrower or the Target Group or</w:t>
      </w:r>
    </w:p>
    <w:p>
      <w:pPr>
        <w:ind w:right="42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any obligation to procure any action by any other Subsidiary of Borrower or the Target Group), in each case, for the avoidance of doubt, unless waived by the Required Lenders:</w:t>
      </w:r>
    </w:p>
    <w:p>
      <w:pPr>
        <w:spacing w:after="0" w:line="183" w:lineRule="exact"/>
        <w:rPr>
          <w:rFonts w:ascii="Arial" w:cs="Arial" w:eastAsia="Arial" w:hAnsi="Arial"/>
          <w:sz w:val="18"/>
          <w:szCs w:val="18"/>
          <w:color w:val="auto"/>
        </w:rPr>
      </w:pPr>
    </w:p>
    <w:p>
      <w:pPr>
        <w:ind w:left="660" w:right="60" w:firstLine="645"/>
        <w:spacing w:after="0" w:line="257" w:lineRule="auto"/>
        <w:tabs>
          <w:tab w:leader="none" w:pos="15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Borrower shall have failed to comply (or shall have failed to procure that Bidco shall have complied) in all material respects with (i) the Takeover Code and (ii) all other applicable laws and regulations in relation to any Offer or Scheme, in each case in relation to the Target Acquisition and, subject to any waivers or dispensations granted by the Panel, the U.S. Securities and Exchange Commission or any other applicable regulator, and in the case of either of (i) and (ii), such failure shall have continued for 30 days after notice thereof to Borrower from Administrative Agent or any Lender;</w:t>
      </w:r>
    </w:p>
    <w:p>
      <w:pPr>
        <w:spacing w:after="0" w:line="188" w:lineRule="exact"/>
        <w:rPr>
          <w:rFonts w:ascii="Arial" w:cs="Arial" w:eastAsia="Arial" w:hAnsi="Arial"/>
          <w:sz w:val="18"/>
          <w:szCs w:val="18"/>
          <w:color w:val="auto"/>
        </w:rPr>
      </w:pPr>
    </w:p>
    <w:p>
      <w:pPr>
        <w:ind w:left="660" w:right="20" w:firstLine="645"/>
        <w:spacing w:after="0" w:line="257" w:lineRule="auto"/>
        <w:tabs>
          <w:tab w:leader="none" w:pos="16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 except as consented to by the Required Lenders in writing (such consent not to be unreasonably withheld, conditioned or delayed), Borrower shall have (or shall have failed to procure that Bidco shall not have) amended, treated as satisfied or waived any term or condition of an Offer or a Scheme set out in the relevant Target Acquisition Document other than any such amendment, treatment or waiver which is not a Materially Adverse Amendment; provided that Borrower may amend, treat as satisfied or waive any term or condition of an Offer or a Scheme to the extent required by the Takeover Code, the Panel, any other competent</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660" w:right="200"/>
        <w:spacing w:after="0" w:line="259" w:lineRule="auto"/>
        <w:rPr>
          <w:sz w:val="20"/>
          <w:szCs w:val="20"/>
          <w:color w:val="auto"/>
        </w:rPr>
      </w:pPr>
      <w:r>
        <w:rPr>
          <w:rFonts w:ascii="Arial" w:cs="Arial" w:eastAsia="Arial" w:hAnsi="Arial"/>
          <w:sz w:val="18"/>
          <w:szCs w:val="18"/>
          <w:color w:val="auto"/>
        </w:rPr>
        <w:t>regulatory body or by a court of competent jurisdiction, or (ii) in the case of an Offer, Borrower shall have (or shall have failed to procure that Bidco shall not have) declared any Offer unconditional as to acceptances until the Acceptance Condition shall have been satisfied; and in the case of either of (i) and (ii), such occurrence shall have continued for 30 days after notice thereof to Borrower from Administrative Agent or any Lender; and/or</w:t>
      </w:r>
    </w:p>
    <w:p>
      <w:pPr>
        <w:spacing w:after="0" w:line="187" w:lineRule="exact"/>
        <w:rPr>
          <w:sz w:val="20"/>
          <w:szCs w:val="20"/>
          <w:color w:val="auto"/>
        </w:rPr>
      </w:pPr>
    </w:p>
    <w:p>
      <w:pPr>
        <w:ind w:left="660" w:right="80" w:firstLine="645"/>
        <w:spacing w:after="0" w:line="259" w:lineRule="auto"/>
        <w:tabs>
          <w:tab w:leader="none" w:pos="15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Borrower shall be unable to represent, in all material respects and at the applicable time, that (i) in the case of an Offer (as applicable), the Offer Press Release and the Offer Documents shall contain all material terms of the Offer (taken as a whole) as at the date on which they were published or (ii) in the case of a Scheme (as applicable), the Scheme Press Release and the Scheme Documents contain all the material terms of the Scheme (taken as a whole) as at the date on which they were published.</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 plus (e) any and all Transaction Costs incurred by Borrower and/or its Restricted Subsidiaries (in each case whether paid in cash or accrued).</w:t>
      </w:r>
    </w:p>
    <w:p>
      <w:pPr>
        <w:spacing w:after="0" w:line="189"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ind w:right="560" w:firstLine="1297"/>
        <w:spacing w:after="0" w:line="279" w:lineRule="auto"/>
        <w:rPr>
          <w:sz w:val="20"/>
          <w:szCs w:val="20"/>
          <w:color w:val="auto"/>
        </w:rPr>
      </w:pPr>
      <w:r>
        <w:rPr>
          <w:rFonts w:ascii="Arial" w:cs="Arial" w:eastAsia="Arial" w:hAnsi="Arial"/>
          <w:sz w:val="17"/>
          <w:szCs w:val="17"/>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“Effective Date” means the date upon which all the conditions precedent in Section 4.01 have been satisfied or waived, which date is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26, 2016.</w:t>
      </w:r>
    </w:p>
    <w:p>
      <w:pPr>
        <w:spacing w:after="0" w:line="209" w:lineRule="exact"/>
        <w:rPr>
          <w:sz w:val="20"/>
          <w:szCs w:val="20"/>
          <w:color w:val="auto"/>
        </w:rPr>
      </w:pPr>
    </w:p>
    <w:p>
      <w:pPr>
        <w:ind w:right="80" w:firstLine="1297"/>
        <w:spacing w:after="0" w:line="210"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42"/>
          <w:szCs w:val="42"/>
          <w:color w:val="auto"/>
          <w:vertAlign w:val="superscript"/>
        </w:rPr>
        <w:t>®,</w:t>
      </w:r>
      <w:r>
        <w:rPr>
          <w:rFonts w:ascii="Arial" w:cs="Arial" w:eastAsia="Arial" w:hAnsi="Arial"/>
          <w:sz w:val="18"/>
          <w:szCs w:val="18"/>
          <w:color w:val="auto"/>
        </w:rPr>
        <w:t xml:space="preserve"> ClearPar®, Debt Domain, Syndtrak and any other Internet or extranet-based site, whether such electronic system is owned, operated or hosted by Administrative Agent or any other Person, providing for access to data protected by passcodes or other security system.</w:t>
      </w: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2" w:name="page53"/>
    <w:bookmarkEnd w:id="52"/>
    <w:p>
      <w:pPr>
        <w:ind w:right="40" w:firstLine="1297"/>
        <w:spacing w:after="0" w:line="290" w:lineRule="auto"/>
        <w:rPr>
          <w:sz w:val="20"/>
          <w:szCs w:val="20"/>
          <w:color w:val="auto"/>
        </w:rPr>
      </w:pPr>
      <w:r>
        <w:rPr>
          <w:rFonts w:ascii="Arial" w:cs="Arial" w:eastAsia="Arial" w:hAnsi="Arial"/>
          <w:sz w:val="16"/>
          <w:szCs w:val="16"/>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w:t>
      </w:r>
    </w:p>
    <w:p>
      <w:pPr>
        <w:spacing w:after="0" w:line="166" w:lineRule="exact"/>
        <w:rPr>
          <w:sz w:val="20"/>
          <w:szCs w:val="20"/>
          <w:color w:val="auto"/>
        </w:rPr>
      </w:pPr>
    </w:p>
    <w:p>
      <w:pPr>
        <w:ind w:right="540" w:firstLine="1297"/>
        <w:spacing w:after="0" w:line="264" w:lineRule="auto"/>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“ERISA” means the Employee Retirement Income Security Act of 1974 and any regulations issued pursuant thereto, as amended from time to time.</w:t>
      </w:r>
    </w:p>
    <w:p>
      <w:pPr>
        <w:spacing w:after="0" w:line="170"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4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 of ERISA).</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u w:val="single" w:color="auto"/>
          <w:color w:val="0000FF"/>
        </w:rPr>
        <w:t xml:space="preserve">“EURIBOR Screen Rate” means, </w:t>
      </w:r>
      <w:r>
        <w:rPr>
          <w:rFonts w:ascii="Arial" w:cs="Arial" w:eastAsia="Arial" w:hAnsi="Arial"/>
          <w:sz w:val="18"/>
          <w:szCs w:val="18"/>
          <w:u w:val="single" w:color="auto"/>
          <w:color w:val="008000"/>
        </w:rPr>
        <w:t>in relation to any Loan denominated in</w:t>
      </w:r>
      <w:r>
        <w:rPr>
          <w:rFonts w:ascii="Arial" w:cs="Arial" w:eastAsia="Arial" w:hAnsi="Arial"/>
          <w:sz w:val="18"/>
          <w:szCs w:val="18"/>
          <w:u w:val="single" w:color="auto"/>
          <w:color w:val="0000FF"/>
        </w:rPr>
        <w:t xml:space="preserve"> Euros, the euro interbank offered rate administered by the European Money Markets Institute (</w:t>
      </w:r>
      <w:r>
        <w:rPr>
          <w:rFonts w:ascii="Arial" w:cs="Arial" w:eastAsia="Arial" w:hAnsi="Arial"/>
          <w:sz w:val="18"/>
          <w:szCs w:val="18"/>
          <w:u w:val="single" w:color="auto"/>
          <w:color w:val="008000"/>
        </w:rPr>
        <w:t>or any other Person</w:t>
      </w:r>
      <w:r>
        <w:rPr>
          <w:rFonts w:ascii="Arial" w:cs="Arial" w:eastAsia="Arial" w:hAnsi="Arial"/>
          <w:sz w:val="18"/>
          <w:szCs w:val="18"/>
          <w:u w:val="single" w:color="auto"/>
          <w:color w:val="0000FF"/>
        </w:rPr>
        <w:t xml:space="preserve"> which takes over the administration of </w:t>
      </w:r>
      <w:r>
        <w:rPr>
          <w:rFonts w:ascii="Arial" w:cs="Arial" w:eastAsia="Arial" w:hAnsi="Arial"/>
          <w:sz w:val="18"/>
          <w:szCs w:val="18"/>
          <w:u w:val="single" w:color="auto"/>
          <w:color w:val="008000"/>
        </w:rPr>
        <w:t>that rate) for the</w:t>
      </w:r>
      <w:r>
        <w:rPr>
          <w:rFonts w:ascii="Arial" w:cs="Arial" w:eastAsia="Arial" w:hAnsi="Arial"/>
          <w:sz w:val="18"/>
          <w:szCs w:val="18"/>
          <w:u w:val="single" w:color="auto"/>
          <w:color w:val="0000FF"/>
        </w:rPr>
        <w:t xml:space="preserve"> relevant period displayed on page EURIBOR01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-312420</wp:posOffset>
            </wp:positionV>
            <wp:extent cx="457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20" cy="889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-175260</wp:posOffset>
            </wp:positionV>
            <wp:extent cx="539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975" cy="889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-175260</wp:posOffset>
            </wp:positionV>
            <wp:extent cx="539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u w:val="single" w:color="auto"/>
          <w:color w:val="0000FF"/>
        </w:rPr>
        <w:t xml:space="preserve">Thomson Reuters screen (or any replacement Thomson Reuters page which displays that rate) or on the appropriate page of such other information service which publishes that rate </w:t>
      </w:r>
      <w:r>
        <w:rPr>
          <w:rFonts w:ascii="Arial" w:cs="Arial" w:eastAsia="Arial" w:hAnsi="Arial"/>
          <w:sz w:val="17"/>
          <w:szCs w:val="17"/>
          <w:u w:val="single" w:color="auto"/>
          <w:color w:val="008000"/>
        </w:rPr>
        <w:t>from time to time in</w:t>
      </w:r>
      <w:r>
        <w:rPr>
          <w:rFonts w:ascii="Arial" w:cs="Arial" w:eastAsia="Arial" w:hAnsi="Arial"/>
          <w:sz w:val="17"/>
          <w:szCs w:val="17"/>
          <w:u w:val="single" w:color="auto"/>
          <w:color w:val="0000FF"/>
        </w:rPr>
        <w:t xml:space="preserve"> place of Thomson Reuters as the applicable Requisite Time.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-318770</wp:posOffset>
            </wp:positionV>
            <wp:extent cx="285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“EURIBOR”: in relation to any Loan denominated in Euros:</w:t>
      </w:r>
    </w:p>
    <w:p>
      <w:pPr>
        <w:spacing w:after="0" w:line="225" w:lineRule="exact"/>
        <w:rPr>
          <w:sz w:val="20"/>
          <w:szCs w:val="20"/>
          <w:color w:val="auto"/>
        </w:rPr>
      </w:pPr>
    </w:p>
    <w:p>
      <w:pPr>
        <w:ind w:left="660" w:right="40" w:firstLine="645"/>
        <w:spacing w:after="0" w:line="277" w:lineRule="auto"/>
        <w:tabs>
          <w:tab w:leader="none" w:pos="1611" w:val="left"/>
        </w:tabs>
        <w:numPr>
          <w:ilvl w:val="0"/>
          <w:numId w:val="14"/>
        </w:numPr>
        <w:rPr>
          <w:rFonts w:ascii="Arial" w:cs="Arial" w:eastAsia="Arial" w:hAnsi="Arial"/>
          <w:sz w:val="18"/>
          <w:szCs w:val="18"/>
          <w:color w:val="FF0000"/>
          <w:strike w:val="1"/>
        </w:rPr>
      </w:pPr>
      <w:r>
        <w:rPr>
          <w:rFonts w:ascii="Arial" w:cs="Arial" w:eastAsia="Arial" w:hAnsi="Arial"/>
          <w:sz w:val="18"/>
          <w:szCs w:val="18"/>
          <w:color w:val="FF0000"/>
          <w:strike w:val="1"/>
        </w:rPr>
        <w:t>the applicable Screen Rate as of the applicable Requisite Time and for a period equal in length to the Interest Period of the applicable Borrowing, Continuation or Conversion; or</w:t>
      </w:r>
    </w:p>
    <w:p>
      <w:pPr>
        <w:spacing w:after="0" w:line="170" w:lineRule="exact"/>
        <w:rPr>
          <w:rFonts w:ascii="Arial" w:cs="Arial" w:eastAsia="Arial" w:hAnsi="Arial"/>
          <w:sz w:val="18"/>
          <w:szCs w:val="18"/>
          <w:color w:val="FF0000"/>
          <w:strike w:val="1"/>
        </w:rPr>
      </w:pPr>
    </w:p>
    <w:p>
      <w:pPr>
        <w:ind w:left="1600" w:hanging="295"/>
        <w:spacing w:after="0"/>
        <w:tabs>
          <w:tab w:leader="none" w:pos="1600" w:val="left"/>
        </w:tabs>
        <w:numPr>
          <w:ilvl w:val="0"/>
          <w:numId w:val="14"/>
        </w:numPr>
        <w:rPr>
          <w:rFonts w:ascii="Arial" w:cs="Arial" w:eastAsia="Arial" w:hAnsi="Arial"/>
          <w:sz w:val="17"/>
          <w:szCs w:val="17"/>
          <w:color w:val="FF0000"/>
          <w:strike w:val="1"/>
        </w:rPr>
      </w:pPr>
      <w:r>
        <w:rPr>
          <w:rFonts w:ascii="Arial" w:cs="Arial" w:eastAsia="Arial" w:hAnsi="Arial"/>
          <w:sz w:val="17"/>
          <w:szCs w:val="17"/>
          <w:color w:val="FF0000"/>
          <w:strike w:val="1"/>
        </w:rPr>
        <w:t>in the event the applicable Interest Period is an Impacted Interest Period, the rate per annum equal to the Interpolated Rate.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 and “€” means lawful money of the European Union.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 xml:space="preserve">“Eurodollar Base Rate” </w:t>
      </w:r>
      <w:r>
        <w:rPr>
          <w:rFonts w:ascii="Arial" w:cs="Arial" w:eastAsia="Arial" w:hAnsi="Arial"/>
          <w:sz w:val="18"/>
          <w:szCs w:val="18"/>
          <w:color w:val="008000"/>
          <w:strike w:val="1"/>
        </w:rPr>
        <w:t>has the meaning set forth in the definition of Eurodollar Rate.</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“Eurodollar Rate” means </w:t>
      </w:r>
      <w:r>
        <w:rPr>
          <w:rFonts w:ascii="Arial" w:cs="Arial" w:eastAsia="Arial" w:hAnsi="Arial"/>
          <w:sz w:val="18"/>
          <w:szCs w:val="18"/>
          <w:color w:val="FF0000"/>
        </w:rPr>
        <w:t>for any Interest Period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with respect to any Eurodollar Rate </w:t>
      </w:r>
      <w:r>
        <w:rPr>
          <w:rFonts w:ascii="Arial" w:cs="Arial" w:eastAsia="Arial" w:hAnsi="Arial"/>
          <w:sz w:val="18"/>
          <w:szCs w:val="18"/>
          <w:color w:val="FF0000"/>
          <w:strike w:val="1"/>
        </w:rPr>
        <w:t>Loan, a rate per annum determined by Administrative</w:t>
      </w:r>
      <w:r>
        <w:rPr>
          <w:rFonts w:ascii="Arial" w:cs="Arial" w:eastAsia="Arial" w:hAnsi="Arial"/>
          <w:sz w:val="18"/>
          <w:szCs w:val="18"/>
          <w:color w:val="auto"/>
        </w:rPr>
        <w:t xml:space="preserve"> </w:t>
      </w:r>
      <w:r>
        <w:rPr>
          <w:rFonts w:ascii="Arial" w:cs="Arial" w:eastAsia="Arial" w:hAnsi="Arial"/>
          <w:sz w:val="18"/>
          <w:szCs w:val="18"/>
          <w:color w:val="FF0000"/>
          <w:strike w:val="1"/>
        </w:rPr>
        <w:t>Agent pursuant to the following formula</w:t>
      </w:r>
      <w:r>
        <w:rPr>
          <w:rFonts w:ascii="Arial" w:cs="Arial" w:eastAsia="Arial" w:hAnsi="Arial"/>
          <w:sz w:val="18"/>
          <w:szCs w:val="18"/>
          <w:u w:val="single" w:color="auto"/>
          <w:color w:val="0000FF"/>
        </w:rPr>
        <w:t>Borrowing for any Interest Period</w:t>
      </w:r>
      <w:r>
        <w:rPr>
          <w:rFonts w:ascii="Arial" w:cs="Arial" w:eastAsia="Arial" w:hAnsi="Arial"/>
          <w:sz w:val="18"/>
          <w:szCs w:val="18"/>
          <w:color w:val="000000"/>
        </w:rPr>
        <w:t>:</w:t>
      </w:r>
    </w:p>
    <w:p>
      <w:pPr>
        <w:spacing w:after="0" w:line="170" w:lineRule="exact"/>
        <w:rPr>
          <w:sz w:val="20"/>
          <w:szCs w:val="20"/>
          <w:color w:val="auto"/>
        </w:rPr>
      </w:pPr>
    </w:p>
    <w:p>
      <w:pPr>
        <w:ind w:left="2220" w:hanging="267"/>
        <w:spacing w:after="0"/>
        <w:tabs>
          <w:tab w:leader="none" w:pos="2220" w:val="left"/>
        </w:tabs>
        <w:numPr>
          <w:ilvl w:val="0"/>
          <w:numId w:val="15"/>
        </w:numPr>
        <w:rPr>
          <w:rFonts w:ascii="Arial" w:cs="Arial" w:eastAsia="Arial" w:hAnsi="Arial"/>
          <w:sz w:val="16"/>
          <w:szCs w:val="16"/>
          <w:color w:val="0000FF"/>
        </w:rPr>
      </w:pPr>
      <w:r>
        <w:rPr>
          <w:rFonts w:ascii="Arial" w:cs="Arial" w:eastAsia="Arial" w:hAnsi="Arial"/>
          <w:sz w:val="16"/>
          <w:szCs w:val="16"/>
          <w:u w:val="single" w:color="auto"/>
          <w:color w:val="0000FF"/>
        </w:rPr>
        <w:t>denominated in a LIBOR Quoted Currency, the Adjusted LIBO Rate (or, in the case of a Competitive Loan, the LIBO Rate);</w:t>
      </w:r>
    </w:p>
    <w:p>
      <w:pPr>
        <w:spacing w:after="0" w:line="248" w:lineRule="exact"/>
        <w:rPr>
          <w:rFonts w:ascii="Arial" w:cs="Arial" w:eastAsia="Arial" w:hAnsi="Arial"/>
          <w:sz w:val="16"/>
          <w:szCs w:val="16"/>
          <w:color w:val="0000FF"/>
        </w:rPr>
      </w:pPr>
    </w:p>
    <w:p>
      <w:pPr>
        <w:ind w:left="2260" w:hanging="307"/>
        <w:spacing w:after="0"/>
        <w:tabs>
          <w:tab w:leader="none" w:pos="2260" w:val="left"/>
        </w:tabs>
        <w:numPr>
          <w:ilvl w:val="0"/>
          <w:numId w:val="15"/>
        </w:numPr>
        <w:rPr>
          <w:rFonts w:ascii="Arial" w:cs="Arial" w:eastAsia="Arial" w:hAnsi="Arial"/>
          <w:sz w:val="18"/>
          <w:szCs w:val="18"/>
          <w:color w:val="0000FF"/>
        </w:rPr>
      </w:pPr>
      <w:r>
        <w:rPr>
          <w:rFonts w:ascii="Arial" w:cs="Arial" w:eastAsia="Arial" w:hAnsi="Arial"/>
          <w:sz w:val="18"/>
          <w:szCs w:val="18"/>
          <w:u w:val="single" w:color="auto"/>
          <w:color w:val="0000FF"/>
        </w:rPr>
        <w:t xml:space="preserve">denominated in Canadian Dollars, the CDOR Screen Rate with </w:t>
      </w:r>
      <w:r>
        <w:rPr>
          <w:rFonts w:ascii="Arial" w:cs="Arial" w:eastAsia="Arial" w:hAnsi="Arial"/>
          <w:sz w:val="18"/>
          <w:szCs w:val="18"/>
          <w:u w:val="single" w:color="auto"/>
          <w:color w:val="008000"/>
        </w:rPr>
        <w:t>tenor equal to such Interest Period</w:t>
      </w:r>
      <w:r>
        <w:rPr>
          <w:rFonts w:ascii="Arial" w:cs="Arial" w:eastAsia="Arial" w:hAnsi="Arial"/>
          <w:sz w:val="18"/>
          <w:szCs w:val="18"/>
          <w:u w:val="single" w:color="auto"/>
          <w:color w:val="0000FF"/>
        </w:rPr>
        <w:t>; and/or</w:t>
      </w:r>
    </w:p>
    <w:p>
      <w:pPr>
        <w:spacing w:after="0" w:line="225" w:lineRule="exact"/>
        <w:rPr>
          <w:rFonts w:ascii="Arial" w:cs="Arial" w:eastAsia="Arial" w:hAnsi="Arial"/>
          <w:sz w:val="18"/>
          <w:szCs w:val="18"/>
          <w:color w:val="0000FF"/>
        </w:rPr>
      </w:pPr>
    </w:p>
    <w:p>
      <w:pPr>
        <w:ind w:left="2320" w:hanging="367"/>
        <w:spacing w:after="0"/>
        <w:tabs>
          <w:tab w:leader="none" w:pos="2320" w:val="left"/>
        </w:tabs>
        <w:numPr>
          <w:ilvl w:val="0"/>
          <w:numId w:val="15"/>
        </w:numPr>
        <w:rPr>
          <w:rFonts w:ascii="Arial" w:cs="Arial" w:eastAsia="Arial" w:hAnsi="Arial"/>
          <w:sz w:val="18"/>
          <w:szCs w:val="18"/>
          <w:color w:val="0000FF"/>
        </w:rPr>
      </w:pPr>
      <w:r>
        <w:rPr>
          <w:rFonts w:ascii="Arial" w:cs="Arial" w:eastAsia="Arial" w:hAnsi="Arial"/>
          <w:sz w:val="18"/>
          <w:szCs w:val="18"/>
          <w:u w:val="single" w:color="auto"/>
          <w:color w:val="0000FF"/>
        </w:rPr>
        <w:t>denominated in Euro, the EURIBOR Screen Rate with tenor equal to such Interest period;</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u w:val="single" w:color="auto"/>
          <w:color w:val="0000FF"/>
        </w:rPr>
        <w:t>provided, in each case, if the LIBO Screen Rate, the CDOR Screen Rate or the EURIBOR Screen Rate, as applicable, shall not be available at such time for such Interest Period (an “Impacted Interest Period”) then the “Eurodollar Rate</w:t>
      </w:r>
      <w:r>
        <w:rPr>
          <w:rFonts w:ascii="Arial" w:cs="Arial" w:eastAsia="Arial" w:hAnsi="Arial"/>
          <w:sz w:val="18"/>
          <w:szCs w:val="18"/>
          <w:u w:val="single" w:color="auto"/>
          <w:color w:val="008000"/>
        </w:rPr>
        <w:t>” with respect to such</w:t>
      </w:r>
      <w:r>
        <w:rPr>
          <w:rFonts w:ascii="Arial" w:cs="Arial" w:eastAsia="Arial" w:hAnsi="Arial"/>
          <w:sz w:val="18"/>
          <w:szCs w:val="18"/>
          <w:u w:val="single" w:color="auto"/>
          <w:color w:val="0000FF"/>
        </w:rPr>
        <w:t xml:space="preserve"> Eurodollar Rate Borrowing for such Interest Period shall be the Interpolated Rate. “Eurodollar Rate” when used in reference to any Loan or Borrowing, refers to whether such Loan, or the Loans comprising such Borrowing, are bearing interest at a rate determined by reference to the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-308610</wp:posOffset>
            </wp:positionV>
            <wp:extent cx="28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FF0000"/>
                <w:strike w:val="1"/>
              </w:rPr>
              <w:t>Eurodollar Rate =</w:t>
            </w:r>
          </w:p>
        </w:tc>
        <w:tc>
          <w:tcPr>
            <w:tcW w:w="4540" w:type="dxa"/>
            <w:vAlign w:val="bottom"/>
          </w:tcPr>
          <w:p>
            <w:pPr>
              <w:ind w:left="1860"/>
              <w:spacing w:after="0"/>
              <w:rPr>
                <w:sz w:val="20"/>
                <w:szCs w:val="20"/>
                <w:color w:val="auto"/>
              </w:rPr>
            </w:pPr>
            <w:r>
              <w:rPr>
                <w:rFonts w:ascii="Arial" w:cs="Arial" w:eastAsia="Arial" w:hAnsi="Arial"/>
                <w:sz w:val="18"/>
                <w:szCs w:val="18"/>
                <w:color w:val="FF0000"/>
                <w:strike w:val="1"/>
              </w:rPr>
              <w:t>Eurodollar Base Rate</w:t>
            </w:r>
          </w:p>
        </w:tc>
        <w:tc>
          <w:tcPr>
            <w:tcW w:w="0" w:type="dxa"/>
            <w:vAlign w:val="bottom"/>
          </w:tcPr>
          <w:p>
            <w:pPr>
              <w:spacing w:after="0"/>
              <w:rPr>
                <w:sz w:val="1"/>
                <w:szCs w:val="1"/>
                <w:color w:val="auto"/>
              </w:rPr>
            </w:pPr>
          </w:p>
        </w:tc>
      </w:tr>
      <w:tr>
        <w:trPr>
          <w:trHeight w:val="230"/>
        </w:trPr>
        <w:tc>
          <w:tcPr>
            <w:tcW w:w="3160" w:type="dxa"/>
            <w:vAlign w:val="bottom"/>
            <w:vMerge w:val="restart"/>
          </w:tcPr>
          <w:p>
            <w:pPr>
              <w:spacing w:after="0"/>
              <w:rPr>
                <w:sz w:val="20"/>
                <w:szCs w:val="20"/>
                <w:color w:val="auto"/>
              </w:rPr>
            </w:pPr>
            <w:r>
              <w:rPr>
                <w:rFonts w:ascii="Arial" w:cs="Arial" w:eastAsia="Arial" w:hAnsi="Arial"/>
                <w:sz w:val="18"/>
                <w:szCs w:val="18"/>
                <w:color w:val="FF0000"/>
                <w:strike w:val="1"/>
              </w:rPr>
              <w:t>Where,</w:t>
            </w:r>
          </w:p>
        </w:tc>
        <w:tc>
          <w:tcPr>
            <w:tcW w:w="4540" w:type="dxa"/>
            <w:vAlign w:val="bottom"/>
          </w:tcPr>
          <w:p>
            <w:pPr>
              <w:ind w:left="1860"/>
              <w:spacing w:after="0"/>
              <w:rPr>
                <w:sz w:val="20"/>
                <w:szCs w:val="20"/>
                <w:color w:val="auto"/>
              </w:rPr>
            </w:pPr>
            <w:r>
              <w:rPr>
                <w:rFonts w:ascii="Arial" w:cs="Arial" w:eastAsia="Arial" w:hAnsi="Arial"/>
                <w:sz w:val="18"/>
                <w:szCs w:val="18"/>
                <w:color w:val="FF0000"/>
                <w:strike w:val="1"/>
                <w:w w:val="88"/>
              </w:rPr>
              <w:t>1.00 - Eurodollar Reserve Percentage</w:t>
            </w: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-282575</wp:posOffset>
            </wp:positionV>
            <wp:extent cx="41249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FF0000"/>
          <w:strike w:val="1"/>
        </w:rPr>
        <w:t>“Eurodollar Base Rate” means, for such Interest Period:</w:t>
      </w:r>
    </w:p>
    <w:p>
      <w:pPr>
        <w:spacing w:after="0" w:line="211" w:lineRule="exact"/>
        <w:rPr>
          <w:sz w:val="20"/>
          <w:szCs w:val="20"/>
          <w:color w:val="auto"/>
        </w:rPr>
      </w:pPr>
    </w:p>
    <w:p>
      <w:pPr>
        <w:ind w:left="660" w:right="60" w:firstLine="645"/>
        <w:spacing w:after="0" w:line="277" w:lineRule="auto"/>
        <w:tabs>
          <w:tab w:leader="none" w:pos="1611" w:val="left"/>
        </w:tabs>
        <w:numPr>
          <w:ilvl w:val="0"/>
          <w:numId w:val="16"/>
        </w:numPr>
        <w:rPr>
          <w:rFonts w:ascii="Arial" w:cs="Arial" w:eastAsia="Arial" w:hAnsi="Arial"/>
          <w:sz w:val="18"/>
          <w:szCs w:val="18"/>
          <w:color w:val="FF0000"/>
          <w:strike w:val="1"/>
        </w:rPr>
      </w:pPr>
      <w:r>
        <w:rPr>
          <w:rFonts w:ascii="Arial" w:cs="Arial" w:eastAsia="Arial" w:hAnsi="Arial"/>
          <w:sz w:val="18"/>
          <w:szCs w:val="18"/>
          <w:color w:val="FF0000"/>
          <w:strike w:val="1"/>
        </w:rPr>
        <w:t>the applicable Screen Rate as of the applicable Requisite Time and for a period equal in length to the Interest Period of the applicable Borrowing, Continuation or Conversion, or</w:t>
      </w:r>
    </w:p>
    <w:p>
      <w:pPr>
        <w:spacing w:after="0" w:line="170" w:lineRule="exact"/>
        <w:rPr>
          <w:rFonts w:ascii="Arial" w:cs="Arial" w:eastAsia="Arial" w:hAnsi="Arial"/>
          <w:sz w:val="18"/>
          <w:szCs w:val="18"/>
          <w:color w:val="FF0000"/>
          <w:strike w:val="1"/>
        </w:rPr>
      </w:pPr>
    </w:p>
    <w:p>
      <w:pPr>
        <w:ind w:left="1600" w:hanging="295"/>
        <w:spacing w:after="0"/>
        <w:tabs>
          <w:tab w:leader="none" w:pos="1600" w:val="left"/>
        </w:tabs>
        <w:numPr>
          <w:ilvl w:val="0"/>
          <w:numId w:val="16"/>
        </w:numPr>
        <w:rPr>
          <w:rFonts w:ascii="Arial" w:cs="Arial" w:eastAsia="Arial" w:hAnsi="Arial"/>
          <w:sz w:val="17"/>
          <w:szCs w:val="17"/>
          <w:color w:val="FF0000"/>
          <w:strike w:val="1"/>
        </w:rPr>
      </w:pPr>
      <w:r>
        <w:rPr>
          <w:rFonts w:ascii="Arial" w:cs="Arial" w:eastAsia="Arial" w:hAnsi="Arial"/>
          <w:sz w:val="17"/>
          <w:szCs w:val="17"/>
          <w:color w:val="FF0000"/>
          <w:strike w:val="1"/>
        </w:rPr>
        <w:t>in the event the applicable Interest Period is an Impacted Interest Period, the rate per annum equal to the Interpolated Rate.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160" w:firstLine="1297"/>
        <w:spacing w:after="0" w:line="277" w:lineRule="auto"/>
        <w:rPr>
          <w:sz w:val="20"/>
          <w:szCs w:val="20"/>
          <w:color w:val="auto"/>
        </w:rPr>
      </w:pPr>
      <w:r>
        <w:rPr>
          <w:rFonts w:ascii="Arial" w:cs="Arial" w:eastAsia="Arial" w:hAnsi="Arial"/>
          <w:sz w:val="18"/>
          <w:szCs w:val="18"/>
          <w:color w:val="FF0000"/>
          <w:strike w:val="1"/>
        </w:rPr>
        <w:t>“Eurodollar Rate Loan” means a Loan bearing interest based on the Eurodollar Rate</w:t>
      </w:r>
      <w:r>
        <w:rPr>
          <w:rFonts w:ascii="Arial" w:cs="Arial" w:eastAsia="Arial" w:hAnsi="Arial"/>
          <w:sz w:val="18"/>
          <w:szCs w:val="18"/>
          <w:color w:val="008000"/>
          <w:strike w:val="1"/>
        </w:rPr>
        <w:t>. For the avoidance of doubt,</w:t>
      </w:r>
      <w:r>
        <w:rPr>
          <w:rFonts w:ascii="Arial" w:cs="Arial" w:eastAsia="Arial" w:hAnsi="Arial"/>
          <w:sz w:val="18"/>
          <w:szCs w:val="18"/>
          <w:color w:val="FF0000"/>
          <w:strike w:val="1"/>
        </w:rPr>
        <w:t xml:space="preserve"> each Loan denominated in a currency other than Dollars shall be a Eurodollar Rate Loan.</w:t>
      </w:r>
    </w:p>
    <w:p>
      <w:pPr>
        <w:spacing w:after="0" w:line="170"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FF0000"/>
          <w:strike w:val="1"/>
        </w:rPr>
        <w:t>“Eurodollar Reserve Percentage</w:t>
      </w:r>
      <w:r>
        <w:rPr>
          <w:rFonts w:ascii="Arial" w:cs="Arial" w:eastAsia="Arial" w:hAnsi="Arial"/>
          <w:sz w:val="16"/>
          <w:szCs w:val="16"/>
          <w:color w:val="008000"/>
          <w:strike w:val="1"/>
        </w:rPr>
        <w:t>” means, for any day</w:t>
      </w:r>
      <w:r>
        <w:rPr>
          <w:rFonts w:ascii="Arial" w:cs="Arial" w:eastAsia="Arial" w:hAnsi="Arial"/>
          <w:sz w:val="16"/>
          <w:szCs w:val="16"/>
          <w:color w:val="FF0000"/>
          <w:strike w:val="1"/>
        </w:rPr>
        <w:t xml:space="preserve">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t>
      </w:r>
      <w:r>
        <w:rPr>
          <w:rFonts w:ascii="Arial" w:cs="Arial" w:eastAsia="Arial" w:hAnsi="Arial"/>
          <w:sz w:val="16"/>
          <w:szCs w:val="16"/>
          <w:color w:val="008000"/>
          <w:strike w:val="1"/>
        </w:rPr>
        <w:t>which the interest rate on Eurodollar Rate Loans is</w:t>
      </w:r>
      <w:r>
        <w:rPr>
          <w:rFonts w:ascii="Arial" w:cs="Arial" w:eastAsia="Arial" w:hAnsi="Arial"/>
          <w:sz w:val="16"/>
          <w:szCs w:val="16"/>
          <w:color w:val="FF0000"/>
          <w:strike w:val="1"/>
        </w:rPr>
        <w:t xml:space="preserve"> determined or any category of extensions of credit or other assets which includes loans by a non- United States office of any Lender to United States residents). The Eurodollar Rate for each outstanding Eurodollar Rate Loan </w:t>
      </w:r>
      <w:r>
        <w:rPr>
          <w:rFonts w:ascii="Arial" w:cs="Arial" w:eastAsia="Arial" w:hAnsi="Arial"/>
          <w:sz w:val="16"/>
          <w:szCs w:val="16"/>
          <w:color w:val="008000"/>
          <w:strike w:val="1"/>
        </w:rPr>
        <w:t>shall be adjusted automatically as of the effective date of any change in</w:t>
      </w:r>
      <w:r>
        <w:rPr>
          <w:rFonts w:ascii="Arial" w:cs="Arial" w:eastAsia="Arial" w:hAnsi="Arial"/>
          <w:sz w:val="16"/>
          <w:szCs w:val="16"/>
          <w:color w:val="FF0000"/>
          <w:strike w:val="1"/>
        </w:rPr>
        <w:t xml:space="preserve"> the Eurodollar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-913130</wp:posOffset>
            </wp:positionV>
            <wp:extent cx="28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-364490</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FF0000"/>
          <w:strike w:val="1"/>
        </w:rPr>
        <w:t>The determination of the Eurodollar Reserve Percentage and the Eurodollar Base Rate by Administrative Agent shall be conclusive in the absence of manifest error.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“Eurodollar Reserve Percentage</w:t>
      </w:r>
      <w:r>
        <w:rPr>
          <w:rFonts w:ascii="Arial" w:cs="Arial" w:eastAsia="Arial" w:hAnsi="Arial"/>
          <w:sz w:val="18"/>
          <w:szCs w:val="18"/>
          <w:color w:val="008000"/>
          <w:strike w:val="1"/>
        </w:rPr>
        <w:t>” has the meaning set forth in</w:t>
      </w:r>
      <w:r>
        <w:rPr>
          <w:rFonts w:ascii="Arial" w:cs="Arial" w:eastAsia="Arial" w:hAnsi="Arial"/>
          <w:sz w:val="18"/>
          <w:szCs w:val="18"/>
          <w:color w:val="FF0000"/>
          <w:strike w:val="1"/>
        </w:rPr>
        <w:t xml:space="preserve"> the definition of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-53340</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“Exchange Rate” means on any day with respect to any currency other than Dollars, the rate at which such currency may be exchanged into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 10:00 a.m. (New York City time) on such date for the purchase of Dollars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66" w:lineRule="exact"/>
        <w:rPr>
          <w:sz w:val="20"/>
          <w:szCs w:val="20"/>
          <w:color w:val="auto"/>
        </w:rPr>
      </w:pPr>
    </w:p>
    <w:p>
      <w:pPr>
        <w:ind w:right="200" w:firstLine="1297"/>
        <w:spacing w:after="0" w:line="286" w:lineRule="auto"/>
        <w:rPr>
          <w:sz w:val="20"/>
          <w:szCs w:val="20"/>
          <w:color w:val="auto"/>
        </w:rPr>
      </w:pPr>
      <w:r>
        <w:rPr>
          <w:rFonts w:ascii="Arial" w:cs="Arial" w:eastAsia="Arial" w:hAnsi="Arial"/>
          <w:sz w:val="17"/>
          <w:szCs w:val="17"/>
          <w:color w:val="auto"/>
        </w:rPr>
        <w:t>“Existing Credit Agreement” means the Credit Agreement, dated as of June 6, 2012, among Comcast Corporation, Comcast Cable Communications, LLC, the lenders parties thereto, JPMorgan Chase Bank, N.A., as administrative agent and issuing lender, Citibank, N.A., as syndication agent, and Morgan Stanley MUFG Loan Partners, LLC and Wells Fargo Bank, National Association, as co-documentation agents.</w:t>
      </w:r>
    </w:p>
    <w:p>
      <w:pPr>
        <w:spacing w:after="0" w:line="166"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Credit Agreement or that certain continuing agreement for standby letters of credit dated as of December 2, 2011 between Borrower and JPMorgan Chase Bank, N.A. and that are outstanding on the Effective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“Extended Revolving Termination Date” has the meaning set forth in Section 2.01(e).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5" w:name="page56"/>
    <w:bookmarkEnd w:id="55"/>
    <w:p>
      <w:pPr>
        <w:ind w:left="1300"/>
        <w:spacing w:after="0"/>
        <w:rPr>
          <w:sz w:val="20"/>
          <w:szCs w:val="20"/>
          <w:color w:val="auto"/>
        </w:rPr>
      </w:pPr>
      <w:r>
        <w:rPr>
          <w:rFonts w:ascii="Arial" w:cs="Arial" w:eastAsia="Arial" w:hAnsi="Arial"/>
          <w:sz w:val="18"/>
          <w:szCs w:val="18"/>
          <w:color w:val="auto"/>
        </w:rPr>
        <w:t>“Extending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“Extension Effectiveness Date” has the meaning set forth in Section 2.01(e).</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81"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law, regulation, rule, promulgation, or official agreement implementing an official intergovernmental agreement with respect to such sections or regulations.</w:t>
      </w:r>
    </w:p>
    <w:p>
      <w:pPr>
        <w:spacing w:after="0" w:line="187"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“Federal Funds Rate” means, for any day, the rate calculated by the NYFRB based on such day’s federal funds transactions by depositary institutions </w:t>
      </w:r>
      <w:r>
        <w:rPr>
          <w:rFonts w:ascii="Arial" w:cs="Arial" w:eastAsia="Arial" w:hAnsi="Arial"/>
          <w:sz w:val="18"/>
          <w:szCs w:val="18"/>
          <w:color w:val="FF0000"/>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as determined in such manner as the NYFRB shall set forth on its public website from time to time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and published on the next succeeding Business Day by the NYFRB as the </w:t>
      </w:r>
      <w:r>
        <w:rPr>
          <w:rFonts w:ascii="Arial" w:cs="Arial" w:eastAsia="Arial" w:hAnsi="Arial"/>
          <w:sz w:val="18"/>
          <w:szCs w:val="18"/>
          <w:u w:val="single" w:color="auto"/>
          <w:color w:val="0000FF"/>
        </w:rPr>
        <w:t>effective</w:t>
      </w:r>
      <w:r>
        <w:rPr>
          <w:rFonts w:ascii="Arial" w:cs="Arial" w:eastAsia="Arial" w:hAnsi="Arial"/>
          <w:sz w:val="18"/>
          <w:szCs w:val="18"/>
          <w:color w:val="auto"/>
        </w:rPr>
        <w:t xml:space="preserve"> federal funds </w:t>
      </w:r>
      <w:r>
        <w:rPr>
          <w:rFonts w:ascii="Arial" w:cs="Arial" w:eastAsia="Arial" w:hAnsi="Arial"/>
          <w:sz w:val="18"/>
          <w:szCs w:val="18"/>
          <w:color w:val="FF0000"/>
          <w:strike w:val="1"/>
        </w:rPr>
        <w:t>effective</w:t>
      </w:r>
      <w:r>
        <w:rPr>
          <w:rFonts w:ascii="Arial" w:cs="Arial" w:eastAsia="Arial" w:hAnsi="Arial"/>
          <w:sz w:val="18"/>
          <w:szCs w:val="18"/>
          <w:color w:val="auto"/>
        </w:rPr>
        <w:t xml:space="preserve"> rate</w:t>
      </w:r>
      <w:r>
        <w:rPr>
          <w:rFonts w:ascii="Arial" w:cs="Arial" w:eastAsia="Arial" w:hAnsi="Arial"/>
          <w:sz w:val="18"/>
          <w:szCs w:val="18"/>
          <w:color w:val="FF0000"/>
          <w:strike w:val="1"/>
        </w:rPr>
        <w:t>. If</w:t>
      </w:r>
      <w:r>
        <w:rPr>
          <w:rFonts w:ascii="Arial" w:cs="Arial" w:eastAsia="Arial" w:hAnsi="Arial"/>
          <w:sz w:val="18"/>
          <w:szCs w:val="18"/>
          <w:u w:val="single" w:color="auto"/>
          <w:color w:val="0000FF"/>
        </w:rPr>
        <w:t>; provided that if</w:t>
      </w:r>
      <w:r>
        <w:rPr>
          <w:rFonts w:ascii="Arial" w:cs="Arial" w:eastAsia="Arial" w:hAnsi="Arial"/>
          <w:sz w:val="18"/>
          <w:szCs w:val="18"/>
          <w:color w:val="auto"/>
        </w:rPr>
        <w:t xml:space="preserve"> the Federal Funds Rate </w:t>
      </w:r>
      <w:r>
        <w:rPr>
          <w:rFonts w:ascii="Arial" w:cs="Arial" w:eastAsia="Arial" w:hAnsi="Arial"/>
          <w:sz w:val="18"/>
          <w:szCs w:val="18"/>
          <w:color w:val="FF0000"/>
          <w:strike w:val="1"/>
        </w:rPr>
        <w:t>shall</w:t>
      </w:r>
      <w:r>
        <w:rPr>
          <w:rFonts w:ascii="Arial" w:cs="Arial" w:eastAsia="Arial" w:hAnsi="Arial"/>
          <w:sz w:val="18"/>
          <w:szCs w:val="18"/>
          <w:u w:val="single" w:color="auto"/>
          <w:color w:val="0000FF"/>
        </w:rPr>
        <w:t>as so determined would</w:t>
      </w:r>
      <w:r>
        <w:rPr>
          <w:rFonts w:ascii="Arial" w:cs="Arial" w:eastAsia="Arial" w:hAnsi="Arial"/>
          <w:sz w:val="18"/>
          <w:szCs w:val="18"/>
          <w:color w:val="auto"/>
        </w:rPr>
        <w:t xml:space="preserve"> be less than zero, such rate shall be deemed to be zero for </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purposes of this Agreement.</w:t>
      </w:r>
    </w:p>
    <w:p>
      <w:pPr>
        <w:spacing w:after="0" w:line="187" w:lineRule="exact"/>
        <w:rPr>
          <w:sz w:val="20"/>
          <w:szCs w:val="20"/>
          <w:color w:val="auto"/>
        </w:rPr>
      </w:pPr>
    </w:p>
    <w:p>
      <w:pPr>
        <w:ind w:right="100" w:firstLine="1346"/>
        <w:spacing w:after="0" w:line="277" w:lineRule="auto"/>
        <w:rPr>
          <w:sz w:val="20"/>
          <w:szCs w:val="20"/>
          <w:color w:val="auto"/>
        </w:rPr>
      </w:pPr>
      <w:r>
        <w:rPr>
          <w:rFonts w:ascii="Arial" w:cs="Arial" w:eastAsia="Arial" w:hAnsi="Arial"/>
          <w:sz w:val="18"/>
          <w:szCs w:val="18"/>
          <w:color w:val="auto"/>
        </w:rPr>
        <w:t>“Final Closing Date” means the first date on which the conditions set forth in clause (c) (unless Compulsory Acquisition Procedures have commenced before such date), (d) or (e) of the definition of Certain Funds Period shall have occurred.</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11"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“Guarantors” means Comcast Cable Communications, LLC, NBCUniversal Media, LLC and each Restricted Subsidiary that becomes a party to the Guarantee Agreement pursuant to Section 6.10 (in each case to the extent not released as contemplated by this Agreement).</w:t>
      </w:r>
    </w:p>
    <w:p>
      <w:pPr>
        <w:spacing w:after="0" w:line="124"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“Guaranty Obligation” means, as to any Person, any (a) guaranty by such Person of Indebtedness of any other Person or (b) legally binding obligation of such Person to purchase or pay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6" w:name="page57"/>
    <w:bookmarkEnd w:id="56"/>
    <w:p>
      <w:pPr>
        <w:ind w:right="120"/>
        <w:spacing w:after="0" w:line="293" w:lineRule="auto"/>
        <w:rPr>
          <w:sz w:val="20"/>
          <w:szCs w:val="20"/>
          <w:color w:val="auto"/>
        </w:rPr>
      </w:pPr>
      <w:r>
        <w:rPr>
          <w:rFonts w:ascii="Arial" w:cs="Arial" w:eastAsia="Arial" w:hAnsi="Arial"/>
          <w:sz w:val="16"/>
          <w:szCs w:val="16"/>
          <w:color w:val="auto"/>
        </w:rPr>
        <w:t xml:space="preserve">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“High Court” means the High Court of Justice of England and Wales.</w:t>
      </w:r>
    </w:p>
    <w:p>
      <w:pPr>
        <w:spacing w:after="0" w:line="225"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 xml:space="preserve">“Impacted Interest Period” </w:t>
      </w:r>
      <w:r>
        <w:rPr>
          <w:rFonts w:ascii="Arial" w:cs="Arial" w:eastAsia="Arial" w:hAnsi="Arial"/>
          <w:sz w:val="16"/>
          <w:szCs w:val="16"/>
          <w:color w:val="FF0000"/>
          <w:strike w:val="1"/>
        </w:rPr>
        <w:t>means any Interest Period for which the applicable Screen Rate</w:t>
      </w:r>
      <w:r>
        <w:rPr>
          <w:rFonts w:ascii="Arial" w:cs="Arial" w:eastAsia="Arial" w:hAnsi="Arial"/>
          <w:sz w:val="16"/>
          <w:szCs w:val="16"/>
          <w:color w:val="auto"/>
        </w:rPr>
        <w:t xml:space="preserve"> </w:t>
      </w:r>
      <w:r>
        <w:rPr>
          <w:rFonts w:ascii="Arial" w:cs="Arial" w:eastAsia="Arial" w:hAnsi="Arial"/>
          <w:sz w:val="16"/>
          <w:szCs w:val="16"/>
          <w:color w:val="008000"/>
          <w:strike w:val="1"/>
        </w:rPr>
        <w:t>does not appear on such page or</w:t>
      </w:r>
      <w:r>
        <w:rPr>
          <w:rFonts w:ascii="Arial" w:cs="Arial" w:eastAsia="Arial" w:hAnsi="Arial"/>
          <w:sz w:val="16"/>
          <w:szCs w:val="16"/>
          <w:color w:val="auto"/>
        </w:rPr>
        <w:t xml:space="preserve"> </w:t>
      </w:r>
      <w:r>
        <w:rPr>
          <w:rFonts w:ascii="Arial" w:cs="Arial" w:eastAsia="Arial" w:hAnsi="Arial"/>
          <w:sz w:val="16"/>
          <w:szCs w:val="16"/>
          <w:color w:val="FF0000"/>
          <w:strike w:val="1"/>
        </w:rPr>
        <w:t>service or</w:t>
      </w:r>
      <w:r>
        <w:rPr>
          <w:rFonts w:ascii="Arial" w:cs="Arial" w:eastAsia="Arial" w:hAnsi="Arial"/>
          <w:sz w:val="16"/>
          <w:szCs w:val="16"/>
          <w:color w:val="auto"/>
        </w:rPr>
        <w:t xml:space="preserve"> </w:t>
      </w:r>
      <w:r>
        <w:rPr>
          <w:rFonts w:ascii="Arial" w:cs="Arial" w:eastAsia="Arial" w:hAnsi="Arial"/>
          <w:sz w:val="16"/>
          <w:szCs w:val="16"/>
          <w:color w:val="FF0000"/>
          <w:strike w:val="1"/>
        </w:rPr>
        <w:t>such page or service shall cease to be available or shall otherwise not be available.</w:t>
      </w:r>
      <w:r>
        <w:rPr>
          <w:rFonts w:ascii="Arial" w:cs="Arial" w:eastAsia="Arial" w:hAnsi="Arial"/>
          <w:sz w:val="16"/>
          <w:szCs w:val="16"/>
          <w:u w:val="single" w:color="auto"/>
          <w:color w:val="008000"/>
          <w:strike w:val="1"/>
        </w:rPr>
        <w:t>has the meaning set forth in the definition of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-254635</wp:posOffset>
            </wp:positionV>
            <wp:extent cx="368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“Increased Revolving Commitment Activation Notice” means a notice substantially in the form of Exhibit E-2.</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“Increased Revolving Commitment Closing Date” means any Business Day designated as such in an Increased Revolving Commitment Activation Notice.</w:t>
      </w:r>
    </w:p>
    <w:p>
      <w:pPr>
        <w:spacing w:after="0" w:line="170"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w:t>
      </w:r>
    </w:p>
    <w:p>
      <w:pPr>
        <w:spacing w:after="0" w:line="2" w:lineRule="exact"/>
        <w:rPr>
          <w:sz w:val="20"/>
          <w:szCs w:val="20"/>
          <w:color w:val="auto"/>
        </w:rPr>
      </w:pPr>
    </w:p>
    <w:p>
      <w:pPr>
        <w:ind w:firstLine="8"/>
        <w:spacing w:after="0" w:line="269"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Indebtedness shall not include (i) trade accounts payable arising in the ordinary course of business and (ii) deferred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 that the amount of any Indebtedness described in clause (e) above shall be the lesser of the amount of the Indebtedness or the fair market value of the property securing such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“Initial Bridge Closing Date” means the Initial Closing Date (as defined in the Bridge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“Initial Term Closing Date” means the Initial Closing Date (as defined in the Term Loan Credit Agreement).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7" w:name="page58"/>
    <w:bookmarkEnd w:id="57"/>
    <w:p>
      <w:pPr>
        <w:ind w:right="140" w:firstLine="1297"/>
        <w:spacing w:after="0" w:line="291" w:lineRule="auto"/>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if agreed to by each Lender, 12 months or periods less than one month, thereafter and (b) with 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3" w:lineRule="exact"/>
        <w:rPr>
          <w:sz w:val="20"/>
          <w:szCs w:val="20"/>
          <w:color w:val="auto"/>
        </w:rPr>
      </w:pPr>
    </w:p>
    <w:p>
      <w:pPr>
        <w:ind w:left="660" w:firstLine="645"/>
        <w:spacing w:after="0" w:line="342" w:lineRule="auto"/>
        <w:tabs>
          <w:tab w:leader="none" w:pos="17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7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Administrative Agent otherwise consents, there may not be more than ten (10) Interest Periods for Eurodollar Rate Loans in effect at any time.</w:t>
      </w:r>
    </w:p>
    <w:p>
      <w:pPr>
        <w:spacing w:after="0" w:line="170" w:lineRule="exact"/>
        <w:rPr>
          <w:sz w:val="20"/>
          <w:szCs w:val="20"/>
          <w:color w:val="auto"/>
        </w:rPr>
      </w:pPr>
    </w:p>
    <w:p>
      <w:pPr>
        <w:jc w:val="both"/>
        <w:ind w:right="20" w:firstLine="1297"/>
        <w:spacing w:after="0" w:line="270" w:lineRule="auto"/>
        <w:rPr>
          <w:sz w:val="20"/>
          <w:szCs w:val="20"/>
          <w:color w:val="auto"/>
        </w:rPr>
      </w:pPr>
      <w:r>
        <w:rPr>
          <w:rFonts w:ascii="Arial" w:cs="Arial" w:eastAsia="Arial" w:hAnsi="Arial"/>
          <w:sz w:val="17"/>
          <w:szCs w:val="17"/>
          <w:color w:val="auto"/>
        </w:rPr>
        <w:t xml:space="preserve">“Interpolated Rate” means, at any time, for any Interest Period, the rate per annum determined by </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Administrative Agent (which determination shall be conclusive and binding absent manifest error) to be equal to the rate which results from interpolating on a linear basis between: (a) the </w:t>
      </w:r>
      <w:r>
        <w:rPr>
          <w:rFonts w:ascii="Arial" w:cs="Arial" w:eastAsia="Arial" w:hAnsi="Arial"/>
          <w:sz w:val="17"/>
          <w:szCs w:val="17"/>
          <w:u w:val="single" w:color="auto"/>
          <w:color w:val="0000FF"/>
        </w:rPr>
        <w:t>LIBO</w:t>
      </w:r>
      <w:r>
        <w:rPr>
          <w:rFonts w:ascii="Arial" w:cs="Arial" w:eastAsia="Arial" w:hAnsi="Arial"/>
          <w:sz w:val="17"/>
          <w:szCs w:val="17"/>
          <w:color w:val="0000FF"/>
        </w:rPr>
        <w:t xml:space="preserve"> </w:t>
      </w:r>
      <w:r>
        <w:rPr>
          <w:rFonts w:ascii="Arial" w:cs="Arial" w:eastAsia="Arial" w:hAnsi="Arial"/>
          <w:sz w:val="17"/>
          <w:szCs w:val="17"/>
          <w:color w:val="000000"/>
        </w:rPr>
        <w:t>Screen Rate</w:t>
      </w:r>
      <w:r>
        <w:rPr>
          <w:rFonts w:ascii="Arial" w:cs="Arial" w:eastAsia="Arial" w:hAnsi="Arial"/>
          <w:sz w:val="17"/>
          <w:szCs w:val="17"/>
          <w:u w:val="single" w:color="auto"/>
          <w:color w:val="0000FF"/>
        </w:rPr>
        <w:t>, the CDOR Screen Rate or the EURIBOR Screen Rate, as applicable</w:t>
      </w:r>
      <w:r>
        <w:rPr>
          <w:rFonts w:ascii="Arial" w:cs="Arial" w:eastAsia="Arial" w:hAnsi="Arial"/>
          <w:sz w:val="17"/>
          <w:szCs w:val="17"/>
          <w:color w:val="0000FF"/>
        </w:rPr>
        <w:t xml:space="preserve"> </w:t>
      </w:r>
      <w:r>
        <w:rPr>
          <w:rFonts w:ascii="Arial" w:cs="Arial" w:eastAsia="Arial" w:hAnsi="Arial"/>
          <w:sz w:val="17"/>
          <w:szCs w:val="17"/>
          <w:color w:val="000000"/>
        </w:rPr>
        <w:t>for the longest period (for which</w:t>
      </w:r>
      <w:r>
        <w:rPr>
          <w:rFonts w:ascii="Arial" w:cs="Arial" w:eastAsia="Arial" w:hAnsi="Arial"/>
          <w:sz w:val="17"/>
          <w:szCs w:val="17"/>
          <w:color w:val="0000FF"/>
        </w:rPr>
        <w:t xml:space="preserve"> </w:t>
      </w:r>
      <w:r>
        <w:rPr>
          <w:rFonts w:ascii="Arial" w:cs="Arial" w:eastAsia="Arial" w:hAnsi="Arial"/>
          <w:sz w:val="17"/>
          <w:szCs w:val="17"/>
          <w:color w:val="FF0000"/>
          <w:strike w:val="1"/>
        </w:rPr>
        <w:t>that</w:t>
      </w:r>
      <w:r>
        <w:rPr>
          <w:rFonts w:ascii="Arial" w:cs="Arial" w:eastAsia="Arial" w:hAnsi="Arial"/>
          <w:sz w:val="17"/>
          <w:szCs w:val="17"/>
          <w:u w:val="single" w:color="auto"/>
          <w:color w:val="0000FF"/>
        </w:rPr>
        <w:t>the LIBO</w:t>
      </w:r>
      <w:r>
        <w:rPr>
          <w:rFonts w:ascii="Arial" w:cs="Arial" w:eastAsia="Arial" w:hAnsi="Arial"/>
          <w:sz w:val="17"/>
          <w:szCs w:val="17"/>
          <w:color w:val="0000FF"/>
        </w:rPr>
        <w:t xml:space="preserve"> </w:t>
      </w:r>
      <w:r>
        <w:rPr>
          <w:rFonts w:ascii="Arial" w:cs="Arial" w:eastAsia="Arial" w:hAnsi="Arial"/>
          <w:sz w:val="17"/>
          <w:szCs w:val="17"/>
          <w:color w:val="000000"/>
        </w:rPr>
        <w:t>Screen Rate</w:t>
      </w:r>
      <w:r>
        <w:rPr>
          <w:rFonts w:ascii="Arial" w:cs="Arial" w:eastAsia="Arial" w:hAnsi="Arial"/>
          <w:sz w:val="17"/>
          <w:szCs w:val="17"/>
          <w:u w:val="single" w:color="auto"/>
          <w:color w:val="0000FF"/>
        </w:rPr>
        <w:t>,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CDOR Screen Rate or the EURIBOR Screen Rate, as applicable,</w:t>
      </w:r>
      <w:r>
        <w:rPr>
          <w:rFonts w:ascii="Arial" w:cs="Arial" w:eastAsia="Arial" w:hAnsi="Arial"/>
          <w:sz w:val="17"/>
          <w:szCs w:val="17"/>
          <w:color w:val="0000FF"/>
        </w:rPr>
        <w:t xml:space="preserve"> </w:t>
      </w:r>
      <w:r>
        <w:rPr>
          <w:rFonts w:ascii="Arial" w:cs="Arial" w:eastAsia="Arial" w:hAnsi="Arial"/>
          <w:sz w:val="17"/>
          <w:szCs w:val="17"/>
          <w:color w:val="000000"/>
        </w:rPr>
        <w:t>is available for the applicable currency) which is</w:t>
      </w:r>
      <w:r>
        <w:rPr>
          <w:rFonts w:ascii="Arial" w:cs="Arial" w:eastAsia="Arial" w:hAnsi="Arial"/>
          <w:sz w:val="17"/>
          <w:szCs w:val="17"/>
          <w:color w:val="0000FF"/>
        </w:rPr>
        <w:t xml:space="preserve"> </w:t>
      </w:r>
      <w:r>
        <w:rPr>
          <w:rFonts w:ascii="Arial" w:cs="Arial" w:eastAsia="Arial" w:hAnsi="Arial"/>
          <w:sz w:val="17"/>
          <w:szCs w:val="17"/>
          <w:color w:val="FF0000"/>
          <w:strike w:val="1"/>
        </w:rPr>
        <w:t>less</w:t>
      </w:r>
      <w:r>
        <w:rPr>
          <w:rFonts w:ascii="Arial" w:cs="Arial" w:eastAsia="Arial" w:hAnsi="Arial"/>
          <w:sz w:val="17"/>
          <w:szCs w:val="17"/>
          <w:u w:val="single" w:color="auto"/>
          <w:color w:val="0000FF"/>
        </w:rPr>
        <w:t>shorter</w:t>
      </w:r>
      <w:r>
        <w:rPr>
          <w:rFonts w:ascii="Arial" w:cs="Arial" w:eastAsia="Arial" w:hAnsi="Arial"/>
          <w:sz w:val="17"/>
          <w:szCs w:val="17"/>
          <w:color w:val="0000FF"/>
        </w:rPr>
        <w:t xml:space="preserve"> </w:t>
      </w:r>
      <w:r>
        <w:rPr>
          <w:rFonts w:ascii="Arial" w:cs="Arial" w:eastAsia="Arial" w:hAnsi="Arial"/>
          <w:sz w:val="17"/>
          <w:szCs w:val="17"/>
          <w:color w:val="000000"/>
        </w:rPr>
        <w:t>than the</w:t>
      </w:r>
      <w:r>
        <w:rPr>
          <w:rFonts w:ascii="Arial" w:cs="Arial" w:eastAsia="Arial" w:hAnsi="Arial"/>
          <w:sz w:val="17"/>
          <w:szCs w:val="17"/>
          <w:color w:val="0000FF"/>
        </w:rPr>
        <w:t xml:space="preserve"> </w:t>
      </w:r>
      <w:r>
        <w:rPr>
          <w:rFonts w:ascii="Arial" w:cs="Arial" w:eastAsia="Arial" w:hAnsi="Arial"/>
          <w:sz w:val="17"/>
          <w:szCs w:val="17"/>
          <w:color w:val="FF0000"/>
          <w:strike w:val="1"/>
        </w:rPr>
        <w:t>relevant</w:t>
      </w:r>
      <w:r>
        <w:rPr>
          <w:rFonts w:ascii="Arial" w:cs="Arial" w:eastAsia="Arial" w:hAnsi="Arial"/>
          <w:sz w:val="17"/>
          <w:szCs w:val="17"/>
          <w:color w:val="0000FF"/>
        </w:rPr>
        <w:t xml:space="preserve"> </w:t>
      </w:r>
      <w:r>
        <w:rPr>
          <w:rFonts w:ascii="Arial" w:cs="Arial" w:eastAsia="Arial" w:hAnsi="Arial"/>
          <w:sz w:val="17"/>
          <w:szCs w:val="17"/>
          <w:color w:val="000000"/>
        </w:rPr>
        <w:t>Impacted</w:t>
      </w:r>
      <w:r>
        <w:rPr>
          <w:rFonts w:ascii="Arial" w:cs="Arial" w:eastAsia="Arial" w:hAnsi="Arial"/>
          <w:sz w:val="17"/>
          <w:szCs w:val="17"/>
          <w:color w:val="0000FF"/>
        </w:rPr>
        <w:t xml:space="preserve"> </w:t>
      </w:r>
      <w:r>
        <w:rPr>
          <w:rFonts w:ascii="Arial" w:cs="Arial" w:eastAsia="Arial" w:hAnsi="Arial"/>
          <w:sz w:val="17"/>
          <w:szCs w:val="17"/>
          <w:color w:val="000000"/>
        </w:rPr>
        <w:t xml:space="preserve">Interest Period and (b) the </w:t>
      </w:r>
      <w:r>
        <w:rPr>
          <w:rFonts w:ascii="Arial" w:cs="Arial" w:eastAsia="Arial" w:hAnsi="Arial"/>
          <w:sz w:val="17"/>
          <w:szCs w:val="17"/>
          <w:u w:val="single" w:color="auto"/>
          <w:color w:val="0000FF"/>
        </w:rPr>
        <w:t>LIBO</w:t>
      </w:r>
      <w:r>
        <w:rPr>
          <w:rFonts w:ascii="Arial" w:cs="Arial" w:eastAsia="Arial" w:hAnsi="Arial"/>
          <w:sz w:val="17"/>
          <w:szCs w:val="17"/>
          <w:color w:val="000000"/>
        </w:rPr>
        <w:t xml:space="preserve"> Screen Rate</w:t>
      </w:r>
      <w:r>
        <w:rPr>
          <w:rFonts w:ascii="Arial" w:cs="Arial" w:eastAsia="Arial" w:hAnsi="Arial"/>
          <w:sz w:val="17"/>
          <w:szCs w:val="17"/>
          <w:u w:val="single" w:color="auto"/>
          <w:color w:val="0000FF"/>
        </w:rPr>
        <w:t>, the CDOR Screen Rate or the EURIBOR Screen Rate, as applicable,</w:t>
      </w:r>
      <w:r>
        <w:rPr>
          <w:rFonts w:ascii="Arial" w:cs="Arial" w:eastAsia="Arial" w:hAnsi="Arial"/>
          <w:sz w:val="17"/>
          <w:szCs w:val="17"/>
          <w:color w:val="000000"/>
        </w:rPr>
        <w:t xml:space="preserve"> for the shortest period (for which that </w:t>
      </w:r>
      <w:r>
        <w:rPr>
          <w:rFonts w:ascii="Arial" w:cs="Arial" w:eastAsia="Arial" w:hAnsi="Arial"/>
          <w:sz w:val="17"/>
          <w:szCs w:val="17"/>
          <w:u w:val="single" w:color="auto"/>
          <w:color w:val="0000FF"/>
        </w:rPr>
        <w:t>LIBO</w:t>
      </w:r>
      <w:r>
        <w:rPr>
          <w:rFonts w:ascii="Arial" w:cs="Arial" w:eastAsia="Arial" w:hAnsi="Arial"/>
          <w:sz w:val="17"/>
          <w:szCs w:val="17"/>
          <w:color w:val="0000FF"/>
        </w:rPr>
        <w:t xml:space="preserve"> </w:t>
      </w:r>
      <w:r>
        <w:rPr>
          <w:rFonts w:ascii="Arial" w:cs="Arial" w:eastAsia="Arial" w:hAnsi="Arial"/>
          <w:sz w:val="17"/>
          <w:szCs w:val="17"/>
          <w:color w:val="000000"/>
        </w:rPr>
        <w:t>Screen Rate</w:t>
      </w:r>
      <w:r>
        <w:rPr>
          <w:rFonts w:ascii="Arial" w:cs="Arial" w:eastAsia="Arial" w:hAnsi="Arial"/>
          <w:sz w:val="17"/>
          <w:szCs w:val="17"/>
          <w:u w:val="single" w:color="auto"/>
          <w:color w:val="0000FF"/>
        </w:rPr>
        <w:t>, the CDOR Screen Rate or the EURIBOR Screen Rate, as applicable,</w:t>
      </w:r>
      <w:r>
        <w:rPr>
          <w:rFonts w:ascii="Arial" w:cs="Arial" w:eastAsia="Arial" w:hAnsi="Arial"/>
          <w:sz w:val="17"/>
          <w:szCs w:val="17"/>
          <w:color w:val="0000FF"/>
        </w:rPr>
        <w:t xml:space="preserve"> </w:t>
      </w:r>
      <w:r>
        <w:rPr>
          <w:rFonts w:ascii="Arial" w:cs="Arial" w:eastAsia="Arial" w:hAnsi="Arial"/>
          <w:sz w:val="17"/>
          <w:szCs w:val="17"/>
          <w:color w:val="000000"/>
        </w:rPr>
        <w:t>is available for the applicable currency) which exceeds the</w:t>
      </w:r>
      <w:r>
        <w:rPr>
          <w:rFonts w:ascii="Arial" w:cs="Arial" w:eastAsia="Arial" w:hAnsi="Arial"/>
          <w:sz w:val="17"/>
          <w:szCs w:val="17"/>
          <w:color w:val="0000FF"/>
        </w:rPr>
        <w:t xml:space="preserve"> </w:t>
      </w:r>
      <w:r>
        <w:rPr>
          <w:rFonts w:ascii="Arial" w:cs="Arial" w:eastAsia="Arial" w:hAnsi="Arial"/>
          <w:sz w:val="17"/>
          <w:szCs w:val="17"/>
          <w:color w:val="FF0000"/>
          <w:strike w:val="1"/>
        </w:rPr>
        <w:t>relevant</w:t>
      </w:r>
      <w:r>
        <w:rPr>
          <w:rFonts w:ascii="Arial" w:cs="Arial" w:eastAsia="Arial" w:hAnsi="Arial"/>
          <w:sz w:val="17"/>
          <w:szCs w:val="17"/>
          <w:color w:val="0000FF"/>
        </w:rPr>
        <w:t xml:space="preserve"> </w:t>
      </w:r>
      <w:r>
        <w:rPr>
          <w:rFonts w:ascii="Arial" w:cs="Arial" w:eastAsia="Arial" w:hAnsi="Arial"/>
          <w:sz w:val="17"/>
          <w:szCs w:val="17"/>
          <w:color w:val="000000"/>
        </w:rPr>
        <w:t xml:space="preserve">Impacted Interest Period, </w:t>
      </w:r>
      <w:r>
        <w:rPr>
          <w:rFonts w:ascii="Arial" w:cs="Arial" w:eastAsia="Arial" w:hAnsi="Arial"/>
          <w:sz w:val="17"/>
          <w:szCs w:val="17"/>
          <w:u w:val="single" w:color="auto"/>
          <w:color w:val="0000FF"/>
        </w:rPr>
        <w:t>in</w:t>
      </w:r>
      <w:r>
        <w:rPr>
          <w:rFonts w:ascii="Arial" w:cs="Arial" w:eastAsia="Arial" w:hAnsi="Arial"/>
          <w:sz w:val="17"/>
          <w:szCs w:val="17"/>
          <w:color w:val="000000"/>
        </w:rPr>
        <w:t xml:space="preserve"> each </w:t>
      </w:r>
      <w:r>
        <w:rPr>
          <w:rFonts w:ascii="Arial" w:cs="Arial" w:eastAsia="Arial" w:hAnsi="Arial"/>
          <w:sz w:val="17"/>
          <w:szCs w:val="17"/>
          <w:u w:val="single" w:color="auto"/>
          <w:color w:val="0000FF"/>
        </w:rPr>
        <w:t>case,</w:t>
      </w:r>
      <w:r>
        <w:rPr>
          <w:rFonts w:ascii="Arial" w:cs="Arial" w:eastAsia="Arial" w:hAnsi="Arial"/>
          <w:sz w:val="17"/>
          <w:szCs w:val="17"/>
          <w:color w:val="000000"/>
        </w:rPr>
        <w:t xml:space="preserve"> as of the applicable Requisite Time. When determining the rate for a period which is less than the shortest period for which the </w:t>
      </w:r>
      <w:r>
        <w:rPr>
          <w:rFonts w:ascii="Arial" w:cs="Arial" w:eastAsia="Arial" w:hAnsi="Arial"/>
          <w:sz w:val="17"/>
          <w:szCs w:val="17"/>
          <w:u w:val="single" w:color="auto"/>
          <w:color w:val="0000FF"/>
        </w:rPr>
        <w:t>LIBO</w:t>
      </w:r>
      <w:r>
        <w:rPr>
          <w:rFonts w:ascii="Arial" w:cs="Arial" w:eastAsia="Arial" w:hAnsi="Arial"/>
          <w:sz w:val="17"/>
          <w:szCs w:val="17"/>
          <w:color w:val="000000"/>
        </w:rPr>
        <w:t xml:space="preserve"> Screen Rate is available, the </w:t>
      </w:r>
      <w:r>
        <w:rPr>
          <w:rFonts w:ascii="Arial" w:cs="Arial" w:eastAsia="Arial" w:hAnsi="Arial"/>
          <w:sz w:val="17"/>
          <w:szCs w:val="17"/>
          <w:u w:val="single" w:color="auto"/>
          <w:color w:val="0000FF"/>
        </w:rPr>
        <w:t>LIBO</w:t>
      </w:r>
      <w:r>
        <w:rPr>
          <w:rFonts w:ascii="Arial" w:cs="Arial" w:eastAsia="Arial" w:hAnsi="Arial"/>
          <w:sz w:val="17"/>
          <w:szCs w:val="17"/>
          <w:color w:val="000000"/>
        </w:rPr>
        <w:t xml:space="preserve"> Screen Rate for purposes of clause (a) above shall be deemed to be the overnight rate for dollars determined by Administrative Agent from such service as Administrative Agent may reasonably select. If any Interpolated Rate shall be less than zero, such rate shall be deemed to be zero for purposes of this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“IRS”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8" w:name="page59"/>
    <w:bookmarkEnd w:id="58"/>
    <w:p>
      <w:pPr>
        <w:ind w:right="300" w:firstLine="1297"/>
        <w:spacing w:after="0" w:line="259" w:lineRule="auto"/>
        <w:rPr>
          <w:sz w:val="20"/>
          <w:szCs w:val="20"/>
          <w:color w:val="auto"/>
        </w:rPr>
      </w:pPr>
      <w:r>
        <w:rPr>
          <w:rFonts w:ascii="Arial" w:cs="Arial" w:eastAsia="Arial" w:hAnsi="Arial"/>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Chase” means JPMorgan Chase Bank, N.A.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25" w:lineRule="exact"/>
        <w:rPr>
          <w:sz w:val="20"/>
          <w:szCs w:val="20"/>
          <w:color w:val="auto"/>
        </w:rPr>
      </w:pPr>
    </w:p>
    <w:p>
      <w:pPr>
        <w:jc w:val="both"/>
        <w:ind w:right="540" w:firstLine="1297"/>
        <w:spacing w:after="0" w:line="264"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1"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Party” means any Agent, any Issuing Lender or any Lender.</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225" w:lineRule="exact"/>
        <w:rPr>
          <w:sz w:val="20"/>
          <w:szCs w:val="20"/>
          <w:color w:val="auto"/>
        </w:rPr>
      </w:pPr>
    </w:p>
    <w:p>
      <w:pPr>
        <w:ind w:right="880" w:firstLine="1297"/>
        <w:spacing w:after="0" w:line="277" w:lineRule="auto"/>
        <w:rPr>
          <w:sz w:val="20"/>
          <w:szCs w:val="20"/>
          <w:color w:val="auto"/>
        </w:rPr>
      </w:pPr>
      <w:r>
        <w:rPr>
          <w:rFonts w:ascii="Arial" w:cs="Arial" w:eastAsia="Arial" w:hAnsi="Arial"/>
          <w:sz w:val="18"/>
          <w:szCs w:val="18"/>
          <w:color w:val="auto"/>
        </w:rPr>
        <w:t>“Letter of Credit Action” means the issuance, supplement, amendment, renewal, extension, modification or other action relating to a Letter of Credit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Application” means an application for a Letter of Credit Action from time to time in use by an Issuing Lender.</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“Letter of Credit Cash Collateral Account” means a blocked deposit account at JPMorgan Chase in which Borrower hereby grants a security interest to Administrative Agent, for the benefit of the Lenders and the Issuing Lenders (in each case with respect to each such Person’s interest in the applicable Letter of Credit), as security for Letter of Credit Usage and with respect to which Borrower agrees to execute and deliver from time to time such documentation as Administrative Agent may reasonably request to further assure and confirm such security interest.</w:t>
      </w:r>
    </w:p>
    <w:p>
      <w:pPr>
        <w:spacing w:after="0" w:line="17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“Letter of Credit Commitment” means, for each Issuing Lender, the amount set forth under the heading “Letter of Credit Commitment” opposite such Lender’s name on Schedule 2.03 as such Schedule may be modified from time to time, and as such amount may be reduced or adjusted from time to time in accordance with the terms of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9" w:name="page60"/>
    <w:bookmarkEnd w:id="59"/>
    <w:p>
      <w:pPr>
        <w:jc w:val="both"/>
        <w:ind w:right="20" w:firstLine="1297"/>
        <w:spacing w:after="0" w:line="264"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Loans and (b) $1,000,000,000, as such amount may be reduced from time to time in accordance with the terms of this Agreement.</w:t>
      </w:r>
    </w:p>
    <w:p>
      <w:pPr>
        <w:spacing w:after="0" w:line="181"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“Letter of Credit Usage” means, as of any date of determination, the aggregate undrawn face or available Dollar Amount of outstanding Letters of Credit plus the aggregate Dollar Amount of all drawings under the Letters of Credit not reimbursed by Borrower or converted into Revolving Loans.</w:t>
      </w:r>
    </w:p>
    <w:p>
      <w:pPr>
        <w:spacing w:after="0" w:line="181"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“Leverage Ratio” means, at any date of determination, the ratio of (a) Consolidated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up to $1,000,000,000 of unrestricted cash and cash equivalents on the balance sheet of Borrower and its Restricted Subsidiaries on or as of such date to (b) Annualized EBITDA of Borrower and its Restricted Subsidiaries,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after (x) in connection with the Target Acquisition or with respect to any acquisition that is a Material Acquisition in accordance with clause (ii) of the definition thereof to which the United Kingdom City Code on Takeovers and Mergers (or any comparable laws, rules or regulations in any other jurisdiction) applies, the date on which (i) the Rule 2.7 Announcement is issued in connection with the Target Acquisition or (ii) a “Rule 2.7 announcement” of a firm 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7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u w:val="single" w:color="auto"/>
          <w:color w:val="0000FF"/>
        </w:rPr>
        <w:t xml:space="preserve">“LIBO Rate” means </w:t>
      </w:r>
      <w:r>
        <w:rPr>
          <w:rFonts w:ascii="Arial" w:cs="Arial" w:eastAsia="Arial" w:hAnsi="Arial"/>
          <w:sz w:val="18"/>
          <w:szCs w:val="18"/>
          <w:u w:val="single" w:color="auto"/>
          <w:color w:val="008000"/>
        </w:rPr>
        <w:t>, with respect to any</w:t>
      </w:r>
      <w:r>
        <w:rPr>
          <w:rFonts w:ascii="Arial" w:cs="Arial" w:eastAsia="Arial" w:hAnsi="Arial"/>
          <w:sz w:val="18"/>
          <w:szCs w:val="18"/>
          <w:u w:val="single" w:color="auto"/>
          <w:color w:val="0000FF"/>
        </w:rPr>
        <w:t xml:space="preserve"> Eurodollar Rate Borrowing for any applicable currency and for any Interest Period, the LIBO </w:t>
      </w:r>
      <w:r>
        <w:rPr>
          <w:rFonts w:ascii="Arial" w:cs="Arial" w:eastAsia="Arial" w:hAnsi="Arial"/>
          <w:sz w:val="18"/>
          <w:szCs w:val="18"/>
          <w:u w:val="single" w:color="auto"/>
          <w:color w:val="008000"/>
        </w:rPr>
        <w:t>Screen Rate as of the applicable Requisite Time</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-182245</wp:posOffset>
            </wp:positionV>
            <wp:extent cx="368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5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u w:val="single" w:color="auto"/>
          <w:color w:val="0000FF"/>
        </w:rPr>
        <w:t>“LIBO Screen Rate” means, for any day and time, with respect to any Eurodollar Rate Borrowing for any applicable currency and for any Interest Period</w:t>
      </w:r>
      <w:r>
        <w:rPr>
          <w:rFonts w:ascii="Arial" w:cs="Arial" w:eastAsia="Arial" w:hAnsi="Arial"/>
          <w:sz w:val="17"/>
          <w:szCs w:val="17"/>
          <w:u w:val="single" w:color="auto"/>
          <w:color w:val="008000"/>
        </w:rPr>
        <w:t>, the London interbank offered rate as administered by</w:t>
      </w:r>
      <w:r>
        <w:rPr>
          <w:rFonts w:ascii="Arial" w:cs="Arial" w:eastAsia="Arial" w:hAnsi="Arial"/>
          <w:sz w:val="17"/>
          <w:szCs w:val="17"/>
          <w:u w:val="single" w:color="auto"/>
          <w:color w:val="0000FF"/>
        </w:rPr>
        <w:t xml:space="preserve"> ICE Benchmark Administration (or any other Person that </w:t>
      </w:r>
      <w:r>
        <w:rPr>
          <w:rFonts w:ascii="Arial" w:cs="Arial" w:eastAsia="Arial" w:hAnsi="Arial"/>
          <w:sz w:val="17"/>
          <w:szCs w:val="17"/>
          <w:u w:val="single" w:color="auto"/>
          <w:color w:val="008000"/>
        </w:rPr>
        <w:t>takes over the administration</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of </w:t>
      </w:r>
      <w:r>
        <w:rPr>
          <w:rFonts w:ascii="Arial" w:cs="Arial" w:eastAsia="Arial" w:hAnsi="Arial"/>
          <w:sz w:val="17"/>
          <w:szCs w:val="17"/>
          <w:u w:val="single" w:color="auto"/>
          <w:color w:val="0000FF"/>
        </w:rPr>
        <w:t>such rate for Dollars/the relevant currency</w:t>
      </w:r>
      <w:r>
        <w:rPr>
          <w:rFonts w:ascii="Arial" w:cs="Arial" w:eastAsia="Arial" w:hAnsi="Arial"/>
          <w:sz w:val="17"/>
          <w:szCs w:val="17"/>
          <w:u w:val="single" w:color="auto"/>
          <w:color w:val="008000"/>
        </w:rPr>
        <w:t xml:space="preserve"> for a period equal in length to </w:t>
      </w:r>
      <w:r>
        <w:rPr>
          <w:rFonts w:ascii="Arial" w:cs="Arial" w:eastAsia="Arial" w:hAnsi="Arial"/>
          <w:sz w:val="17"/>
          <w:szCs w:val="17"/>
          <w:u w:val="single" w:color="auto"/>
          <w:color w:val="0000FF"/>
        </w:rPr>
        <w:t>such Interest Period as displayed on such day and time on pages LIBOR01 or</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 xml:space="preserve">LIBOR02 of the Reuters screen that displays such rate ( </w:t>
      </w:r>
      <w:r>
        <w:rPr>
          <w:rFonts w:ascii="Arial" w:cs="Arial" w:eastAsia="Arial" w:hAnsi="Arial"/>
          <w:sz w:val="17"/>
          <w:szCs w:val="17"/>
          <w:u w:val="single" w:color="auto"/>
          <w:color w:val="008000"/>
        </w:rPr>
        <w:t>or, in the event such rate does not appear on a Reuters page or screen, on any successor or substitute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page on such screen that displays such rate, or on the appropriate page of such other information service that publishes such rate from time to time as selected by </w:t>
      </w:r>
      <w:r>
        <w:rPr>
          <w:rFonts w:ascii="Arial" w:cs="Arial" w:eastAsia="Arial" w:hAnsi="Arial"/>
          <w:sz w:val="17"/>
          <w:szCs w:val="17"/>
          <w:u w:val="single" w:color="auto"/>
          <w:color w:val="0000FF"/>
        </w:rPr>
        <w:t>the</w:t>
      </w:r>
      <w:r>
        <w:rPr>
          <w:rFonts w:ascii="Arial" w:cs="Arial" w:eastAsia="Arial" w:hAnsi="Arial"/>
          <w:sz w:val="17"/>
          <w:szCs w:val="17"/>
          <w:u w:val="single" w:color="auto"/>
          <w:color w:val="008000"/>
        </w:rPr>
        <w:t xml:space="preserve"> Administrative Agent in its reasonable discretion for deposits in the applicable currency)</w:t>
      </w:r>
      <w:r>
        <w:rPr>
          <w:rFonts w:ascii="Arial" w:cs="Arial" w:eastAsia="Arial" w:hAnsi="Arial"/>
          <w:sz w:val="17"/>
          <w:szCs w:val="17"/>
          <w:u w:val="single" w:color="auto"/>
          <w:color w:val="0000FF"/>
        </w:rPr>
        <w:t>; provided that if the LIBO Screen Rate as so determined</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 xml:space="preserve">would be less than zero, such rate shall be deemed to be zero for the purposes </w:t>
      </w:r>
      <w:r>
        <w:rPr>
          <w:rFonts w:ascii="Arial" w:cs="Arial" w:eastAsia="Arial" w:hAnsi="Arial"/>
          <w:sz w:val="17"/>
          <w:szCs w:val="17"/>
          <w:u w:val="single" w:color="auto"/>
          <w:color w:val="008000"/>
        </w:rPr>
        <w:t>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-726440</wp:posOffset>
            </wp:positionV>
            <wp:extent cx="285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-589280</wp:posOffset>
            </wp:positionV>
            <wp:extent cx="368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-177165</wp:posOffset>
            </wp:positionV>
            <wp:extent cx="368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5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u w:val="single" w:color="auto"/>
          <w:color w:val="0000FF"/>
        </w:rPr>
        <w:t>“LIBOR Quoted Currency” means each of the following currencies: Dollars; Sterling; and Yen; in each case as long as there is a published LIBO Screen Rate with respect thereto.</w:t>
      </w:r>
    </w:p>
    <w:p>
      <w:pPr>
        <w:spacing w:after="0" w:line="170" w:lineRule="exact"/>
        <w:rPr>
          <w:sz w:val="20"/>
          <w:szCs w:val="20"/>
          <w:color w:val="auto"/>
        </w:rPr>
      </w:pPr>
    </w:p>
    <w:p>
      <w:pPr>
        <w:ind w:right="900" w:firstLine="1297"/>
        <w:spacing w:after="0" w:line="277" w:lineRule="auto"/>
        <w:rPr>
          <w:sz w:val="20"/>
          <w:szCs w:val="20"/>
          <w:color w:val="auto"/>
        </w:rPr>
      </w:pPr>
      <w:r>
        <w:rPr>
          <w:rFonts w:ascii="Arial" w:cs="Arial" w:eastAsia="Arial" w:hAnsi="Arial"/>
          <w:sz w:val="18"/>
          <w:szCs w:val="18"/>
          <w:color w:val="auto"/>
        </w:rPr>
        <w:t>“Lien” means any mortgage, pledge, hypothecation, assignment, encumbrance, lien (statutory or other), charge or other security interest (including any conditional sale or other title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jc w:val="both"/>
        <w:ind w:right="400"/>
        <w:spacing w:after="0" w:line="286" w:lineRule="auto"/>
        <w:rPr>
          <w:sz w:val="20"/>
          <w:szCs w:val="20"/>
          <w:color w:val="auto"/>
        </w:rPr>
      </w:pPr>
      <w:r>
        <w:rPr>
          <w:rFonts w:ascii="Arial" w:cs="Arial" w:eastAsia="Arial" w:hAnsi="Arial"/>
          <w:sz w:val="17"/>
          <w:szCs w:val="17"/>
          <w:color w:val="auto"/>
        </w:rPr>
        <w:t xml:space="preserve">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Liens shall not include ordinary and customary contractual set off rights.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means any advance made by any Lender to Borrower as provided in Section 2 (collectively, the “Loans”).</w:t>
      </w:r>
    </w:p>
    <w:p>
      <w:pPr>
        <w:spacing w:after="0" w:line="225" w:lineRule="exact"/>
        <w:rPr>
          <w:sz w:val="20"/>
          <w:szCs w:val="20"/>
          <w:color w:val="auto"/>
        </w:rPr>
      </w:pPr>
    </w:p>
    <w:p>
      <w:pPr>
        <w:jc w:val="both"/>
        <w:ind w:right="360" w:firstLine="1297"/>
        <w:spacing w:after="0" w:line="264" w:lineRule="auto"/>
        <w:rPr>
          <w:sz w:val="20"/>
          <w:szCs w:val="20"/>
          <w:color w:val="auto"/>
        </w:rPr>
      </w:pPr>
      <w:r>
        <w:rPr>
          <w:rFonts w:ascii="Arial" w:cs="Arial" w:eastAsia="Arial" w:hAnsi="Arial"/>
          <w:sz w:val="18"/>
          <w:szCs w:val="18"/>
          <w:color w:val="auto"/>
        </w:rPr>
        <w:t xml:space="preserve">“Loan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 (including, without limitation, Amendment No. 1 </w:t>
      </w:r>
      <w:r>
        <w:rPr>
          <w:rFonts w:ascii="Arial" w:cs="Arial" w:eastAsia="Arial" w:hAnsi="Arial"/>
          <w:sz w:val="18"/>
          <w:szCs w:val="18"/>
          <w:u w:val="single" w:color="auto"/>
          <w:color w:val="0000FF"/>
        </w:rPr>
        <w:t>and Amendment No. 2</w:t>
      </w:r>
      <w:r>
        <w:rPr>
          <w:rFonts w:ascii="Arial" w:cs="Arial" w:eastAsia="Arial" w:hAnsi="Arial"/>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“Major Event of Default” means an Event of Default arising from any of the following with respect to Borrower and the Guarantors only (and not, for the avoidance of doubt, (a) in relation to any other Subsidiary of Borrower or the Target Group or (b) in respect of any obligation to procure any action by any other Subsidiary of Borrower or the Target Group):</w:t>
      </w:r>
    </w:p>
    <w:p>
      <w:pPr>
        <w:spacing w:after="0" w:line="181" w:lineRule="exact"/>
        <w:rPr>
          <w:sz w:val="20"/>
          <w:szCs w:val="20"/>
          <w:color w:val="auto"/>
        </w:rPr>
      </w:pPr>
    </w:p>
    <w:p>
      <w:pPr>
        <w:ind w:left="1700" w:hanging="395"/>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8.01(a);</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8.01(b);</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8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8.01(c), but solely as it relates to the failure to perform or observe any of covenants set forth in Section 7.03 (</w:t>
      </w:r>
      <w:r>
        <w:rPr>
          <w:rFonts w:ascii="Arial" w:cs="Arial" w:eastAsia="Arial" w:hAnsi="Arial"/>
          <w:sz w:val="18"/>
          <w:szCs w:val="18"/>
          <w:i w:val="1"/>
          <w:iCs w:val="1"/>
          <w:color w:val="auto"/>
        </w:rPr>
        <w:t>Fundamental Changes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right="140" w:firstLine="645"/>
        <w:spacing w:after="0" w:line="264" w:lineRule="auto"/>
        <w:tabs>
          <w:tab w:leader="none" w:pos="19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8.01(d), but solely as it relates to the failure to perform or observe any of the covenants set forth in Section 6.4 (</w:t>
      </w:r>
      <w:r>
        <w:rPr>
          <w:rFonts w:ascii="Arial" w:cs="Arial" w:eastAsia="Arial" w:hAnsi="Arial"/>
          <w:sz w:val="18"/>
          <w:szCs w:val="18"/>
          <w:i w:val="1"/>
          <w:iCs w:val="1"/>
          <w:color w:val="auto"/>
        </w:rPr>
        <w:t>Preservation of Existence</w:t>
      </w:r>
      <w:r>
        <w:rPr>
          <w:rFonts w:ascii="Arial" w:cs="Arial" w:eastAsia="Arial" w:hAnsi="Arial"/>
          <w:sz w:val="18"/>
          <w:szCs w:val="18"/>
          <w:color w:val="auto"/>
        </w:rPr>
        <w:t>) but only insofar as it refers to “existence” therein, 7.01 (</w:t>
      </w:r>
      <w:r>
        <w:rPr>
          <w:rFonts w:ascii="Arial" w:cs="Arial" w:eastAsia="Arial" w:hAnsi="Arial"/>
          <w:sz w:val="18"/>
          <w:szCs w:val="18"/>
          <w:i w:val="1"/>
          <w:iCs w:val="1"/>
          <w:color w:val="auto"/>
        </w:rPr>
        <w:t>Liens</w:t>
      </w:r>
      <w:r>
        <w:rPr>
          <w:rFonts w:ascii="Arial" w:cs="Arial" w:eastAsia="Arial" w:hAnsi="Arial"/>
          <w:sz w:val="18"/>
          <w:szCs w:val="18"/>
          <w:color w:val="auto"/>
        </w:rPr>
        <w:t>) or 7.05 (</w:t>
      </w: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5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8.01(e), but solely as it relates to the inaccuracy of any representation or warranty set forth in Section 5.01 (</w:t>
      </w:r>
      <w:r>
        <w:rPr>
          <w:rFonts w:ascii="Arial" w:cs="Arial" w:eastAsia="Arial" w:hAnsi="Arial"/>
          <w:sz w:val="18"/>
          <w:szCs w:val="18"/>
          <w:i w:val="1"/>
          <w:iCs w:val="1"/>
          <w:color w:val="auto"/>
        </w:rPr>
        <w:t>Existence and Qualification; Compliance with Laws</w:t>
      </w:r>
      <w:r>
        <w:rPr>
          <w:rFonts w:ascii="Arial" w:cs="Arial" w:eastAsia="Arial" w:hAnsi="Arial"/>
          <w:sz w:val="18"/>
          <w:szCs w:val="18"/>
          <w:color w:val="auto"/>
        </w:rPr>
        <w:t>), 5.02 (</w:t>
      </w:r>
      <w:r>
        <w:rPr>
          <w:rFonts w:ascii="Arial" w:cs="Arial" w:eastAsia="Arial" w:hAnsi="Arial"/>
          <w:sz w:val="18"/>
          <w:szCs w:val="18"/>
          <w:i w:val="1"/>
          <w:iCs w:val="1"/>
          <w:color w:val="auto"/>
        </w:rPr>
        <w:t>Power; Authorization; Enforceable</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5.03(a)(i), (ii) and (iii) (</w:t>
      </w:r>
      <w:r>
        <w:rPr>
          <w:rFonts w:ascii="Arial" w:cs="Arial" w:eastAsia="Arial" w:hAnsi="Arial"/>
          <w:sz w:val="18"/>
          <w:szCs w:val="18"/>
          <w:i w:val="1"/>
          <w:iCs w:val="1"/>
          <w:color w:val="auto"/>
        </w:rPr>
        <w:t>No Legal Bar</w:t>
      </w:r>
      <w:r>
        <w:rPr>
          <w:rFonts w:ascii="Arial" w:cs="Arial" w:eastAsia="Arial" w:hAnsi="Arial"/>
          <w:sz w:val="18"/>
          <w:szCs w:val="18"/>
          <w:color w:val="auto"/>
        </w:rPr>
        <w:t>) (but only in respect of Section 5.03(iii) with respect to any Contractual Obligation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for borrowed money incurred or issued by a Loan Party in an aggregate principal amount equal to or greater than the Threshold Amount) or 5.06 (</w:t>
      </w:r>
      <w:r>
        <w:rPr>
          <w:rFonts w:ascii="Arial" w:cs="Arial" w:eastAsia="Arial" w:hAnsi="Arial"/>
          <w:sz w:val="18"/>
          <w:szCs w:val="18"/>
          <w:i w:val="1"/>
          <w:iCs w:val="1"/>
          <w:color w:val="auto"/>
        </w:rPr>
        <w:t>Use of Proceeds</w:t>
      </w:r>
      <w:r>
        <w:rPr>
          <w:rFonts w:ascii="Arial" w:cs="Arial" w:eastAsia="Arial" w:hAnsi="Arial"/>
          <w:sz w:val="18"/>
          <w:szCs w:val="18"/>
          <w:color w:val="auto"/>
        </w:rPr>
        <w:t>) (solely with respect to the second sentence thereof);</w:t>
      </w:r>
    </w:p>
    <w:p>
      <w:pPr>
        <w:spacing w:after="0" w:line="188" w:lineRule="exact"/>
        <w:rPr>
          <w:rFonts w:ascii="Arial" w:cs="Arial" w:eastAsia="Arial" w:hAnsi="Arial"/>
          <w:sz w:val="18"/>
          <w:szCs w:val="18"/>
          <w:color w:val="auto"/>
        </w:rPr>
      </w:pPr>
    </w:p>
    <w:p>
      <w:pPr>
        <w:ind w:left="1780" w:hanging="475"/>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8.01(g); and</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8.01(i) (but excluding, in relation to involuntary proceedings, any Event of Default caused by a frivolous or vexatious (and, in either case, lacking in merit) action, proceeding or petition in respect of which no order or decree in respect of such involuntary proceeding shall have been entered).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61" w:name="page62"/>
    <w:bookmarkEnd w:id="61"/>
    <w:p>
      <w:pPr>
        <w:ind w:left="100" w:right="320" w:firstLine="1296"/>
        <w:spacing w:after="0" w:line="264" w:lineRule="auto"/>
        <w:rPr>
          <w:sz w:val="20"/>
          <w:szCs w:val="20"/>
          <w:color w:val="auto"/>
        </w:rPr>
      </w:pPr>
      <w:r>
        <w:rPr>
          <w:rFonts w:ascii="Arial" w:cs="Arial" w:eastAsia="Arial" w:hAnsi="Arial"/>
          <w:sz w:val="18"/>
          <w:szCs w:val="18"/>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81" w:lineRule="exact"/>
        <w:rPr>
          <w:sz w:val="20"/>
          <w:szCs w:val="20"/>
          <w:color w:val="auto"/>
        </w:rPr>
      </w:pPr>
    </w:p>
    <w:p>
      <w:pPr>
        <w:ind w:left="100" w:right="160" w:firstLine="1296"/>
        <w:spacing w:after="0" w:line="255"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93" w:lineRule="exact"/>
        <w:rPr>
          <w:sz w:val="20"/>
          <w:szCs w:val="20"/>
          <w:color w:val="auto"/>
        </w:rPr>
      </w:pPr>
    </w:p>
    <w:p>
      <w:pPr>
        <w:ind w:left="100" w:right="60" w:firstLine="1296"/>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87" w:lineRule="exact"/>
        <w:rPr>
          <w:sz w:val="20"/>
          <w:szCs w:val="20"/>
          <w:color w:val="auto"/>
        </w:rPr>
      </w:pPr>
    </w:p>
    <w:p>
      <w:pPr>
        <w:ind w:left="100" w:right="1140" w:firstLine="1296"/>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left="100" w:right="200" w:firstLine="1296"/>
        <w:spacing w:after="0" w:line="255"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93" w:lineRule="exact"/>
        <w:rPr>
          <w:sz w:val="20"/>
          <w:szCs w:val="20"/>
          <w:color w:val="auto"/>
        </w:rPr>
      </w:pPr>
    </w:p>
    <w:p>
      <w:pPr>
        <w:ind w:left="100" w:right="40" w:firstLine="1296"/>
        <w:spacing w:after="0" w:line="255" w:lineRule="auto"/>
        <w:rPr>
          <w:sz w:val="20"/>
          <w:szCs w:val="20"/>
          <w:color w:val="auto"/>
        </w:rPr>
      </w:pPr>
      <w:r>
        <w:rPr>
          <w:rFonts w:ascii="Arial" w:cs="Arial" w:eastAsia="Arial" w:hAnsi="Arial"/>
          <w:sz w:val="18"/>
          <w:szCs w:val="18"/>
          <w:color w:val="auto"/>
        </w:rPr>
        <w:t>“Materially Adverse Amendment” means a modification, amendment or waiver to or of the terms or conditions of any Target Acquisition Document that is, when compared to the terms and conditions that are included in the initial Rule 2.7 Announcement, materially prejudicial to the interests of the Lenders (taken as a whole), it being acknowledged that (a) a waiver of a pre-condition which then becomes a condition to be satisfied in connection with the Target Acquisition or an increase to the price of the Target Acquisition would not be materially prejudicial to the interests of the Lenders (taken as a whole), and (b) any modification, amendment or waiver required by the Takeover Code, the Panel, any other competent regulatory body or by a court of competent jurisdiction shall not be a Materially Adverse Amendment.</w:t>
      </w:r>
    </w:p>
    <w:p>
      <w:pPr>
        <w:spacing w:after="0" w:line="193" w:lineRule="exact"/>
        <w:rPr>
          <w:sz w:val="20"/>
          <w:szCs w:val="20"/>
          <w:color w:val="auto"/>
        </w:rPr>
      </w:pPr>
    </w:p>
    <w:p>
      <w:pPr>
        <w:ind w:left="100" w:right="260" w:firstLine="1296"/>
        <w:spacing w:after="0" w:line="277"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Action</w:t>
            </w:r>
          </w:p>
        </w:tc>
        <w:tc>
          <w:tcPr>
            <w:tcW w:w="2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Minimum Amount</w:t>
            </w:r>
          </w:p>
        </w:tc>
        <w:tc>
          <w:tcPr>
            <w:tcW w:w="1640" w:type="dxa"/>
            <w:vAlign w:val="bottom"/>
            <w:tcBorders>
              <w:top w:val="single" w:sz="8" w:color="auto"/>
              <w:right w:val="single" w:sz="8" w:color="auto"/>
            </w:tcBorders>
          </w:tcPr>
          <w:p>
            <w:pPr>
              <w:spacing w:after="0"/>
              <w:rPr>
                <w:sz w:val="22"/>
                <w:szCs w:val="22"/>
                <w:color w:val="auto"/>
              </w:rPr>
            </w:pPr>
          </w:p>
        </w:tc>
        <w:tc>
          <w:tcPr>
            <w:tcW w:w="3740" w:type="dxa"/>
            <w:vAlign w:val="bottom"/>
            <w:tcBorders>
              <w:top w:val="single" w:sz="8" w:color="auto"/>
              <w:right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w w:val="87"/>
              </w:rPr>
              <w:t>Multiples in excess thereof</w:t>
            </w: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Borrowing or prepayment of, or Conversion into,</w:t>
            </w:r>
          </w:p>
        </w:tc>
        <w:tc>
          <w:tcPr>
            <w:tcW w:w="2140" w:type="dxa"/>
            <w:vAlign w:val="bottom"/>
          </w:tcPr>
          <w:p>
            <w:pPr>
              <w:spacing w:after="0"/>
              <w:rPr>
                <w:sz w:val="19"/>
                <w:szCs w:val="19"/>
                <w:color w:val="auto"/>
              </w:rPr>
            </w:pP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190"/>
        </w:trPr>
        <w:tc>
          <w:tcPr>
            <w:tcW w:w="780" w:type="dxa"/>
            <w:vAlign w:val="bottom"/>
            <w:tcBorders>
              <w:left w:val="single" w:sz="8" w:color="auto"/>
            </w:tcBorders>
          </w:tcPr>
          <w:p>
            <w:pPr>
              <w:ind w:left="40"/>
              <w:spacing w:after="0" w:line="190" w:lineRule="exact"/>
              <w:rPr>
                <w:sz w:val="20"/>
                <w:szCs w:val="20"/>
                <w:color w:val="auto"/>
              </w:rPr>
            </w:pPr>
            <w:r>
              <w:rPr>
                <w:rFonts w:ascii="Arial" w:cs="Arial" w:eastAsia="Arial" w:hAnsi="Arial"/>
                <w:sz w:val="18"/>
                <w:szCs w:val="18"/>
                <w:color w:val="FF0000"/>
                <w:strike w:val="1"/>
                <w:w w:val="85"/>
              </w:rPr>
              <w:t>Base Rate</w:t>
            </w:r>
          </w:p>
        </w:tc>
        <w:tc>
          <w:tcPr>
            <w:tcW w:w="312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ABR</w:t>
            </w:r>
          </w:p>
        </w:tc>
        <w:tc>
          <w:tcPr>
            <w:tcW w:w="2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264"/>
        </w:trPr>
        <w:tc>
          <w:tcPr>
            <w:tcW w:w="780" w:type="dxa"/>
            <w:vAlign w:val="bottom"/>
            <w:tcBorders>
              <w:left w:val="single" w:sz="8" w:color="auto"/>
              <w:bottom w:val="single" w:sz="8" w:color="auto"/>
            </w:tcBorders>
          </w:tcPr>
          <w:p>
            <w:pPr>
              <w:spacing w:after="0"/>
              <w:rPr>
                <w:sz w:val="22"/>
                <w:szCs w:val="22"/>
                <w:color w:val="auto"/>
              </w:rPr>
            </w:pPr>
          </w:p>
        </w:tc>
        <w:tc>
          <w:tcPr>
            <w:tcW w:w="360" w:type="dxa"/>
            <w:vAlign w:val="bottom"/>
            <w:tcBorders>
              <w:top w:val="single" w:sz="8" w:color="0000FF"/>
              <w:bottom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Loans</w:t>
            </w:r>
          </w:p>
        </w:tc>
        <w:tc>
          <w:tcPr>
            <w:tcW w:w="3780" w:type="dxa"/>
            <w:vAlign w:val="bottom"/>
            <w:tcBorders>
              <w:top w:val="single" w:sz="8" w:color="auto"/>
              <w:right w:val="single" w:sz="8" w:color="auto"/>
            </w:tcBorders>
          </w:tcPr>
          <w:p>
            <w:pPr>
              <w:spacing w:after="0"/>
              <w:rPr>
                <w:sz w:val="22"/>
                <w:szCs w:val="22"/>
                <w:color w:val="auto"/>
              </w:rPr>
            </w:pPr>
          </w:p>
        </w:tc>
        <w:tc>
          <w:tcPr>
            <w:tcW w:w="3740" w:type="dxa"/>
            <w:vAlign w:val="bottom"/>
            <w:tcBorders>
              <w:top w:val="single" w:sz="8" w:color="auto"/>
              <w:right w:val="single" w:sz="8" w:color="auto"/>
            </w:tcBorders>
          </w:tcPr>
          <w:p>
            <w:pPr>
              <w:spacing w:after="0"/>
              <w:rPr>
                <w:sz w:val="22"/>
                <w:szCs w:val="22"/>
                <w:color w:val="auto"/>
              </w:rPr>
            </w:pPr>
          </w:p>
        </w:tc>
      </w:tr>
      <w:tr>
        <w:trPr>
          <w:trHeight w:val="54"/>
        </w:trPr>
        <w:tc>
          <w:tcPr>
            <w:tcW w:w="390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22"/>
        </w:trPr>
        <w:tc>
          <w:tcPr>
            <w:tcW w:w="3900" w:type="dxa"/>
            <w:vAlign w:val="bottom"/>
            <w:tcBorders>
              <w:left w:val="single" w:sz="8" w:color="auto"/>
              <w:right w:val="single" w:sz="8" w:color="auto"/>
            </w:tcBorders>
          </w:tcPr>
          <w:p>
            <w:pPr>
              <w:spacing w:after="0"/>
              <w:rPr>
                <w:sz w:val="19"/>
                <w:szCs w:val="19"/>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 in the case of Loans</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 in the case of Loans</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denominated in a currency other</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denominated in a currency other</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than Dollars, as applicable:</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than Dollars, as applicable:</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C$10,000,000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C$1,000,000</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Continuation of, or Conversion</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into, Eurodollar Rate Loans</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of Competitive Loans</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Letter of Credit Action</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None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Reduction in Revolving</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Commitments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spacing w:after="0"/>
              <w:rPr>
                <w:sz w:val="19"/>
                <w:szCs w:val="19"/>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3740" w:type="dxa"/>
            <w:vAlign w:val="bottom"/>
            <w:tcBorders>
              <w:right w:val="single" w:sz="8" w:color="auto"/>
            </w:tcBorders>
          </w:tcPr>
          <w:p>
            <w:pPr>
              <w:spacing w:after="0"/>
              <w:rPr>
                <w:sz w:val="19"/>
                <w:szCs w:val="19"/>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 in the case of Loans</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denominated in a currency other</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than Dollars, as applicable:</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C$5,000,000</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Assignments</w:t>
            </w:r>
          </w:p>
        </w:tc>
        <w:tc>
          <w:tcPr>
            <w:tcW w:w="3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None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00" w:right="200" w:firstLine="1296"/>
        <w:spacing w:after="0" w:line="264"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Extending Lender” has the meaning set forth in Section 2.01(e).</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Lender” has the meaning set forth in Section 2.01(c).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Lender Supplement” has the meaning set forth in Section 2.01(c).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“Notice Date” has the meaning set forth in Section 2.01(e).</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“NYFRB” means the Federal Reserve Bank of New York.</w:t>
      </w:r>
    </w:p>
    <w:p>
      <w:pPr>
        <w:spacing w:after="0" w:line="225" w:lineRule="exact"/>
        <w:rPr>
          <w:sz w:val="20"/>
          <w:szCs w:val="20"/>
          <w:color w:val="auto"/>
        </w:rPr>
      </w:pPr>
    </w:p>
    <w:p>
      <w:pPr>
        <w:jc w:val="both"/>
        <w:ind w:left="100" w:right="140" w:firstLine="1296"/>
        <w:spacing w:after="0" w:line="259" w:lineRule="auto"/>
        <w:rPr>
          <w:sz w:val="20"/>
          <w:szCs w:val="20"/>
          <w:color w:val="auto"/>
        </w:rPr>
      </w:pPr>
      <w:r>
        <w:rPr>
          <w:rFonts w:ascii="Arial" w:cs="Arial" w:eastAsia="Arial" w:hAnsi="Arial"/>
          <w:sz w:val="18"/>
          <w:szCs w:val="18"/>
          <w:u w:val="single" w:color="auto"/>
          <w:color w:val="0000FF"/>
        </w:rPr>
        <w:t xml:space="preserve">“NYFRB Rate” means, for any day, the greater </w:t>
      </w:r>
      <w:r>
        <w:rPr>
          <w:rFonts w:ascii="Arial" w:cs="Arial" w:eastAsia="Arial" w:hAnsi="Arial"/>
          <w:sz w:val="18"/>
          <w:szCs w:val="18"/>
          <w:u w:val="single" w:color="auto"/>
          <w:color w:val="008000"/>
        </w:rPr>
        <w:t>of (a) the Federal Funds Rate in effect</w:t>
      </w:r>
      <w:r>
        <w:rPr>
          <w:rFonts w:ascii="Arial" w:cs="Arial" w:eastAsia="Arial" w:hAnsi="Arial"/>
          <w:sz w:val="18"/>
          <w:szCs w:val="18"/>
          <w:u w:val="single" w:color="auto"/>
          <w:color w:val="0000FF"/>
        </w:rPr>
        <w:t xml:space="preserve"> on such day and (b) the Overnight Bank Funding Rate in effect on such day (or for any day that </w:t>
      </w:r>
      <w:r>
        <w:rPr>
          <w:rFonts w:ascii="Arial" w:cs="Arial" w:eastAsia="Arial" w:hAnsi="Arial"/>
          <w:sz w:val="18"/>
          <w:szCs w:val="18"/>
          <w:u w:val="single" w:color="auto"/>
          <w:color w:val="008000"/>
        </w:rPr>
        <w:t>is not a Business Day,</w:t>
      </w:r>
      <w:r>
        <w:rPr>
          <w:rFonts w:ascii="Arial" w:cs="Arial" w:eastAsia="Arial" w:hAnsi="Arial"/>
          <w:sz w:val="18"/>
          <w:szCs w:val="18"/>
          <w:u w:val="single" w:color="auto"/>
          <w:color w:val="0000FF"/>
        </w:rPr>
        <w:t xml:space="preserve">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-446405</wp:posOffset>
            </wp:positionV>
            <wp:extent cx="285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 w:name="page64"/>
    <w:bookmarkEnd w:id="63"/>
    <w:p>
      <w:pPr>
        <w:ind w:right="160"/>
        <w:spacing w:after="0" w:line="277" w:lineRule="auto"/>
        <w:rPr>
          <w:sz w:val="20"/>
          <w:szCs w:val="20"/>
          <w:color w:val="auto"/>
        </w:rPr>
      </w:pPr>
      <w:r>
        <w:rPr>
          <w:rFonts w:ascii="Arial" w:cs="Arial" w:eastAsia="Arial" w:hAnsi="Arial"/>
          <w:sz w:val="18"/>
          <w:szCs w:val="18"/>
          <w:u w:val="single" w:color="auto"/>
          <w:color w:val="0000FF"/>
        </w:rPr>
        <w:t>broker of recognized standing selected by it; provided, further, that if any of the aforesaid rates as so determined be less than zero, such rate shall be deemed to be zero for purposes of this Agreement.</w:t>
      </w:r>
    </w:p>
    <w:p>
      <w:pPr>
        <w:spacing w:after="0" w:line="170" w:lineRule="exact"/>
        <w:rPr>
          <w:sz w:val="20"/>
          <w:szCs w:val="20"/>
          <w:color w:val="auto"/>
        </w:rPr>
      </w:pPr>
    </w:p>
    <w:p>
      <w:pPr>
        <w:jc w:val="both"/>
        <w:ind w:right="500" w:firstLine="1297"/>
        <w:spacing w:after="0" w:line="312" w:lineRule="auto"/>
        <w:rPr>
          <w:sz w:val="20"/>
          <w:szCs w:val="20"/>
          <w:color w:val="auto"/>
        </w:rPr>
      </w:pPr>
      <w:r>
        <w:rPr>
          <w:rFonts w:ascii="Arial" w:cs="Arial" w:eastAsia="Arial" w:hAnsi="Arial"/>
          <w:sz w:val="16"/>
          <w:szCs w:val="16"/>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“Offer” means a public offer by, or made on behalf of, Borrower in accordance with the Takeover Code and the provisions of the Companies Act for Borrower (or a Subsidiary thereof, including Bidco) to acquire all of the shares of the Target not owned, held or agreed to be acquired by Borrower (or a Subsidiary thereof, including Bidco).</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“Offer Documents” means (a) any Offer Press Release, (b) any document published in accordance with the Takeover Code pursuant to which an Offer is made to the shareholders of the Target (including, without limitation, any revision to an Offer and any alternative Offer) and (c) any other document designated in writing as such by Borrower and Administrative Agent.</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“Offer Press Release” means a press release announcing, in compliance with Rule 2.7, a firm intention to make an Offer or, as the case may be, a switch to an Offer in accordance with Section 8 of Appendix 7 to the Takeover Code.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Taxes” has the meaning set forth in Section 3.01(b).</w:t>
      </w:r>
    </w:p>
    <w:p>
      <w:pPr>
        <w:spacing w:after="0" w:line="225" w:lineRule="exact"/>
        <w:rPr>
          <w:sz w:val="20"/>
          <w:szCs w:val="20"/>
          <w:color w:val="auto"/>
        </w:rPr>
      </w:pPr>
    </w:p>
    <w:p>
      <w:pPr>
        <w:ind w:right="300" w:firstLine="1297"/>
        <w:spacing w:after="0" w:line="302"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54" w:lineRule="exact"/>
        <w:rPr>
          <w:sz w:val="20"/>
          <w:szCs w:val="20"/>
          <w:color w:val="auto"/>
        </w:rPr>
      </w:pPr>
    </w:p>
    <w:p>
      <w:pPr>
        <w:jc w:val="both"/>
        <w:ind w:right="40" w:firstLine="1297"/>
        <w:spacing w:after="0" w:line="286" w:lineRule="auto"/>
        <w:rPr>
          <w:sz w:val="20"/>
          <w:szCs w:val="20"/>
          <w:color w:val="auto"/>
        </w:rPr>
      </w:pPr>
      <w:r>
        <w:rPr>
          <w:rFonts w:ascii="Arial" w:cs="Arial" w:eastAsia="Arial" w:hAnsi="Arial"/>
          <w:sz w:val="17"/>
          <w:szCs w:val="17"/>
          <w:u w:val="single" w:color="auto"/>
          <w:color w:val="0000FF"/>
        </w:rPr>
        <w:t>“Overnight Bank Funding Rate</w:t>
      </w:r>
      <w:r>
        <w:rPr>
          <w:rFonts w:ascii="Arial" w:cs="Arial" w:eastAsia="Arial" w:hAnsi="Arial"/>
          <w:sz w:val="17"/>
          <w:szCs w:val="17"/>
          <w:u w:val="single" w:color="auto"/>
          <w:color w:val="008000"/>
        </w:rPr>
        <w:t>” means, for any day</w:t>
      </w:r>
      <w:r>
        <w:rPr>
          <w:rFonts w:ascii="Arial" w:cs="Arial" w:eastAsia="Arial" w:hAnsi="Arial"/>
          <w:sz w:val="17"/>
          <w:szCs w:val="17"/>
          <w:u w:val="single" w:color="auto"/>
          <w:color w:val="0000FF"/>
        </w:rPr>
        <w:t xml:space="preserve">, the rate comprised of both overnight federal funds and overnight Eurodollar borrowings by U.S.-managed banking offices of depository institutions, as such composite rate shall be determined by the NYFRB as set forth on its public website </w:t>
      </w:r>
      <w:r>
        <w:rPr>
          <w:rFonts w:ascii="Arial" w:cs="Arial" w:eastAsia="Arial" w:hAnsi="Arial"/>
          <w:sz w:val="17"/>
          <w:szCs w:val="17"/>
          <w:u w:val="single" w:color="auto"/>
          <w:color w:val="008000"/>
        </w:rPr>
        <w:t>from time to time, and</w:t>
      </w:r>
      <w:r>
        <w:rPr>
          <w:rFonts w:ascii="Arial" w:cs="Arial" w:eastAsia="Arial" w:hAnsi="Arial"/>
          <w:sz w:val="17"/>
          <w:szCs w:val="17"/>
          <w:u w:val="single" w:color="auto"/>
          <w:color w:val="0000FF"/>
        </w:rPr>
        <w:t xml:space="preserve"> published on the next succeeding Business Day by the NYFRB as an overnight bank funding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1407795</wp:posOffset>
            </wp:positionH>
            <wp:positionV relativeFrom="paragraph">
              <wp:posOffset>-48260</wp:posOffset>
            </wp:positionV>
            <wp:extent cx="28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jc w:val="both"/>
        <w:ind w:right="40" w:firstLine="1297"/>
        <w:spacing w:after="0" w:line="277" w:lineRule="auto"/>
        <w:rPr>
          <w:sz w:val="20"/>
          <w:szCs w:val="20"/>
          <w:color w:val="auto"/>
        </w:rPr>
      </w:pPr>
      <w:r>
        <w:rPr>
          <w:rFonts w:ascii="Arial" w:cs="Arial" w:eastAsia="Arial" w:hAnsi="Arial"/>
          <w:sz w:val="18"/>
          <w:szCs w:val="18"/>
          <w:color w:val="auto"/>
        </w:rPr>
        <w:t>“Panel” means The Panel on Takeovers and Mergers established in 1968 and designated as the supervisory authority in the United Kingdom to carry out certain regulatory functions in relation to takeovers pursuant to the EU Directive on Takeover Bids (2004/25/EC).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“PATRIOT Act” has the meaning set forth in Section 10.24.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“Permanent Financing” means the issuance of debt securities by Borrower or a Subsidiary thereof, through a public offering or in a private placement, the proceeds of which are used (in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whole or in part) to consummate the Target Acquisition or to replace or refinance some or all of the Bridge Loans.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u w:val="single" w:color="auto"/>
          <w:color w:val="0000FF"/>
        </w:rPr>
        <w:t>“Prime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“PTE”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Statements” means the financial statements described in Section 4.01(d).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“Refund Repayment Requirement” has the meaning set forth in Section 3.01(e).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Borrower and delivered by Requisite Notice and (c) with respect to a Borrowing of Competitive Loans, a Competitive Bid Request, duly completed and signed by a Responsible Officer of Borrower and delivered by Requisite Notice.</w:t>
      </w:r>
    </w:p>
    <w:p>
      <w:pPr>
        <w:spacing w:after="0" w:line="154"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65" w:name="page66"/>
    <w:bookmarkEnd w:id="65"/>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00" w:type="dxa"/>
            <w:vAlign w:val="bottom"/>
            <w:tcBorders>
              <w:top w:val="single" w:sz="8" w:color="auto"/>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b w:val="1"/>
                <w:bCs w:val="1"/>
                <w:color w:val="auto"/>
              </w:rPr>
              <w:t>Type of Action</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Applicable Time</w:t>
            </w:r>
          </w:p>
        </w:tc>
        <w:tc>
          <w:tcPr>
            <w:tcW w:w="20" w:type="dxa"/>
            <w:vAlign w:val="bottom"/>
            <w:tcBorders>
              <w:top w:val="single" w:sz="8" w:color="auto"/>
            </w:tcBorders>
          </w:tcPr>
          <w:p>
            <w:pPr>
              <w:spacing w:after="0"/>
              <w:rPr>
                <w:sz w:val="22"/>
                <w:szCs w:val="22"/>
                <w:color w:val="auto"/>
              </w:rPr>
            </w:pPr>
          </w:p>
        </w:tc>
        <w:tc>
          <w:tcPr>
            <w:tcW w:w="3840" w:type="dxa"/>
            <w:vAlign w:val="bottom"/>
            <w:tcBorders>
              <w:top w:val="single" w:sz="8" w:color="auto"/>
              <w:right w:val="single" w:sz="8" w:color="auto"/>
            </w:tcBorders>
            <w:gridSpan w:val="17"/>
          </w:tcPr>
          <w:p>
            <w:pPr>
              <w:spacing w:after="0"/>
              <w:rPr>
                <w:sz w:val="20"/>
                <w:szCs w:val="20"/>
                <w:color w:val="auto"/>
              </w:rPr>
            </w:pPr>
            <w:r>
              <w:rPr>
                <w:rFonts w:ascii="Arial" w:cs="Arial" w:eastAsia="Arial" w:hAnsi="Arial"/>
                <w:sz w:val="18"/>
                <w:szCs w:val="18"/>
                <w:b w:val="1"/>
                <w:bCs w:val="1"/>
                <w:color w:val="auto"/>
              </w:rPr>
              <w:t>Date of Action</w:t>
            </w: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w w:val="94"/>
              </w:rPr>
              <w:t>Delivery of Request for Extension of Credit for, or</w:t>
            </w:r>
          </w:p>
        </w:tc>
        <w:tc>
          <w:tcPr>
            <w:tcW w:w="3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notice for, or determination of any</w:t>
            </w:r>
          </w:p>
        </w:tc>
        <w:tc>
          <w:tcPr>
            <w:tcW w:w="3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 w:type="dxa"/>
            <w:vAlign w:val="bottom"/>
            <w:tcBorders>
              <w:left w:val="single" w:sz="8" w:color="auto"/>
            </w:tcBorders>
          </w:tcPr>
          <w:p>
            <w:pPr>
              <w:ind w:left="40"/>
              <w:spacing w:after="0" w:line="190" w:lineRule="exact"/>
              <w:rPr>
                <w:sz w:val="20"/>
                <w:szCs w:val="20"/>
                <w:color w:val="auto"/>
              </w:rPr>
            </w:pPr>
            <w:r>
              <w:rPr>
                <w:rFonts w:ascii="Arial" w:cs="Arial" w:eastAsia="Arial" w:hAnsi="Arial"/>
                <w:sz w:val="18"/>
                <w:szCs w:val="18"/>
                <w:color w:val="FF0000"/>
                <w:strike w:val="1"/>
                <w:w w:val="84"/>
              </w:rPr>
              <w:t>Screen</w:t>
            </w:r>
          </w:p>
        </w:tc>
        <w:tc>
          <w:tcPr>
            <w:tcW w:w="3260" w:type="dxa"/>
            <w:vAlign w:val="bottom"/>
            <w:tcBorders>
              <w:right w:val="single" w:sz="8" w:color="auto"/>
            </w:tcBorders>
            <w:gridSpan w:val="10"/>
          </w:tcPr>
          <w:p>
            <w:pPr>
              <w:spacing w:after="0" w:line="190" w:lineRule="exact"/>
              <w:rPr>
                <w:sz w:val="20"/>
                <w:szCs w:val="20"/>
                <w:color w:val="auto"/>
              </w:rPr>
            </w:pPr>
            <w:r>
              <w:rPr>
                <w:rFonts w:ascii="Arial" w:cs="Arial" w:eastAsia="Arial" w:hAnsi="Arial"/>
                <w:sz w:val="18"/>
                <w:szCs w:val="18"/>
                <w:color w:val="0000FF"/>
              </w:rPr>
              <w:t xml:space="preserve">Eurodollar </w:t>
            </w:r>
            <w:r>
              <w:rPr>
                <w:rFonts w:ascii="Arial" w:cs="Arial" w:eastAsia="Arial" w:hAnsi="Arial"/>
                <w:sz w:val="18"/>
                <w:szCs w:val="18"/>
                <w:color w:val="000000"/>
              </w:rPr>
              <w:t>Rate related to:</w:t>
            </w:r>
          </w:p>
        </w:tc>
        <w:tc>
          <w:tcPr>
            <w:tcW w:w="3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tcBorders>
            <w:gridSpan w:val="7"/>
          </w:tcPr>
          <w:p>
            <w:pPr>
              <w:ind w:left="40"/>
              <w:spacing w:after="0" w:line="196" w:lineRule="exact"/>
              <w:rPr>
                <w:sz w:val="20"/>
                <w:szCs w:val="20"/>
                <w:color w:val="auto"/>
              </w:rPr>
            </w:pPr>
            <w:r>
              <w:rPr>
                <w:rFonts w:ascii="Arial" w:cs="Arial" w:eastAsia="Arial" w:hAnsi="Arial"/>
                <w:sz w:val="18"/>
                <w:szCs w:val="18"/>
                <w:color w:val="auto"/>
                <w:w w:val="94"/>
              </w:rPr>
              <w:t>Borrowing or prepayment of</w:t>
            </w:r>
          </w:p>
        </w:tc>
        <w:tc>
          <w:tcPr>
            <w:tcW w:w="720" w:type="dxa"/>
            <w:vAlign w:val="bottom"/>
            <w:gridSpan w:val="2"/>
          </w:tcPr>
          <w:p>
            <w:pPr>
              <w:spacing w:after="0" w:line="196" w:lineRule="exact"/>
              <w:rPr>
                <w:sz w:val="20"/>
                <w:szCs w:val="20"/>
                <w:color w:val="auto"/>
              </w:rPr>
            </w:pPr>
            <w:r>
              <w:rPr>
                <w:rFonts w:ascii="Arial" w:cs="Arial" w:eastAsia="Arial" w:hAnsi="Arial"/>
                <w:sz w:val="18"/>
                <w:szCs w:val="18"/>
                <w:color w:val="FF0000"/>
                <w:strike w:val="1"/>
                <w:w w:val="83"/>
              </w:rPr>
              <w:t>Base Rate</w:t>
            </w:r>
          </w:p>
        </w:tc>
        <w:tc>
          <w:tcPr>
            <w:tcW w:w="9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0000FF"/>
                <w:w w:val="96"/>
              </w:rPr>
              <w:t xml:space="preserve">ABR </w:t>
            </w:r>
            <w:r>
              <w:rPr>
                <w:rFonts w:ascii="Arial" w:cs="Arial" w:eastAsia="Arial" w:hAnsi="Arial"/>
                <w:sz w:val="18"/>
                <w:szCs w:val="18"/>
                <w:color w:val="000000"/>
                <w:w w:val="96"/>
              </w:rPr>
              <w:t>Loans</w:t>
            </w:r>
          </w:p>
        </w:tc>
        <w:tc>
          <w:tcPr>
            <w:tcW w:w="3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11:00 a.m.</w:t>
            </w:r>
          </w:p>
        </w:tc>
        <w:tc>
          <w:tcPr>
            <w:tcW w:w="20" w:type="dxa"/>
            <w:vAlign w:val="bottom"/>
          </w:tcPr>
          <w:p>
            <w:pPr>
              <w:spacing w:after="0"/>
              <w:rPr>
                <w:sz w:val="17"/>
                <w:szCs w:val="17"/>
                <w:color w:val="auto"/>
              </w:rPr>
            </w:pPr>
          </w:p>
        </w:tc>
        <w:tc>
          <w:tcPr>
            <w:tcW w:w="3840" w:type="dxa"/>
            <w:vAlign w:val="bottom"/>
            <w:tcBorders>
              <w:right w:val="single" w:sz="8" w:color="auto"/>
            </w:tcBorders>
            <w:gridSpan w:val="17"/>
          </w:tcPr>
          <w:p>
            <w:pPr>
              <w:spacing w:after="0" w:line="196" w:lineRule="exact"/>
              <w:rPr>
                <w:sz w:val="20"/>
                <w:szCs w:val="20"/>
                <w:color w:val="auto"/>
              </w:rPr>
            </w:pPr>
            <w:r>
              <w:rPr>
                <w:rFonts w:ascii="Arial" w:cs="Arial" w:eastAsia="Arial" w:hAnsi="Arial"/>
                <w:sz w:val="18"/>
                <w:szCs w:val="18"/>
                <w:color w:val="auto"/>
                <w:w w:val="97"/>
              </w:rPr>
              <w:t>Same Business Day as such Loans Borrowing or</w:t>
            </w:r>
          </w:p>
        </w:tc>
        <w:tc>
          <w:tcPr>
            <w:tcW w:w="0" w:type="dxa"/>
            <w:vAlign w:val="bottom"/>
          </w:tcPr>
          <w:p>
            <w:pPr>
              <w:spacing w:after="0"/>
              <w:rPr>
                <w:sz w:val="1"/>
                <w:szCs w:val="1"/>
                <w:color w:val="auto"/>
              </w:rPr>
            </w:pPr>
          </w:p>
        </w:tc>
      </w:tr>
      <w:tr>
        <w:trPr>
          <w:trHeight w:val="237"/>
        </w:trPr>
        <w:tc>
          <w:tcPr>
            <w:tcW w:w="5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prepayment</w:t>
            </w: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2"/>
              </w:rPr>
              <w:t>Conversion into</w:t>
            </w:r>
          </w:p>
        </w:tc>
        <w:tc>
          <w:tcPr>
            <w:tcW w:w="740" w:type="dxa"/>
            <w:vAlign w:val="bottom"/>
            <w:gridSpan w:val="3"/>
          </w:tcPr>
          <w:p>
            <w:pPr>
              <w:spacing w:after="0" w:line="196" w:lineRule="exact"/>
              <w:rPr>
                <w:sz w:val="20"/>
                <w:szCs w:val="20"/>
                <w:color w:val="auto"/>
              </w:rPr>
            </w:pPr>
            <w:r>
              <w:rPr>
                <w:rFonts w:ascii="Arial" w:cs="Arial" w:eastAsia="Arial" w:hAnsi="Arial"/>
                <w:sz w:val="18"/>
                <w:szCs w:val="18"/>
                <w:color w:val="FF0000"/>
                <w:strike w:val="1"/>
                <w:w w:val="85"/>
              </w:rPr>
              <w:t>Base Rate</w:t>
            </w:r>
          </w:p>
        </w:tc>
        <w:tc>
          <w:tcPr>
            <w:tcW w:w="1820" w:type="dxa"/>
            <w:vAlign w:val="bottom"/>
            <w:tcBorders>
              <w:right w:val="single" w:sz="8" w:color="auto"/>
            </w:tcBorders>
            <w:gridSpan w:val="6"/>
          </w:tcPr>
          <w:p>
            <w:pPr>
              <w:spacing w:after="0" w:line="196" w:lineRule="exact"/>
              <w:rPr>
                <w:sz w:val="20"/>
                <w:szCs w:val="20"/>
                <w:color w:val="auto"/>
              </w:rPr>
            </w:pPr>
            <w:r>
              <w:rPr>
                <w:rFonts w:ascii="Arial" w:cs="Arial" w:eastAsia="Arial" w:hAnsi="Arial"/>
                <w:sz w:val="18"/>
                <w:szCs w:val="18"/>
                <w:color w:val="0000FF"/>
              </w:rPr>
              <w:t xml:space="preserve">ABR </w:t>
            </w:r>
            <w:r>
              <w:rPr>
                <w:rFonts w:ascii="Arial" w:cs="Arial" w:eastAsia="Arial" w:hAnsi="Arial"/>
                <w:sz w:val="18"/>
                <w:szCs w:val="18"/>
                <w:color w:val="000000"/>
              </w:rPr>
              <w:t>Loans</w:t>
            </w:r>
          </w:p>
        </w:tc>
        <w:tc>
          <w:tcPr>
            <w:tcW w:w="3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11:00 a.m.</w:t>
            </w:r>
          </w:p>
        </w:tc>
        <w:tc>
          <w:tcPr>
            <w:tcW w:w="20" w:type="dxa"/>
            <w:vAlign w:val="bottom"/>
          </w:tcPr>
          <w:p>
            <w:pPr>
              <w:spacing w:after="0"/>
              <w:rPr>
                <w:sz w:val="17"/>
                <w:szCs w:val="17"/>
                <w:color w:val="auto"/>
              </w:rPr>
            </w:pPr>
          </w:p>
        </w:tc>
        <w:tc>
          <w:tcPr>
            <w:tcW w:w="3840" w:type="dxa"/>
            <w:vAlign w:val="bottom"/>
            <w:tcBorders>
              <w:right w:val="single" w:sz="8" w:color="auto"/>
            </w:tcBorders>
            <w:gridSpan w:val="17"/>
          </w:tcPr>
          <w:p>
            <w:pPr>
              <w:spacing w:after="0" w:line="196" w:lineRule="exact"/>
              <w:rPr>
                <w:sz w:val="20"/>
                <w:szCs w:val="20"/>
                <w:color w:val="auto"/>
              </w:rPr>
            </w:pPr>
            <w:r>
              <w:rPr>
                <w:rFonts w:ascii="Arial" w:cs="Arial" w:eastAsia="Arial" w:hAnsi="Arial"/>
                <w:sz w:val="18"/>
                <w:szCs w:val="18"/>
                <w:color w:val="auto"/>
              </w:rPr>
              <w:t>Same Business Day as such Conversion</w:t>
            </w: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20" w:type="dxa"/>
            <w:vAlign w:val="bottom"/>
          </w:tcPr>
          <w:p>
            <w:pPr>
              <w:spacing w:after="0"/>
              <w:rPr>
                <w:sz w:val="19"/>
                <w:szCs w:val="19"/>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Conversion into, Eurodollar Rate Loans (other</w:t>
            </w:r>
          </w:p>
        </w:tc>
        <w:tc>
          <w:tcPr>
            <w:tcW w:w="3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w w:val="91"/>
              </w:rPr>
              <w:t>than Competitive Loans) denominated in Canadian</w:t>
            </w:r>
          </w:p>
        </w:tc>
        <w:tc>
          <w:tcPr>
            <w:tcW w:w="3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right w:val="single" w:sz="8" w:color="auto"/>
            </w:tcBorders>
            <w:gridSpan w:val="11"/>
          </w:tcPr>
          <w:p>
            <w:pPr>
              <w:ind w:left="40"/>
              <w:spacing w:after="0" w:line="190" w:lineRule="exact"/>
              <w:rPr>
                <w:sz w:val="20"/>
                <w:szCs w:val="20"/>
                <w:color w:val="auto"/>
              </w:rPr>
            </w:pPr>
            <w:r>
              <w:rPr>
                <w:rFonts w:ascii="Arial" w:cs="Arial" w:eastAsia="Arial" w:hAnsi="Arial"/>
                <w:sz w:val="18"/>
                <w:szCs w:val="18"/>
                <w:color w:val="auto"/>
              </w:rPr>
              <w:t xml:space="preserve">Dollars, and CDOR </w:t>
            </w:r>
            <w:r>
              <w:rPr>
                <w:rFonts w:ascii="Arial" w:cs="Arial" w:eastAsia="Arial" w:hAnsi="Arial"/>
                <w:sz w:val="18"/>
                <w:szCs w:val="18"/>
                <w:color w:val="0000FF"/>
              </w:rPr>
              <w:t>Screen Rate</w:t>
            </w:r>
          </w:p>
        </w:tc>
        <w:tc>
          <w:tcPr>
            <w:tcW w:w="3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right w:val="single" w:sz="8" w:color="auto"/>
            </w:tcBorders>
            <w:gridSpan w:val="17"/>
          </w:tcPr>
          <w:p>
            <w:pPr>
              <w:spacing w:after="0" w:line="190" w:lineRule="exact"/>
              <w:rPr>
                <w:sz w:val="20"/>
                <w:szCs w:val="20"/>
                <w:color w:val="auto"/>
              </w:rPr>
            </w:pPr>
            <w:r>
              <w:rPr>
                <w:rFonts w:ascii="Arial" w:cs="Arial" w:eastAsia="Arial" w:hAnsi="Arial"/>
                <w:sz w:val="18"/>
                <w:szCs w:val="18"/>
                <w:color w:val="auto"/>
              </w:rPr>
              <w:t xml:space="preserve">Determination of a </w:t>
            </w:r>
            <w:r>
              <w:rPr>
                <w:rFonts w:ascii="Arial" w:cs="Arial" w:eastAsia="Arial" w:hAnsi="Arial"/>
                <w:sz w:val="18"/>
                <w:szCs w:val="18"/>
                <w:color w:val="0000FF"/>
              </w:rPr>
              <w:t>CDOR</w:t>
            </w:r>
            <w:r>
              <w:rPr>
                <w:rFonts w:ascii="Arial" w:cs="Arial" w:eastAsia="Arial" w:hAnsi="Arial"/>
                <w:sz w:val="18"/>
                <w:szCs w:val="18"/>
                <w:color w:val="auto"/>
              </w:rPr>
              <w:t xml:space="preserve"> Screen Rate at</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spacing w:after="0" w:line="196" w:lineRule="exact"/>
              <w:rPr>
                <w:sz w:val="20"/>
                <w:szCs w:val="20"/>
                <w:color w:val="auto"/>
              </w:rPr>
            </w:pPr>
            <w:r>
              <w:rPr>
                <w:rFonts w:ascii="Arial" w:cs="Arial" w:eastAsia="Arial" w:hAnsi="Arial"/>
                <w:sz w:val="18"/>
                <w:szCs w:val="18"/>
                <w:color w:val="FF0000"/>
                <w:strike w:val="1"/>
                <w:w w:val="84"/>
              </w:rPr>
              <w:t>11:30</w:t>
            </w: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FF"/>
                <w:w w:val="94"/>
              </w:rPr>
              <w:t xml:space="preserve">10:15 </w:t>
            </w:r>
            <w:r>
              <w:rPr>
                <w:rFonts w:ascii="Arial" w:cs="Arial" w:eastAsia="Arial" w:hAnsi="Arial"/>
                <w:sz w:val="18"/>
                <w:szCs w:val="18"/>
                <w:color w:val="000000"/>
                <w:w w:val="94"/>
              </w:rPr>
              <w:t>a.m.</w:t>
            </w:r>
          </w:p>
        </w:tc>
        <w:tc>
          <w:tcPr>
            <w:tcW w:w="2340" w:type="dxa"/>
            <w:vAlign w:val="bottom"/>
            <w:gridSpan w:val="8"/>
          </w:tcPr>
          <w:p>
            <w:pPr>
              <w:spacing w:after="0" w:line="196" w:lineRule="exact"/>
              <w:rPr>
                <w:sz w:val="20"/>
                <w:szCs w:val="20"/>
                <w:color w:val="auto"/>
              </w:rPr>
            </w:pPr>
            <w:r>
              <w:rPr>
                <w:rFonts w:ascii="Arial" w:cs="Arial" w:eastAsia="Arial" w:hAnsi="Arial"/>
                <w:sz w:val="18"/>
                <w:szCs w:val="18"/>
                <w:color w:val="FF0000"/>
                <w:strike w:val="1"/>
              </w:rPr>
              <w:t>2 Business Days prior to the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13"/>
          </w:tcPr>
          <w:p>
            <w:pPr>
              <w:spacing w:after="0"/>
              <w:rPr>
                <w:sz w:val="20"/>
                <w:szCs w:val="20"/>
                <w:color w:val="auto"/>
              </w:rPr>
            </w:pPr>
            <w:r>
              <w:rPr>
                <w:rFonts w:ascii="Arial" w:cs="Arial" w:eastAsia="Arial" w:hAnsi="Arial"/>
                <w:sz w:val="18"/>
                <w:szCs w:val="18"/>
                <w:color w:val="FF0000"/>
                <w:strike w:val="1"/>
              </w:rPr>
              <w:t>requested Borrowing, Continuation or</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40" w:type="dxa"/>
            <w:vAlign w:val="bottom"/>
            <w:tcBorders>
              <w:lef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spacing w:after="0" w:line="190" w:lineRule="exact"/>
              <w:rPr>
                <w:sz w:val="20"/>
                <w:szCs w:val="20"/>
                <w:color w:val="auto"/>
              </w:rPr>
            </w:pPr>
            <w:r>
              <w:rPr>
                <w:rFonts w:ascii="Arial" w:cs="Arial" w:eastAsia="Arial" w:hAnsi="Arial"/>
                <w:sz w:val="18"/>
                <w:szCs w:val="18"/>
                <w:color w:val="FF0000"/>
                <w:strike w:val="1"/>
                <w:w w:val="90"/>
              </w:rPr>
              <w:t>Conversion</w:t>
            </w:r>
          </w:p>
        </w:tc>
        <w:tc>
          <w:tcPr>
            <w:tcW w:w="2900" w:type="dxa"/>
            <w:vAlign w:val="bottom"/>
            <w:tcBorders>
              <w:bottom w:val="single" w:sz="8" w:color="0000FF"/>
            </w:tcBorders>
            <w:gridSpan w:val="13"/>
          </w:tcPr>
          <w:p>
            <w:pPr>
              <w:spacing w:after="0" w:line="190" w:lineRule="exact"/>
              <w:rPr>
                <w:sz w:val="20"/>
                <w:szCs w:val="20"/>
                <w:color w:val="auto"/>
              </w:rPr>
            </w:pPr>
            <w:r>
              <w:rPr>
                <w:rFonts w:ascii="Arial" w:cs="Arial" w:eastAsia="Arial" w:hAnsi="Arial"/>
                <w:sz w:val="18"/>
                <w:szCs w:val="18"/>
                <w:color w:val="0000FF"/>
                <w:w w:val="91"/>
              </w:rPr>
              <w:t>Toronto local time on the first day of the</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applicable Interest Period and, if such day is not a</w:t>
            </w:r>
          </w:p>
        </w:tc>
        <w:tc>
          <w:tcPr>
            <w:tcW w:w="240" w:type="dxa"/>
            <w:vAlign w:val="bottom"/>
            <w:tcBorders>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right w:val="single" w:sz="8" w:color="auto"/>
            </w:tcBorders>
            <w:gridSpan w:val="17"/>
          </w:tcPr>
          <w:p>
            <w:pPr>
              <w:spacing w:after="0" w:line="196" w:lineRule="exact"/>
              <w:rPr>
                <w:sz w:val="20"/>
                <w:szCs w:val="20"/>
                <w:color w:val="auto"/>
              </w:rPr>
            </w:pPr>
            <w:r>
              <w:rPr>
                <w:rFonts w:ascii="Arial" w:cs="Arial" w:eastAsia="Arial" w:hAnsi="Arial"/>
                <w:sz w:val="18"/>
                <w:szCs w:val="18"/>
                <w:color w:val="0000FF"/>
                <w:w w:val="96"/>
              </w:rPr>
              <w:t>Business Day, then on the immediately preceding</w:t>
            </w:r>
          </w:p>
        </w:tc>
        <w:tc>
          <w:tcPr>
            <w:tcW w:w="0" w:type="dxa"/>
            <w:vAlign w:val="bottom"/>
          </w:tcPr>
          <w:p>
            <w:pPr>
              <w:spacing w:after="0"/>
              <w:rPr>
                <w:sz w:val="1"/>
                <w:szCs w:val="1"/>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rPr>
              <w:t>Business Day</w:t>
            </w:r>
          </w:p>
        </w:tc>
        <w:tc>
          <w:tcPr>
            <w:tcW w:w="280" w:type="dxa"/>
            <w:vAlign w:val="bottom"/>
            <w:tcBorders>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20" w:type="dxa"/>
            <w:vAlign w:val="bottom"/>
          </w:tcPr>
          <w:p>
            <w:pPr>
              <w:spacing w:after="0"/>
              <w:rPr>
                <w:sz w:val="19"/>
                <w:szCs w:val="19"/>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Conversion into, Eurodollar Rate Loans (other</w:t>
            </w:r>
          </w:p>
        </w:tc>
        <w:tc>
          <w:tcPr>
            <w:tcW w:w="3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w w:val="96"/>
              </w:rPr>
              <w:t>than Competitive Loans) denominated in Dollars</w:t>
            </w:r>
          </w:p>
        </w:tc>
        <w:tc>
          <w:tcPr>
            <w:tcW w:w="37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40" w:type="dxa"/>
            <w:vAlign w:val="bottom"/>
            <w:tcBorders>
              <w:right w:val="single" w:sz="8" w:color="auto"/>
            </w:tcBorders>
            <w:gridSpan w:val="17"/>
            <w:vMerge w:val="restart"/>
          </w:tcPr>
          <w:p>
            <w:pPr>
              <w:spacing w:after="0"/>
              <w:rPr>
                <w:sz w:val="20"/>
                <w:szCs w:val="20"/>
                <w:color w:val="auto"/>
              </w:rPr>
            </w:pPr>
            <w:r>
              <w:rPr>
                <w:rFonts w:ascii="Arial" w:cs="Arial" w:eastAsia="Arial" w:hAnsi="Arial"/>
                <w:sz w:val="18"/>
                <w:szCs w:val="18"/>
                <w:color w:val="auto"/>
                <w:w w:val="93"/>
              </w:rPr>
              <w:t xml:space="preserve">Determination of a </w:t>
            </w:r>
            <w:r>
              <w:rPr>
                <w:rFonts w:ascii="Arial" w:cs="Arial" w:eastAsia="Arial" w:hAnsi="Arial"/>
                <w:sz w:val="18"/>
                <w:szCs w:val="18"/>
                <w:color w:val="0000FF"/>
                <w:w w:val="93"/>
              </w:rPr>
              <w:t>LIBO</w:t>
            </w:r>
            <w:r>
              <w:rPr>
                <w:rFonts w:ascii="Arial" w:cs="Arial" w:eastAsia="Arial" w:hAnsi="Arial"/>
                <w:sz w:val="18"/>
                <w:szCs w:val="18"/>
                <w:color w:val="auto"/>
                <w:w w:val="93"/>
              </w:rPr>
              <w:t xml:space="preserve"> Screen Rate at 11:00 a.m.</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right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(London Time) 2 Business Days prior to the</w:t>
            </w: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w w:val="96"/>
              </w:rPr>
              <w:t>requested Borrowing, Continuation or Conversion</w:t>
            </w:r>
          </w:p>
        </w:tc>
        <w:tc>
          <w:tcPr>
            <w:tcW w:w="0" w:type="dxa"/>
            <w:vAlign w:val="bottom"/>
          </w:tcPr>
          <w:p>
            <w:pPr>
              <w:spacing w:after="0"/>
              <w:rPr>
                <w:sz w:val="1"/>
                <w:szCs w:val="1"/>
                <w:color w:val="auto"/>
              </w:rPr>
            </w:pPr>
          </w:p>
        </w:tc>
      </w:tr>
      <w:tr>
        <w:trPr>
          <w:trHeight w:val="243"/>
        </w:trPr>
        <w:tc>
          <w:tcPr>
            <w:tcW w:w="5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20" w:type="dxa"/>
            <w:vAlign w:val="bottom"/>
          </w:tcPr>
          <w:p>
            <w:pPr>
              <w:spacing w:after="0"/>
              <w:rPr>
                <w:sz w:val="19"/>
                <w:szCs w:val="19"/>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rPr>
              <w:t>Conversion into, Eurodollar Rate Loans (other</w:t>
            </w:r>
          </w:p>
        </w:tc>
        <w:tc>
          <w:tcPr>
            <w:tcW w:w="3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Borders>
              <w:right w:val="single" w:sz="8" w:color="auto"/>
            </w:tcBorders>
            <w:gridSpan w:val="17"/>
          </w:tcPr>
          <w:p>
            <w:pPr>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11"/>
          </w:tcPr>
          <w:p>
            <w:pPr>
              <w:ind w:left="40"/>
              <w:spacing w:after="0"/>
              <w:rPr>
                <w:sz w:val="20"/>
                <w:szCs w:val="20"/>
                <w:color w:val="auto"/>
              </w:rPr>
            </w:pPr>
            <w:r>
              <w:rPr>
                <w:rFonts w:ascii="Arial" w:cs="Arial" w:eastAsia="Arial" w:hAnsi="Arial"/>
                <w:sz w:val="18"/>
                <w:szCs w:val="18"/>
                <w:color w:val="auto"/>
                <w:w w:val="97"/>
              </w:rPr>
              <w:t>than Competitive Loans) denominated in Euros,</w:t>
            </w:r>
          </w:p>
        </w:tc>
        <w:tc>
          <w:tcPr>
            <w:tcW w:w="3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right w:val="single" w:sz="8" w:color="auto"/>
            </w:tcBorders>
            <w:gridSpan w:val="11"/>
          </w:tcPr>
          <w:p>
            <w:pPr>
              <w:ind w:left="40"/>
              <w:spacing w:after="0" w:line="190" w:lineRule="exact"/>
              <w:rPr>
                <w:sz w:val="20"/>
                <w:szCs w:val="20"/>
                <w:color w:val="auto"/>
              </w:rPr>
            </w:pPr>
            <w:r>
              <w:rPr>
                <w:rFonts w:ascii="Arial" w:cs="Arial" w:eastAsia="Arial" w:hAnsi="Arial"/>
                <w:sz w:val="18"/>
                <w:szCs w:val="18"/>
                <w:color w:val="auto"/>
              </w:rPr>
              <w:t xml:space="preserve">and EURIBOR </w:t>
            </w:r>
            <w:r>
              <w:rPr>
                <w:rFonts w:ascii="Arial" w:cs="Arial" w:eastAsia="Arial" w:hAnsi="Arial"/>
                <w:sz w:val="18"/>
                <w:szCs w:val="18"/>
                <w:color w:val="0000FF"/>
              </w:rPr>
              <w:t>Screen Rate</w:t>
            </w:r>
          </w:p>
        </w:tc>
        <w:tc>
          <w:tcPr>
            <w:tcW w:w="3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right w:val="single" w:sz="8" w:color="auto"/>
            </w:tcBorders>
            <w:gridSpan w:val="17"/>
          </w:tcPr>
          <w:p>
            <w:pPr>
              <w:spacing w:after="0" w:line="190" w:lineRule="exact"/>
              <w:rPr>
                <w:sz w:val="20"/>
                <w:szCs w:val="20"/>
                <w:color w:val="auto"/>
              </w:rPr>
            </w:pPr>
            <w:r>
              <w:rPr>
                <w:rFonts w:ascii="Arial" w:cs="Arial" w:eastAsia="Arial" w:hAnsi="Arial"/>
                <w:sz w:val="18"/>
                <w:szCs w:val="18"/>
                <w:color w:val="auto"/>
                <w:w w:val="97"/>
              </w:rPr>
              <w:t xml:space="preserve">Determination of a </w:t>
            </w:r>
            <w:r>
              <w:rPr>
                <w:rFonts w:ascii="Arial" w:cs="Arial" w:eastAsia="Arial" w:hAnsi="Arial"/>
                <w:sz w:val="18"/>
                <w:szCs w:val="18"/>
                <w:color w:val="0000FF"/>
                <w:w w:val="97"/>
              </w:rPr>
              <w:t>EURIBOR</w:t>
            </w:r>
            <w:r>
              <w:rPr>
                <w:rFonts w:ascii="Arial" w:cs="Arial" w:eastAsia="Arial" w:hAnsi="Arial"/>
                <w:sz w:val="18"/>
                <w:szCs w:val="18"/>
                <w:color w:val="auto"/>
                <w:w w:val="97"/>
              </w:rPr>
              <w:t xml:space="preserve"> Screen Rate 11:00</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right w:val="single" w:sz="8" w:color="0000FF"/>
            </w:tcBorders>
            <w:gridSpan w:val="6"/>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w w:val="96"/>
              </w:rPr>
              <w:t>a.m.</w:t>
            </w:r>
          </w:p>
        </w:tc>
        <w:tc>
          <w:tcPr>
            <w:tcW w:w="2340" w:type="dxa"/>
            <w:vAlign w:val="bottom"/>
            <w:gridSpan w:val="11"/>
          </w:tcPr>
          <w:p>
            <w:pPr>
              <w:spacing w:after="0" w:line="196" w:lineRule="exact"/>
              <w:rPr>
                <w:sz w:val="20"/>
                <w:szCs w:val="20"/>
                <w:color w:val="auto"/>
              </w:rPr>
            </w:pPr>
            <w:r>
              <w:rPr>
                <w:rFonts w:ascii="Arial" w:cs="Arial" w:eastAsia="Arial" w:hAnsi="Arial"/>
                <w:sz w:val="18"/>
                <w:szCs w:val="18"/>
                <w:color w:val="FF0000"/>
                <w:strike w:val="1"/>
                <w:w w:val="90"/>
              </w:rPr>
              <w:t>(London Time) 2 Business Days</w:t>
            </w:r>
          </w:p>
        </w:tc>
        <w:tc>
          <w:tcPr>
            <w:tcW w:w="114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color w:val="0000FF"/>
              </w:rPr>
              <w:t>Brussels time</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11"/>
          </w:tcPr>
          <w:p>
            <w:pPr>
              <w:spacing w:after="0" w:line="196" w:lineRule="exact"/>
              <w:rPr>
                <w:sz w:val="20"/>
                <w:szCs w:val="20"/>
                <w:color w:val="auto"/>
              </w:rPr>
            </w:pPr>
            <w:r>
              <w:rPr>
                <w:rFonts w:ascii="Arial" w:cs="Arial" w:eastAsia="Arial" w:hAnsi="Arial"/>
                <w:sz w:val="18"/>
                <w:szCs w:val="18"/>
                <w:color w:val="0000FF"/>
                <w:w w:val="94"/>
              </w:rPr>
              <w:t xml:space="preserve">two TARGET days </w:t>
            </w:r>
            <w:r>
              <w:rPr>
                <w:rFonts w:ascii="Arial" w:cs="Arial" w:eastAsia="Arial" w:hAnsi="Arial"/>
                <w:sz w:val="18"/>
                <w:szCs w:val="18"/>
                <w:color w:val="000000"/>
                <w:w w:val="94"/>
              </w:rPr>
              <w:t>prior to the</w:t>
            </w:r>
          </w:p>
        </w:tc>
        <w:tc>
          <w:tcPr>
            <w:tcW w:w="1280" w:type="dxa"/>
            <w:vAlign w:val="bottom"/>
            <w:gridSpan w:val="2"/>
          </w:tcPr>
          <w:p>
            <w:pPr>
              <w:spacing w:after="0" w:line="196" w:lineRule="exact"/>
              <w:rPr>
                <w:sz w:val="20"/>
                <w:szCs w:val="20"/>
                <w:color w:val="auto"/>
              </w:rPr>
            </w:pPr>
            <w:r>
              <w:rPr>
                <w:rFonts w:ascii="Arial" w:cs="Arial" w:eastAsia="Arial" w:hAnsi="Arial"/>
                <w:sz w:val="18"/>
                <w:szCs w:val="18"/>
                <w:color w:val="FF0000"/>
                <w:strike w:val="1"/>
              </w:rPr>
              <w:t>requested</w:t>
            </w:r>
          </w:p>
        </w:tc>
        <w:tc>
          <w:tcPr>
            <w:tcW w:w="100" w:type="dxa"/>
            <w:vAlign w:val="bottom"/>
            <w:gridSpan w:val="2"/>
          </w:tcPr>
          <w:p>
            <w:pPr>
              <w:spacing w:after="0"/>
              <w:rPr>
                <w:sz w:val="17"/>
                <w:szCs w:val="17"/>
                <w:color w:val="auto"/>
              </w:rPr>
            </w:pPr>
          </w:p>
        </w:tc>
        <w:tc>
          <w:tcPr>
            <w:tcW w:w="18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FF"/>
            </w:tcBorders>
            <w:gridSpan w:val="7"/>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FF0000"/>
                <w:strike w:val="1"/>
              </w:rPr>
              <w:t>Borrowing, Continuation or</w:t>
            </w:r>
          </w:p>
        </w:tc>
        <w:tc>
          <w:tcPr>
            <w:tcW w:w="46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40" w:type="dxa"/>
            <w:vAlign w:val="bottom"/>
            <w:tcBorders>
              <w:lef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spacing w:after="0" w:line="190" w:lineRule="exact"/>
              <w:rPr>
                <w:sz w:val="20"/>
                <w:szCs w:val="20"/>
                <w:color w:val="auto"/>
              </w:rPr>
            </w:pPr>
            <w:r>
              <w:rPr>
                <w:rFonts w:ascii="Arial" w:cs="Arial" w:eastAsia="Arial" w:hAnsi="Arial"/>
                <w:sz w:val="18"/>
                <w:szCs w:val="18"/>
                <w:color w:val="FF0000"/>
                <w:strike w:val="1"/>
                <w:w w:val="90"/>
              </w:rPr>
              <w:t>Conversion</w:t>
            </w:r>
          </w:p>
        </w:tc>
        <w:tc>
          <w:tcPr>
            <w:tcW w:w="2980" w:type="dxa"/>
            <w:vAlign w:val="bottom"/>
            <w:tcBorders>
              <w:right w:val="single" w:sz="8" w:color="auto"/>
            </w:tcBorders>
            <w:gridSpan w:val="14"/>
          </w:tcPr>
          <w:p>
            <w:pPr>
              <w:spacing w:after="0" w:line="190" w:lineRule="exact"/>
              <w:rPr>
                <w:sz w:val="20"/>
                <w:szCs w:val="20"/>
                <w:color w:val="auto"/>
              </w:rPr>
            </w:pPr>
            <w:r>
              <w:rPr>
                <w:rFonts w:ascii="Arial" w:cs="Arial" w:eastAsia="Arial" w:hAnsi="Arial"/>
                <w:sz w:val="18"/>
                <w:szCs w:val="18"/>
                <w:color w:val="0000FF"/>
                <w:w w:val="93"/>
              </w:rPr>
              <w:t>commencement of such Interest Period</w:t>
            </w: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57"/>
        </w:trPr>
        <w:tc>
          <w:tcPr>
            <w:tcW w:w="3800" w:type="dxa"/>
            <w:vAlign w:val="bottom"/>
            <w:tcBorders>
              <w:top w:val="single" w:sz="8" w:color="auto"/>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Type of Action</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Applicable Time</w:t>
            </w:r>
          </w:p>
        </w:tc>
        <w:tc>
          <w:tcPr>
            <w:tcW w:w="38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Date of Action</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Business Days prior to such prepayment,</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Conversion into, Eurodollar Rate Loans (other</w:t>
            </w:r>
          </w:p>
        </w:tc>
        <w:tc>
          <w:tcPr>
            <w:tcW w:w="376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w w:val="95"/>
              </w:rPr>
              <w:t>than Competitive Loans) denominated in Sterling</w:t>
            </w:r>
          </w:p>
        </w:tc>
        <w:tc>
          <w:tcPr>
            <w:tcW w:w="376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8"/>
                <w:szCs w:val="18"/>
                <w:color w:val="auto"/>
                <w:w w:val="97"/>
              </w:rPr>
              <w:t xml:space="preserve">Determination of a </w:t>
            </w:r>
            <w:r>
              <w:rPr>
                <w:rFonts w:ascii="Arial" w:cs="Arial" w:eastAsia="Arial" w:hAnsi="Arial"/>
                <w:sz w:val="18"/>
                <w:szCs w:val="18"/>
                <w:color w:val="0000FF"/>
                <w:w w:val="97"/>
              </w:rPr>
              <w:t>LIBO</w:t>
            </w:r>
            <w:r>
              <w:rPr>
                <w:rFonts w:ascii="Arial" w:cs="Arial" w:eastAsia="Arial" w:hAnsi="Arial"/>
                <w:sz w:val="18"/>
                <w:szCs w:val="18"/>
                <w:color w:val="auto"/>
                <w:w w:val="97"/>
              </w:rPr>
              <w:t xml:space="preserve"> Screen Rate 11:00 a.m.</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8"/>
              </w:rPr>
              <w:t>(London Time) on the first Business Day of such</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6"/>
              </w:rPr>
              <w:t>requested Borrowing, Continuation or Conversion</w:t>
            </w:r>
          </w:p>
        </w:tc>
        <w:tc>
          <w:tcPr>
            <w:tcW w:w="0" w:type="dxa"/>
            <w:vAlign w:val="bottom"/>
          </w:tcPr>
          <w:p>
            <w:pPr>
              <w:spacing w:after="0"/>
              <w:rPr>
                <w:sz w:val="1"/>
                <w:szCs w:val="1"/>
                <w:color w:val="auto"/>
              </w:rPr>
            </w:pPr>
          </w:p>
        </w:tc>
      </w:tr>
      <w:tr>
        <w:trPr>
          <w:trHeight w:val="243"/>
        </w:trPr>
        <w:tc>
          <w:tcPr>
            <w:tcW w:w="3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3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Business Days prior to such prepayment,</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Conversion into, Eurodollar Rate Loans (other</w:t>
            </w:r>
          </w:p>
        </w:tc>
        <w:tc>
          <w:tcPr>
            <w:tcW w:w="376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than Competitive Loans) denominated in Yen</w:t>
            </w:r>
          </w:p>
        </w:tc>
        <w:tc>
          <w:tcPr>
            <w:tcW w:w="376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8"/>
                <w:szCs w:val="18"/>
                <w:color w:val="auto"/>
                <w:w w:val="97"/>
              </w:rPr>
              <w:t xml:space="preserve">Determination of a </w:t>
            </w:r>
            <w:r>
              <w:rPr>
                <w:rFonts w:ascii="Arial" w:cs="Arial" w:eastAsia="Arial" w:hAnsi="Arial"/>
                <w:sz w:val="18"/>
                <w:szCs w:val="18"/>
                <w:color w:val="0000FF"/>
                <w:w w:val="97"/>
              </w:rPr>
              <w:t>LIBO</w:t>
            </w:r>
            <w:r>
              <w:rPr>
                <w:rFonts w:ascii="Arial" w:cs="Arial" w:eastAsia="Arial" w:hAnsi="Arial"/>
                <w:sz w:val="18"/>
                <w:szCs w:val="18"/>
                <w:color w:val="auto"/>
                <w:w w:val="97"/>
              </w:rPr>
              <w:t xml:space="preserve"> Screen Rate 11:00 a.m.</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(London Time) 2 Business Days prior to the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6"/>
              </w:rPr>
              <w:t>requested Borrowing, Continuation or Conversion</w:t>
            </w:r>
          </w:p>
        </w:tc>
        <w:tc>
          <w:tcPr>
            <w:tcW w:w="0" w:type="dxa"/>
            <w:vAlign w:val="bottom"/>
          </w:tcPr>
          <w:p>
            <w:pPr>
              <w:spacing w:after="0"/>
              <w:rPr>
                <w:sz w:val="1"/>
                <w:szCs w:val="1"/>
                <w:color w:val="auto"/>
              </w:rPr>
            </w:pPr>
          </w:p>
        </w:tc>
      </w:tr>
      <w:tr>
        <w:trPr>
          <w:trHeight w:val="243"/>
        </w:trPr>
        <w:tc>
          <w:tcPr>
            <w:tcW w:w="3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Letter of Credit Action</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3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1"/>
              </w:rPr>
              <w:t>Business Days prior to such action (or such lesser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time as is acceptable to an Issuing Lender)</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w w:val="94"/>
              </w:rPr>
              <w:t>Voluntary reduction in or termination of Revolving</w:t>
            </w:r>
          </w:p>
        </w:tc>
        <w:tc>
          <w:tcPr>
            <w:tcW w:w="376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Business Days prior to such reduction or</w:t>
            </w: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Commitments</w:t>
            </w:r>
          </w:p>
        </w:tc>
        <w:tc>
          <w:tcPr>
            <w:tcW w:w="376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termination</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Payments by Lenders or Borrower to</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p.m.</w:t>
            </w: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Administrative Agent (other than Payments by</w:t>
            </w:r>
          </w:p>
        </w:tc>
        <w:tc>
          <w:tcPr>
            <w:tcW w:w="37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tcBorders>
            <w:gridSpan w:val="5"/>
          </w:tcPr>
          <w:p>
            <w:pPr>
              <w:ind w:left="40"/>
              <w:spacing w:after="0"/>
              <w:rPr>
                <w:sz w:val="20"/>
                <w:szCs w:val="20"/>
                <w:color w:val="auto"/>
              </w:rPr>
            </w:pPr>
            <w:r>
              <w:rPr>
                <w:rFonts w:ascii="Arial" w:cs="Arial" w:eastAsia="Arial" w:hAnsi="Arial"/>
                <w:sz w:val="18"/>
                <w:szCs w:val="18"/>
                <w:color w:val="auto"/>
                <w:w w:val="94"/>
              </w:rPr>
              <w:t>Lenders to Administrative Agent of</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FF0000"/>
                <w:strike w:val="1"/>
              </w:rPr>
              <w:t>Base</w:t>
            </w:r>
          </w:p>
        </w:tc>
        <w:tc>
          <w:tcPr>
            <w:tcW w:w="37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tcBorders>
          </w:tcPr>
          <w:p>
            <w:pPr>
              <w:ind w:left="40"/>
              <w:spacing w:after="0" w:line="190" w:lineRule="exact"/>
              <w:rPr>
                <w:sz w:val="20"/>
                <w:szCs w:val="20"/>
                <w:color w:val="auto"/>
              </w:rPr>
            </w:pPr>
            <w:r>
              <w:rPr>
                <w:rFonts w:ascii="Arial" w:cs="Arial" w:eastAsia="Arial" w:hAnsi="Arial"/>
                <w:sz w:val="18"/>
                <w:szCs w:val="18"/>
                <w:color w:val="FF0000"/>
                <w:strike w:val="1"/>
                <w:w w:val="84"/>
              </w:rPr>
              <w:t>Rate</w:t>
            </w:r>
          </w:p>
        </w:tc>
        <w:tc>
          <w:tcPr>
            <w:tcW w:w="3420" w:type="dxa"/>
            <w:vAlign w:val="bottom"/>
            <w:tcBorders>
              <w:right w:val="single" w:sz="8" w:color="auto"/>
            </w:tcBorders>
            <w:gridSpan w:val="5"/>
          </w:tcPr>
          <w:p>
            <w:pPr>
              <w:spacing w:after="0" w:line="190" w:lineRule="exact"/>
              <w:rPr>
                <w:sz w:val="20"/>
                <w:szCs w:val="20"/>
                <w:color w:val="auto"/>
              </w:rPr>
            </w:pPr>
            <w:r>
              <w:rPr>
                <w:rFonts w:ascii="Arial" w:cs="Arial" w:eastAsia="Arial" w:hAnsi="Arial"/>
                <w:sz w:val="18"/>
                <w:szCs w:val="18"/>
                <w:color w:val="0000FF"/>
              </w:rPr>
              <w:t xml:space="preserve">ABR </w:t>
            </w:r>
            <w:r>
              <w:rPr>
                <w:rFonts w:ascii="Arial" w:cs="Arial" w:eastAsia="Arial" w:hAnsi="Arial"/>
                <w:sz w:val="18"/>
                <w:szCs w:val="18"/>
                <w:color w:val="000000"/>
              </w:rPr>
              <w:t>Loans)</w:t>
            </w:r>
          </w:p>
        </w:tc>
        <w:tc>
          <w:tcPr>
            <w:tcW w:w="37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80" w:type="dxa"/>
            <w:vAlign w:val="bottom"/>
            <w:tcBorders>
              <w:left w:val="single" w:sz="8" w:color="auto"/>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w w:val="96"/>
              </w:rPr>
              <w:t>Payments by Lenders to Administrative Agent of</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 p.m.</w:t>
            </w:r>
          </w:p>
        </w:tc>
        <w:tc>
          <w:tcPr>
            <w:tcW w:w="38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190"/>
        </w:trPr>
        <w:tc>
          <w:tcPr>
            <w:tcW w:w="780" w:type="dxa"/>
            <w:vAlign w:val="bottom"/>
            <w:tcBorders>
              <w:left w:val="single" w:sz="8" w:color="auto"/>
            </w:tcBorders>
            <w:gridSpan w:val="2"/>
          </w:tcPr>
          <w:p>
            <w:pPr>
              <w:ind w:left="40"/>
              <w:spacing w:after="0" w:line="190" w:lineRule="exact"/>
              <w:rPr>
                <w:sz w:val="20"/>
                <w:szCs w:val="20"/>
                <w:color w:val="auto"/>
              </w:rPr>
            </w:pPr>
            <w:r>
              <w:rPr>
                <w:rFonts w:ascii="Arial" w:cs="Arial" w:eastAsia="Arial" w:hAnsi="Arial"/>
                <w:sz w:val="18"/>
                <w:szCs w:val="18"/>
                <w:color w:val="FF0000"/>
                <w:strike w:val="1"/>
                <w:w w:val="85"/>
              </w:rPr>
              <w:t>Base Rate</w:t>
            </w:r>
          </w:p>
        </w:tc>
        <w:tc>
          <w:tcPr>
            <w:tcW w:w="302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0000FF"/>
              </w:rPr>
              <w:t xml:space="preserve">ABR </w:t>
            </w:r>
            <w:r>
              <w:rPr>
                <w:rFonts w:ascii="Arial" w:cs="Arial" w:eastAsia="Arial" w:hAnsi="Arial"/>
                <w:sz w:val="18"/>
                <w:szCs w:val="18"/>
                <w:color w:val="000000"/>
              </w:rPr>
              <w:t>Loans</w:t>
            </w:r>
          </w:p>
        </w:tc>
        <w:tc>
          <w:tcPr>
            <w:tcW w:w="37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8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Borrowing of Fixed Rate Loans</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3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Business Days prior to such Borrowing</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Borrowing of Competitive Loans that are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3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Business Days prior to such Borrowing</w:t>
            </w: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Eurodollar Rate Loans</w:t>
            </w:r>
          </w:p>
        </w:tc>
        <w:tc>
          <w:tcPr>
            <w:tcW w:w="37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5" w:right="239" w:bottom="1440" w:gutter="0" w:footer="0" w:header="0"/>
        </w:sectPr>
      </w:pPr>
    </w:p>
    <w:bookmarkStart w:id="67" w:name="page68"/>
    <w:bookmarkEnd w:id="67"/>
    <w:p>
      <w:pPr>
        <w:ind w:right="260" w:firstLine="1297"/>
        <w:spacing w:after="0" w:line="257" w:lineRule="auto"/>
        <w:rPr>
          <w:sz w:val="20"/>
          <w:szCs w:val="20"/>
          <w:color w:val="auto"/>
        </w:rPr>
      </w:pPr>
      <w:r>
        <w:rPr>
          <w:rFonts w:ascii="Arial" w:cs="Arial" w:eastAsia="Arial" w:hAnsi="Arial"/>
          <w:sz w:val="18"/>
          <w:szCs w:val="18"/>
          <w:color w:val="auto"/>
        </w:rPr>
        <w:t xml:space="preserve">“Revolving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 Agreement (collectively, the “combined Revolving Commitments”). As of the </w:t>
      </w:r>
      <w:r>
        <w:rPr>
          <w:rFonts w:ascii="Arial" w:cs="Arial" w:eastAsia="Arial" w:hAnsi="Arial"/>
          <w:sz w:val="18"/>
          <w:szCs w:val="18"/>
          <w:u w:val="single" w:color="auto"/>
          <w:color w:val="0000FF"/>
        </w:rPr>
        <w:t>Amendment No. 2</w:t>
      </w:r>
      <w:r>
        <w:rPr>
          <w:rFonts w:ascii="Arial" w:cs="Arial" w:eastAsia="Arial" w:hAnsi="Arial"/>
          <w:sz w:val="18"/>
          <w:szCs w:val="18"/>
          <w:color w:val="auto"/>
        </w:rPr>
        <w:t xml:space="preserve"> Effective Date, the amount of the Revolving Commitments of all Lenders is $</w:t>
      </w:r>
      <w:r>
        <w:rPr>
          <w:rFonts w:ascii="Arial" w:cs="Arial" w:eastAsia="Arial" w:hAnsi="Arial"/>
          <w:sz w:val="18"/>
          <w:szCs w:val="18"/>
          <w:color w:val="FF0000"/>
          <w:strike w:val="1"/>
        </w:rPr>
        <w:t>7,000,000,000</w:t>
      </w:r>
      <w:r>
        <w:rPr>
          <w:rFonts w:ascii="Arial" w:cs="Arial" w:eastAsia="Arial" w:hAnsi="Arial"/>
          <w:sz w:val="18"/>
          <w:szCs w:val="18"/>
          <w:u w:val="single" w:color="auto"/>
          <w:color w:val="0000FF"/>
        </w:rPr>
        <w:t>7,611,000,000</w:t>
      </w:r>
      <w:r>
        <w:rPr>
          <w:rFonts w:ascii="Arial" w:cs="Arial" w:eastAsia="Arial" w:hAnsi="Arial"/>
          <w:sz w:val="18"/>
          <w:szCs w:val="18"/>
          <w:color w:val="auto"/>
        </w:rPr>
        <w:t>.</w:t>
      </w:r>
    </w:p>
    <w:p>
      <w:pPr>
        <w:spacing w:after="0" w:line="188"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Facility” means the Revolving Commitments and the Extensions of Credit made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87"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“Rule 2.7” means Rule 2.7 of the Takeover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“Rule 2.7 Announcement” means (in relation to a Scheme) a Scheme Press Release or (in relation to an Offer) an Offer Press Release.</w:t>
      </w:r>
    </w:p>
    <w:p>
      <w:pPr>
        <w:spacing w:after="0" w:line="24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“Sale -Leaseback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1"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(b) the United Nations Security Council, the European Union or Her Majesty’s Treasury of the United Kingdom.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68" w:name="page69"/>
    <w:bookmarkEnd w:id="68"/>
    <w:p>
      <w:pPr>
        <w:ind w:right="140" w:firstLine="1297"/>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88" w:lineRule="exact"/>
        <w:rPr>
          <w:sz w:val="20"/>
          <w:szCs w:val="20"/>
          <w:color w:val="auto"/>
        </w:rPr>
      </w:pPr>
    </w:p>
    <w:p>
      <w:pPr>
        <w:ind w:right="300" w:firstLine="1297"/>
        <w:spacing w:after="0" w:line="279" w:lineRule="auto"/>
        <w:rPr>
          <w:sz w:val="20"/>
          <w:szCs w:val="20"/>
          <w:color w:val="auto"/>
        </w:rPr>
      </w:pPr>
      <w:r>
        <w:rPr>
          <w:rFonts w:ascii="Arial" w:cs="Arial" w:eastAsia="Arial" w:hAnsi="Arial"/>
          <w:sz w:val="17"/>
          <w:szCs w:val="17"/>
          <w:color w:val="auto"/>
        </w:rPr>
        <w:t>“Scheme” means a scheme of arrangement made pursuant to Part 26 of the Companies Act between the Target and the holders of the Target shares in relation to the transfer of the entire issued share capital of the Target to Bidco (or another Subsidiary of Borrower) as contemplated by a Scheme Circular (as such Scheme Circular may be amended in accordance with the terms of this Agreement) as such Scheme may from time to time be amended, added to, revised, renewed or waived in accordance with this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“Scheme Circular” means any circular to the shareholders of the Target to be issued by the Target setting out the proposals for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Scheme.</w:t>
      </w:r>
    </w:p>
    <w:p>
      <w:pPr>
        <w:spacing w:after="0" w:line="211" w:lineRule="exact"/>
        <w:rPr>
          <w:sz w:val="20"/>
          <w:szCs w:val="20"/>
          <w:color w:val="auto"/>
        </w:rPr>
      </w:pPr>
    </w:p>
    <w:p>
      <w:pPr>
        <w:jc w:val="both"/>
        <w:ind w:right="240" w:firstLine="1297"/>
        <w:spacing w:after="0" w:line="277" w:lineRule="auto"/>
        <w:rPr>
          <w:sz w:val="20"/>
          <w:szCs w:val="20"/>
          <w:color w:val="auto"/>
        </w:rPr>
      </w:pPr>
      <w:r>
        <w:rPr>
          <w:rFonts w:ascii="Arial" w:cs="Arial" w:eastAsia="Arial" w:hAnsi="Arial"/>
          <w:sz w:val="18"/>
          <w:szCs w:val="18"/>
          <w:color w:val="auto"/>
        </w:rPr>
        <w:t>“Scheme Documents” means (a) any Scheme Press Release, (b) the Scheme Circular (if any) and (c) any other document designated in writing as such by Borrower and Administrative Agent.</w:t>
      </w:r>
    </w:p>
    <w:p>
      <w:pPr>
        <w:spacing w:after="0" w:line="170"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“Scheme Effective Date” means the date on which a copy of the High Court order sanctioning a Scheme is duly filed on behalf of the Target with the Registrar of Companies in accordance with section 899 of the Companies Act.</w:t>
      </w:r>
    </w:p>
    <w:p>
      <w:pPr>
        <w:spacing w:after="0" w:line="170"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“Scheme Press Release” means a press release to be issued by or on behalf of Borrower or the Target announcing, in compliance with Rule 2.7, a firm intention to make an offer which is to be implemented by means of a Scheme or, as the case may be, a switch to a Scheme in accordance with Section 8 of Appendix 7 of the Takeover Code.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“Screen Rate” means:</w:t>
      </w:r>
    </w:p>
    <w:p>
      <w:pPr>
        <w:spacing w:after="0" w:line="225" w:lineRule="exact"/>
        <w:rPr>
          <w:sz w:val="20"/>
          <w:szCs w:val="20"/>
          <w:color w:val="auto"/>
        </w:rPr>
      </w:pPr>
    </w:p>
    <w:p>
      <w:pPr>
        <w:ind w:left="660" w:right="100" w:firstLine="645"/>
        <w:spacing w:after="0" w:line="293" w:lineRule="auto"/>
        <w:tabs>
          <w:tab w:leader="none" w:pos="1598" w:val="left"/>
        </w:tabs>
        <w:numPr>
          <w:ilvl w:val="0"/>
          <w:numId w:val="20"/>
        </w:numPr>
        <w:rPr>
          <w:rFonts w:ascii="Arial" w:cs="Arial" w:eastAsia="Arial" w:hAnsi="Arial"/>
          <w:sz w:val="16"/>
          <w:szCs w:val="16"/>
          <w:color w:val="FF0000"/>
          <w:strike w:val="1"/>
        </w:rPr>
      </w:pPr>
      <w:r>
        <w:rPr>
          <w:rFonts w:ascii="Arial" w:cs="Arial" w:eastAsia="Arial" w:hAnsi="Arial"/>
          <w:sz w:val="16"/>
          <w:szCs w:val="16"/>
          <w:color w:val="FF0000"/>
          <w:strike w:val="1"/>
        </w:rPr>
        <w:t>in relation to CDOR</w:t>
      </w:r>
      <w:r>
        <w:rPr>
          <w:rFonts w:ascii="Arial" w:cs="Arial" w:eastAsia="Arial" w:hAnsi="Arial"/>
          <w:sz w:val="16"/>
          <w:szCs w:val="16"/>
          <w:color w:val="008000"/>
          <w:strike w:val="1"/>
        </w:rPr>
        <w:t>, with respect to any</w:t>
      </w:r>
      <w:r>
        <w:rPr>
          <w:rFonts w:ascii="Arial" w:cs="Arial" w:eastAsia="Arial" w:hAnsi="Arial"/>
          <w:sz w:val="16"/>
          <w:szCs w:val="16"/>
          <w:color w:val="FF0000"/>
          <w:strike w:val="1"/>
        </w:rPr>
        <w:t xml:space="preserve"> Interest Period, (i) </w:t>
      </w:r>
      <w:r>
        <w:rPr>
          <w:rFonts w:ascii="Arial" w:cs="Arial" w:eastAsia="Arial" w:hAnsi="Arial"/>
          <w:sz w:val="16"/>
          <w:szCs w:val="16"/>
          <w:color w:val="008000"/>
          <w:strike w:val="1"/>
        </w:rPr>
        <w:t>the annual rate of interest</w:t>
      </w:r>
      <w:r>
        <w:rPr>
          <w:rFonts w:ascii="Arial" w:cs="Arial" w:eastAsia="Arial" w:hAnsi="Arial"/>
          <w:sz w:val="16"/>
          <w:szCs w:val="16"/>
          <w:color w:val="FF0000"/>
          <w:strike w:val="1"/>
        </w:rPr>
        <w:t xml:space="preserve"> determined with reference to the arithmetic average of the discount rate quotations of all institutions listed for Canadian Dollar-denominated bankers’ acceptances with a </w:t>
      </w:r>
      <w:r>
        <w:rPr>
          <w:rFonts w:ascii="Arial" w:cs="Arial" w:eastAsia="Arial" w:hAnsi="Arial"/>
          <w:sz w:val="16"/>
          <w:szCs w:val="16"/>
          <w:color w:val="008000"/>
          <w:strike w:val="1"/>
        </w:rPr>
        <w:t>tenor equal to such</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Interest Period </w:t>
      </w:r>
      <w:r>
        <w:rPr>
          <w:rFonts w:ascii="Arial" w:cs="Arial" w:eastAsia="Arial" w:hAnsi="Arial"/>
          <w:sz w:val="16"/>
          <w:szCs w:val="16"/>
          <w:color w:val="FF0000"/>
          <w:strike w:val="1"/>
        </w:rPr>
        <w:t>displayed and identified as such on the CDOR page of the Reuters screen (or</w:t>
      </w:r>
      <w:r>
        <w:rPr>
          <w:rFonts w:ascii="Arial" w:cs="Arial" w:eastAsia="Arial" w:hAnsi="Arial"/>
          <w:sz w:val="16"/>
          <w:szCs w:val="16"/>
          <w:color w:val="008000"/>
          <w:strike w:val="1"/>
        </w:rPr>
        <w:t xml:space="preserve"> on any successor or substitute page </w:t>
      </w:r>
      <w:r>
        <w:rPr>
          <w:rFonts w:ascii="Arial" w:cs="Arial" w:eastAsia="Arial" w:hAnsi="Arial"/>
          <w:sz w:val="16"/>
          <w:szCs w:val="16"/>
          <w:color w:val="FF0000"/>
          <w:strike w:val="1"/>
        </w:rPr>
        <w:t>on such screen or</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service </w:t>
      </w:r>
      <w:r>
        <w:rPr>
          <w:rFonts w:ascii="Arial" w:cs="Arial" w:eastAsia="Arial" w:hAnsi="Arial"/>
          <w:sz w:val="16"/>
          <w:szCs w:val="16"/>
          <w:color w:val="008000"/>
          <w:strike w:val="1"/>
        </w:rPr>
        <w:t>that displays such rate, or on the appropriate page of such other information service that publishes such rate</w:t>
      </w:r>
      <w:r>
        <w:rPr>
          <w:rFonts w:ascii="Arial" w:cs="Arial" w:eastAsia="Arial" w:hAnsi="Arial"/>
          <w:sz w:val="16"/>
          <w:szCs w:val="16"/>
          <w:color w:val="FF0000"/>
          <w:strike w:val="1"/>
        </w:rPr>
        <w:t xml:space="preserve"> as shall be selected by Administrative Agent </w:t>
      </w:r>
      <w:r>
        <w:rPr>
          <w:rFonts w:ascii="Arial" w:cs="Arial" w:eastAsia="Arial" w:hAnsi="Arial"/>
          <w:sz w:val="16"/>
          <w:szCs w:val="16"/>
          <w:color w:val="008000"/>
          <w:strike w:val="1"/>
        </w:rPr>
        <w:t>from time to time in its reasonable discretion) as of the applicable Requisite Time for such Interest Period (as adjusted by</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Administrative Agent after the </w:t>
      </w:r>
      <w:r>
        <w:rPr>
          <w:rFonts w:ascii="Arial" w:cs="Arial" w:eastAsia="Arial" w:hAnsi="Arial"/>
          <w:sz w:val="16"/>
          <w:szCs w:val="16"/>
          <w:color w:val="FF0000"/>
          <w:strike w:val="1"/>
        </w:rPr>
        <w:t>Requisite</w:t>
      </w:r>
      <w:r>
        <w:rPr>
          <w:rFonts w:ascii="Arial" w:cs="Arial" w:eastAsia="Arial" w:hAnsi="Arial"/>
          <w:sz w:val="16"/>
          <w:szCs w:val="16"/>
          <w:color w:val="008000"/>
          <w:strike w:val="1"/>
        </w:rPr>
        <w:t xml:space="preserve"> Time to reflect any error in the posted rate of interest or in the posted average annual rate of interest)</w:t>
      </w:r>
      <w:r>
        <w:rPr>
          <w:rFonts w:ascii="Arial" w:cs="Arial" w:eastAsia="Arial" w:hAnsi="Arial"/>
          <w:sz w:val="16"/>
          <w:szCs w:val="16"/>
          <w:color w:val="FF0000"/>
          <w:strike w:val="1"/>
        </w:rPr>
        <w:t>;</w:t>
      </w:r>
    </w:p>
    <w:p>
      <w:pPr>
        <w:spacing w:after="0" w:line="164" w:lineRule="exact"/>
        <w:rPr>
          <w:rFonts w:ascii="Arial" w:cs="Arial" w:eastAsia="Arial" w:hAnsi="Arial"/>
          <w:sz w:val="16"/>
          <w:szCs w:val="16"/>
          <w:color w:val="FF0000"/>
          <w:strike w:val="1"/>
        </w:rPr>
      </w:pPr>
    </w:p>
    <w:p>
      <w:pPr>
        <w:ind w:left="660" w:right="20" w:firstLine="645"/>
        <w:spacing w:after="0" w:line="264" w:lineRule="auto"/>
        <w:tabs>
          <w:tab w:leader="none" w:pos="1608" w:val="left"/>
        </w:tabs>
        <w:numPr>
          <w:ilvl w:val="0"/>
          <w:numId w:val="2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 relation to EURIBOR, the euro interbank offered rate administered by the Banking Federation of the European Union (or any other Person which takes over the administration of that rate) for the relevant period displayed on page EURIBOR01 of the Reuters screen (or any replacement Reuters page which displays that rate, </w:t>
      </w:r>
      <w:r>
        <w:rPr>
          <w:rFonts w:ascii="Arial" w:cs="Arial" w:eastAsia="Arial" w:hAnsi="Arial"/>
          <w:sz w:val="18"/>
          <w:szCs w:val="18"/>
          <w:color w:val="008000"/>
          <w:strike w:val="1"/>
        </w:rPr>
        <w:t>or, in the event such rate does not appear on</w:t>
      </w:r>
      <w:r>
        <w:rPr>
          <w:rFonts w:ascii="Arial" w:cs="Arial" w:eastAsia="Arial" w:hAnsi="Arial"/>
          <w:sz w:val="18"/>
          <w:szCs w:val="18"/>
          <w:color w:val="FF0000"/>
          <w:strike w:val="1"/>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-1315720</wp:posOffset>
            </wp:positionV>
            <wp:extent cx="285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-1315720</wp:posOffset>
            </wp:positionV>
            <wp:extent cx="285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-1041400</wp:posOffset>
            </wp:positionV>
            <wp:extent cx="285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-904240</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-629920</wp:posOffset>
            </wp:positionV>
            <wp:extent cx="28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-80645</wp:posOffset>
            </wp:positionV>
            <wp:extent cx="285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69" w:name="page70"/>
    <w:bookmarkEnd w:id="69"/>
    <w:p>
      <w:pPr>
        <w:ind w:left="660" w:right="180"/>
        <w:spacing w:after="0" w:line="264" w:lineRule="auto"/>
        <w:rPr>
          <w:sz w:val="20"/>
          <w:szCs w:val="20"/>
          <w:color w:val="auto"/>
        </w:rPr>
      </w:pPr>
      <w:r>
        <w:rPr>
          <w:rFonts w:ascii="Arial" w:cs="Arial" w:eastAsia="Arial" w:hAnsi="Arial"/>
          <w:sz w:val="18"/>
          <w:szCs w:val="18"/>
          <w:color w:val="FF0000"/>
          <w:strike w:val="1"/>
        </w:rPr>
        <w:t xml:space="preserve">Reuters </w:t>
      </w:r>
      <w:r>
        <w:rPr>
          <w:rFonts w:ascii="Arial" w:cs="Arial" w:eastAsia="Arial" w:hAnsi="Arial"/>
          <w:sz w:val="18"/>
          <w:szCs w:val="18"/>
          <w:color w:val="008000"/>
          <w:strike w:val="1"/>
        </w:rPr>
        <w:t>page or screen, on any successor or substitute page</w:t>
      </w:r>
      <w:r>
        <w:rPr>
          <w:rFonts w:ascii="Arial" w:cs="Arial" w:eastAsia="Arial" w:hAnsi="Arial"/>
          <w:sz w:val="18"/>
          <w:szCs w:val="18"/>
          <w:color w:val="FF0000"/>
          <w:strike w:val="1"/>
        </w:rPr>
        <w:t xml:space="preserve"> on such </w:t>
      </w:r>
      <w:r>
        <w:rPr>
          <w:rFonts w:ascii="Arial" w:cs="Arial" w:eastAsia="Arial" w:hAnsi="Arial"/>
          <w:sz w:val="18"/>
          <w:szCs w:val="18"/>
          <w:color w:val="008000"/>
          <w:strike w:val="1"/>
        </w:rPr>
        <w:t>screen that displays such rate, or on the appropriate page of such other</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information service that publishes such rate from time to time </w:t>
      </w:r>
      <w:r>
        <w:rPr>
          <w:rFonts w:ascii="Arial" w:cs="Arial" w:eastAsia="Arial" w:hAnsi="Arial"/>
          <w:sz w:val="18"/>
          <w:szCs w:val="18"/>
          <w:color w:val="FF0000"/>
          <w:strike w:val="1"/>
        </w:rPr>
        <w:t>as selected by</w:t>
      </w:r>
      <w:r>
        <w:rPr>
          <w:rFonts w:ascii="Arial" w:cs="Arial" w:eastAsia="Arial" w:hAnsi="Arial"/>
          <w:sz w:val="18"/>
          <w:szCs w:val="18"/>
          <w:color w:val="008000"/>
          <w:strike w:val="1"/>
        </w:rPr>
        <w:t xml:space="preserve"> Administrative Agent in its reasonable discretion) </w:t>
      </w:r>
      <w:r>
        <w:rPr>
          <w:rFonts w:ascii="Arial" w:cs="Arial" w:eastAsia="Arial" w:hAnsi="Arial"/>
          <w:sz w:val="18"/>
          <w:szCs w:val="18"/>
          <w:color w:val="FF0000"/>
          <w:strike w:val="1"/>
        </w:rPr>
        <w:t>as of the applicable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Requisite Time for such Interest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-355600</wp:posOffset>
            </wp:positionV>
            <wp:extent cx="285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-218440</wp:posOffset>
            </wp:positionV>
            <wp:extent cx="285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1" w:lineRule="exact"/>
        <w:rPr>
          <w:sz w:val="20"/>
          <w:szCs w:val="20"/>
          <w:color w:val="auto"/>
        </w:rPr>
      </w:pPr>
    </w:p>
    <w:p>
      <w:pPr>
        <w:ind w:left="660" w:right="300" w:firstLine="645"/>
        <w:spacing w:after="0" w:line="272" w:lineRule="auto"/>
        <w:tabs>
          <w:tab w:leader="none" w:pos="1553" w:val="left"/>
        </w:tabs>
        <w:numPr>
          <w:ilvl w:val="0"/>
          <w:numId w:val="21"/>
        </w:numPr>
        <w:rPr>
          <w:rFonts w:ascii="Arial" w:cs="Arial" w:eastAsia="Arial" w:hAnsi="Arial"/>
          <w:sz w:val="17"/>
          <w:szCs w:val="17"/>
          <w:color w:val="FF0000"/>
          <w:strike w:val="1"/>
        </w:rPr>
      </w:pPr>
      <w:r>
        <w:rPr>
          <w:rFonts w:ascii="Arial" w:cs="Arial" w:eastAsia="Arial" w:hAnsi="Arial"/>
          <w:sz w:val="17"/>
          <w:szCs w:val="17"/>
          <w:color w:val="FF0000"/>
          <w:strike w:val="1"/>
        </w:rPr>
        <w:t>in relation to any Borrowing, Continuation or Conversion of a Loan denominated in Dollars, Sterling or Yen</w:t>
      </w:r>
      <w:r>
        <w:rPr>
          <w:rFonts w:ascii="Arial" w:cs="Arial" w:eastAsia="Arial" w:hAnsi="Arial"/>
          <w:sz w:val="17"/>
          <w:szCs w:val="17"/>
          <w:color w:val="008000"/>
          <w:strike w:val="1"/>
        </w:rPr>
        <w:t>, the London interbank</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offered rate as administered by the ICE Benchmark Administration </w:t>
      </w:r>
      <w:r>
        <w:rPr>
          <w:rFonts w:ascii="Arial" w:cs="Arial" w:eastAsia="Arial" w:hAnsi="Arial"/>
          <w:sz w:val="17"/>
          <w:szCs w:val="17"/>
          <w:color w:val="FF0000"/>
          <w:strike w:val="1"/>
        </w:rPr>
        <w:t>Limited (or any other person which</w:t>
      </w:r>
      <w:r>
        <w:rPr>
          <w:rFonts w:ascii="Arial" w:cs="Arial" w:eastAsia="Arial" w:hAnsi="Arial"/>
          <w:sz w:val="17"/>
          <w:szCs w:val="17"/>
          <w:color w:val="008000"/>
          <w:strike w:val="1"/>
        </w:rPr>
        <w:t xml:space="preserve"> takes over the administration of that rate) for the </w:t>
      </w:r>
      <w:r>
        <w:rPr>
          <w:rFonts w:ascii="Arial" w:cs="Arial" w:eastAsia="Arial" w:hAnsi="Arial"/>
          <w:sz w:val="17"/>
          <w:szCs w:val="17"/>
          <w:color w:val="FF0000"/>
          <w:strike w:val="1"/>
        </w:rPr>
        <w:t>applicable currency as appearing on the Reuters Screen LIBOR01 Page or Reuters Screen LIBOR02 Page (</w:t>
      </w:r>
      <w:r>
        <w:rPr>
          <w:rFonts w:ascii="Arial" w:cs="Arial" w:eastAsia="Arial" w:hAnsi="Arial"/>
          <w:sz w:val="17"/>
          <w:szCs w:val="17"/>
          <w:color w:val="008000"/>
          <w:strike w:val="1"/>
        </w:rPr>
        <w:t xml:space="preserve">or, in the event such rate does not appear on a Reuters page or screen, on any successor or substitute page on such screen that displays such rate, or on the appropriate page of such other information service that publishes such rate from time to time as selected by Administrative Agent in its reasonable discretion for deposits in the applicable currency) </w:t>
      </w:r>
      <w:r>
        <w:rPr>
          <w:rFonts w:ascii="Arial" w:cs="Arial" w:eastAsia="Arial" w:hAnsi="Arial"/>
          <w:sz w:val="17"/>
          <w:szCs w:val="17"/>
          <w:color w:val="FF0000"/>
          <w:strike w:val="1"/>
        </w:rPr>
        <w:t>(for delivery on the first day of such Interest Period) with a term equivalent to such Interest Period as of the</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applicable Requisite Time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-768985</wp:posOffset>
            </wp:positionV>
            <wp:extent cx="285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 xml:space="preserve">provided, however, that if any </w:t>
      </w:r>
      <w:r>
        <w:rPr>
          <w:rFonts w:ascii="Arial" w:cs="Arial" w:eastAsia="Arial" w:hAnsi="Arial"/>
          <w:sz w:val="17"/>
          <w:szCs w:val="17"/>
          <w:color w:val="008000"/>
          <w:strike w:val="1"/>
        </w:rPr>
        <w:t>Screen Rate shall be less than zero,</w:t>
      </w:r>
      <w:r>
        <w:rPr>
          <w:rFonts w:ascii="Arial" w:cs="Arial" w:eastAsia="Arial" w:hAnsi="Arial"/>
          <w:sz w:val="17"/>
          <w:szCs w:val="17"/>
          <w:color w:val="FF0000"/>
          <w:strike w:val="1"/>
        </w:rPr>
        <w:t xml:space="preserve"> such Screen Rate shall </w:t>
      </w:r>
      <w:r>
        <w:rPr>
          <w:rFonts w:ascii="Arial" w:cs="Arial" w:eastAsia="Arial" w:hAnsi="Arial"/>
          <w:sz w:val="17"/>
          <w:szCs w:val="17"/>
          <w:color w:val="008000"/>
          <w:strike w:val="1"/>
        </w:rPr>
        <w:t>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-45720</wp:posOffset>
            </wp:positionV>
            <wp:extent cx="285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-45720</wp:posOffset>
            </wp:positionV>
            <wp:extent cx="285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-45720</wp:posOffset>
            </wp:positionV>
            <wp:extent cx="28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“Second Extended Revolving Termination Date” has the meaning set forth in Section 2.01(e).</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“Significant Subsidiary” means (i) for so long as each shall remain a Guarantor hereunder Comcast Cable Communications, LLC and NBCUniversal Media, LLC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u w:val="single" w:color="auto"/>
          <w:color w:val="0000FF"/>
        </w:rPr>
        <w:t xml:space="preserve">“Statutory Reserve Rate” means a fraction (expressed as a decimal), </w:t>
      </w:r>
      <w:r>
        <w:rPr>
          <w:rFonts w:ascii="Arial" w:cs="Arial" w:eastAsia="Arial" w:hAnsi="Arial"/>
          <w:sz w:val="16"/>
          <w:szCs w:val="16"/>
          <w:u w:val="single" w:color="auto"/>
          <w:color w:val="008000"/>
        </w:rPr>
        <w:t>the numerator of which</w:t>
      </w:r>
      <w:r>
        <w:rPr>
          <w:rFonts w:ascii="Arial" w:cs="Arial" w:eastAsia="Arial" w:hAnsi="Arial"/>
          <w:sz w:val="16"/>
          <w:szCs w:val="16"/>
          <w:u w:val="single" w:color="auto"/>
          <w:color w:val="0000FF"/>
        </w:rPr>
        <w:t xml:space="preserve"> is the number one </w:t>
      </w:r>
      <w:r>
        <w:rPr>
          <w:rFonts w:ascii="Arial" w:cs="Arial" w:eastAsia="Arial" w:hAnsi="Arial"/>
          <w:sz w:val="16"/>
          <w:szCs w:val="16"/>
          <w:u w:val="single" w:color="auto"/>
          <w:color w:val="008000"/>
        </w:rPr>
        <w:t>and the denominator of</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which </w:t>
      </w:r>
      <w:r>
        <w:rPr>
          <w:rFonts w:ascii="Arial" w:cs="Arial" w:eastAsia="Arial" w:hAnsi="Arial"/>
          <w:sz w:val="16"/>
          <w:szCs w:val="16"/>
          <w:u w:val="single" w:color="auto"/>
          <w:color w:val="0000FF"/>
        </w:rPr>
        <w:t>is the number one minus the aggregate of the maximum reserve percentage (including any marginal, special, emergency or supplemental reserves)</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 xml:space="preserve">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Eurodollar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w:t>
      </w:r>
      <w:r>
        <w:rPr>
          <w:rFonts w:ascii="Arial" w:cs="Arial" w:eastAsia="Arial" w:hAnsi="Arial"/>
          <w:sz w:val="16"/>
          <w:szCs w:val="16"/>
          <w:u w:val="single" w:color="auto"/>
          <w:color w:val="008000"/>
        </w:rPr>
        <w:t>shall be adjusted automatically</w:t>
      </w:r>
      <w:r>
        <w:rPr>
          <w:rFonts w:ascii="Arial" w:cs="Arial" w:eastAsia="Arial" w:hAnsi="Arial"/>
          <w:sz w:val="16"/>
          <w:szCs w:val="16"/>
          <w:u w:val="single" w:color="auto"/>
          <w:color w:val="0000FF"/>
        </w:rPr>
        <w:t xml:space="preserve"> on and </w:t>
      </w:r>
      <w:r>
        <w:rPr>
          <w:rFonts w:ascii="Arial" w:cs="Arial" w:eastAsia="Arial" w:hAnsi="Arial"/>
          <w:sz w:val="16"/>
          <w:szCs w:val="16"/>
          <w:u w:val="single" w:color="auto"/>
          <w:color w:val="008000"/>
        </w:rPr>
        <w:t>as of the effective date of any change in</w:t>
      </w:r>
      <w:r>
        <w:rPr>
          <w:rFonts w:ascii="Arial" w:cs="Arial" w:eastAsia="Arial" w:hAnsi="Arial"/>
          <w:sz w:val="16"/>
          <w:szCs w:val="16"/>
          <w:u w:val="single" w:color="auto"/>
          <w:color w:val="0000FF"/>
        </w:rPr>
        <w:t xml:space="preserve"> any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-870585</wp:posOffset>
            </wp:positionV>
            <wp:extent cx="368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-46990</wp:posOffset>
            </wp:positionV>
            <wp:extent cx="28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“Sterling” and “£” means lawful money of the United Kingdom.</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Unless otherwise specified, all references to a “Subsidiary” or to “Subsidiaries” in this Agreement shall refer to a Subsidiary or Subsidiaries of Borrower.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“Takeover Code” means the City Code on Takeovers and Mergers (as amended) issued by the Panel.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means the Trans-European Automated Real-time Gross settlement Express Transfer system.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means Sky plc, incorporated in England and Wales with registered number 02247735.</w:t>
      </w:r>
    </w:p>
    <w:p>
      <w:pPr>
        <w:spacing w:after="0" w:line="225" w:lineRule="exact"/>
        <w:rPr>
          <w:sz w:val="20"/>
          <w:szCs w:val="20"/>
          <w:color w:val="auto"/>
        </w:rPr>
      </w:pPr>
    </w:p>
    <w:p>
      <w:pPr>
        <w:jc w:val="both"/>
        <w:ind w:right="200" w:firstLine="1297"/>
        <w:spacing w:after="0" w:line="264" w:lineRule="auto"/>
        <w:rPr>
          <w:sz w:val="20"/>
          <w:szCs w:val="20"/>
          <w:color w:val="auto"/>
        </w:rPr>
      </w:pPr>
      <w:r>
        <w:rPr>
          <w:rFonts w:ascii="Arial" w:cs="Arial" w:eastAsia="Arial" w:hAnsi="Arial"/>
          <w:sz w:val="18"/>
          <w:szCs w:val="18"/>
          <w:color w:val="auto"/>
        </w:rPr>
        <w:t>“Target Acquisition” means the acquisition by Borrower or one of its Subsidiaries (which may include Bidco) of at least a majority of the share capital of the Target. For the avoidance of doubt, the Target Acquisition may, at Borrower’s election, involve acquisition of greater than a majority of the share capital of the Target and may be consummated in several stages.</w:t>
      </w:r>
    </w:p>
    <w:p>
      <w:pPr>
        <w:spacing w:after="0" w:line="181" w:lineRule="exact"/>
        <w:rPr>
          <w:sz w:val="20"/>
          <w:szCs w:val="20"/>
          <w:color w:val="auto"/>
        </w:rPr>
      </w:pPr>
    </w:p>
    <w:p>
      <w:pPr>
        <w:ind w:right="620" w:firstLine="1297"/>
        <w:spacing w:after="0" w:line="308" w:lineRule="auto"/>
        <w:rPr>
          <w:sz w:val="20"/>
          <w:szCs w:val="20"/>
          <w:color w:val="auto"/>
        </w:rPr>
      </w:pPr>
      <w:r>
        <w:rPr>
          <w:rFonts w:ascii="Arial" w:cs="Arial" w:eastAsia="Arial" w:hAnsi="Arial"/>
          <w:sz w:val="17"/>
          <w:szCs w:val="17"/>
          <w:color w:val="auto"/>
        </w:rPr>
        <w:t>“Target Acquisition Documents” means any Rule 2.7 Announcement, any Offer Documents, any Scheme Documents and any other document designated in writing by Borrower and Administrative Agent as a “Target Acquisition Document” from time to time.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Group” means the Target and its Subsidiaries.</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“Term Loan Credit Agreement” means that certain Term Loan Credit Agreement dated as of April 25, 2018, by and among Comcast Corporation, the lenders party thereto, Bank of America, N.A., as administrative agent, and Wells Fargo Bank, National Association, as syndication agent.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Loan Documents” means the Loan Documents (as defined in the Term Loan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Loans” means the Loans (as defined in the Term Loan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“Threshold Amount” means $500,000,000.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“Transaction Costs” means all fees, costs and expenses incurred or payable by Borrower or any of its Subsidiaries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“Transactions” means, collectively, (a) the execution, delivery and performance by each Loan Party of the Term Loan Documents to which it is to be a party and the borrowing of the Term Loans on the Initial Term Closing Date or at any time thereafter, (b) the execution, delivery and performance by each Loan Party of the Bridge Loan Documents to which it is to be a party and the borrowing of the Bridge Loans on the Initial Bridge Closing Date or at any time thereafter, (c) the execution, delivery and performance by each Loan Party of Amendment No. 1 and any related documents, (d) any Permanent Financing transaction and/or the incurrence of any other interim financing for the Target Acquisition and any refinancing thereof, (e) the consummation of the Target Acquisition (including any acquisition of Target shares after the Amendment No. 1 Effective Date) and (f) the payment of the Transaction Costs.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ind w:firstLine="1297"/>
        <w:spacing w:after="0" w:line="277" w:lineRule="auto"/>
        <w:rPr>
          <w:sz w:val="20"/>
          <w:szCs w:val="20"/>
          <w:color w:val="auto"/>
        </w:rPr>
      </w:pPr>
      <w:r>
        <w:rPr>
          <w:rFonts w:ascii="Arial" w:cs="Arial" w:eastAsia="Arial" w:hAnsi="Arial"/>
          <w:sz w:val="18"/>
          <w:szCs w:val="18"/>
          <w:color w:val="auto"/>
        </w:rPr>
        <w:t xml:space="preserve">“type” of Loan means (a) as to any Revolving Loan, its nature as a </w:t>
      </w:r>
      <w:r>
        <w:rPr>
          <w:rFonts w:ascii="Arial" w:cs="Arial" w:eastAsia="Arial" w:hAnsi="Arial"/>
          <w:sz w:val="18"/>
          <w:szCs w:val="18"/>
          <w:color w:val="FF0000"/>
          <w:strike w:val="1"/>
        </w:rPr>
        <w:t>Base Rate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ABR</w:t>
      </w:r>
      <w:r>
        <w:rPr>
          <w:rFonts w:ascii="Arial" w:cs="Arial" w:eastAsia="Arial" w:hAnsi="Arial"/>
          <w:sz w:val="18"/>
          <w:szCs w:val="18"/>
          <w:color w:val="auto"/>
        </w:rPr>
        <w:t xml:space="preserve"> Loan or a Eurodollar Rate Loan and (b) as to any Competitive Loan, its nature as a Eurodollar Rate Loan or a Fixed Rate Loan.</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“Yen” and “¥” means lawful money of Japan.</w:t>
      </w:r>
    </w:p>
    <w:p>
      <w:pPr>
        <w:spacing w:after="0" w:line="225"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7"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 include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another.</w:t>
      </w:r>
    </w:p>
    <w:p>
      <w:pPr>
        <w:spacing w:after="0" w:line="210" w:lineRule="exact"/>
        <w:rPr>
          <w:rFonts w:ascii="Arial" w:cs="Arial" w:eastAsia="Arial" w:hAnsi="Arial"/>
          <w:sz w:val="16"/>
          <w:szCs w:val="16"/>
          <w:color w:val="auto"/>
        </w:rPr>
      </w:pPr>
    </w:p>
    <w:p>
      <w:pPr>
        <w:ind w:right="120" w:firstLine="1305"/>
        <w:spacing w:after="0" w:line="312" w:lineRule="auto"/>
        <w:tabs>
          <w:tab w:leader="none" w:pos="15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color w:val="auto"/>
        </w:rPr>
      </w:pPr>
    </w:p>
    <w:p>
      <w:pPr>
        <w:ind w:left="1600" w:hanging="295"/>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ind w:left="180" w:firstLine="1296"/>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72" w:name="page73"/>
    <w:bookmarkEnd w:id="72"/>
    <w:p>
      <w:pPr>
        <w:ind w:right="80" w:firstLine="1296"/>
        <w:spacing w:after="0" w:line="287" w:lineRule="auto"/>
        <w:rPr>
          <w:sz w:val="20"/>
          <w:szCs w:val="20"/>
          <w:color w:val="auto"/>
        </w:rPr>
      </w:pPr>
      <w:r>
        <w:rPr>
          <w:rFonts w:ascii="Arial" w:cs="Arial" w:eastAsia="Arial" w:hAnsi="Arial"/>
          <w:sz w:val="16"/>
          <w:szCs w:val="16"/>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73"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jc w:val="both"/>
        <w:ind w:right="120" w:firstLine="1296"/>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1" w:lineRule="exact"/>
        <w:rPr>
          <w:sz w:val="20"/>
          <w:szCs w:val="20"/>
          <w:color w:val="auto"/>
        </w:rPr>
      </w:pPr>
    </w:p>
    <w:p>
      <w:pPr>
        <w:jc w:val="both"/>
        <w:ind w:right="100" w:firstLine="1296"/>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Pro Forma Calculations</w:t>
      </w:r>
      <w:r>
        <w:rPr>
          <w:rFonts w:ascii="Arial" w:cs="Arial" w:eastAsia="Arial" w:hAnsi="Arial"/>
          <w:sz w:val="17"/>
          <w:szCs w:val="17"/>
          <w:color w:val="auto"/>
        </w:rPr>
        <w:t xml:space="preserve"> ..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584" w:right="239" w:bottom="1440" w:gutter="0" w:footer="0" w:header="0"/>
        </w:sectPr>
      </w:pPr>
    </w:p>
    <w:bookmarkStart w:id="73" w:name="page74"/>
    <w:bookmarkEnd w:id="73"/>
    <w:p>
      <w:pPr>
        <w:ind w:right="140"/>
        <w:spacing w:after="0" w:line="271" w:lineRule="auto"/>
        <w:rPr>
          <w:sz w:val="20"/>
          <w:szCs w:val="20"/>
          <w:color w:val="auto"/>
        </w:rPr>
      </w:pPr>
      <w:r>
        <w:rPr>
          <w:rFonts w:ascii="Arial" w:cs="Arial" w:eastAsia="Arial" w:hAnsi="Arial"/>
          <w:sz w:val="17"/>
          <w:szCs w:val="17"/>
          <w:color w:val="auto"/>
        </w:rPr>
        <w:t>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79" w:lineRule="exact"/>
        <w:rPr>
          <w:sz w:val="20"/>
          <w:szCs w:val="20"/>
          <w:color w:val="auto"/>
        </w:rPr>
      </w:pPr>
    </w:p>
    <w:p>
      <w:pPr>
        <w:ind w:left="180" w:right="40" w:firstLine="1296"/>
        <w:spacing w:after="0" w:line="285" w:lineRule="auto"/>
        <w:rPr>
          <w:sz w:val="20"/>
          <w:szCs w:val="20"/>
          <w:color w:val="auto"/>
        </w:rPr>
      </w:pPr>
      <w:r>
        <w:rPr>
          <w:rFonts w:ascii="Arial" w:cs="Arial" w:eastAsia="Arial" w:hAnsi="Arial"/>
          <w:sz w:val="16"/>
          <w:szCs w:val="16"/>
          <w:u w:val="single" w:color="auto"/>
          <w:color w:val="0000FF"/>
        </w:rPr>
        <w:t xml:space="preserve">1.08 Interest Rates; LIBOR Notification. The interest rate on Eurodollar Rate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w:t>
      </w:r>
      <w:r>
        <w:rPr>
          <w:rFonts w:ascii="Arial" w:cs="Arial" w:eastAsia="Arial" w:hAnsi="Arial"/>
          <w:sz w:val="16"/>
          <w:szCs w:val="16"/>
          <w:u w:val="single" w:color="auto"/>
          <w:color w:val="008000"/>
        </w:rPr>
        <w:t>the ICE Benchmark Administration</w:t>
      </w:r>
      <w:r>
        <w:rPr>
          <w:rFonts w:ascii="Arial" w:cs="Arial" w:eastAsia="Arial" w:hAnsi="Arial"/>
          <w:sz w:val="16"/>
          <w:szCs w:val="16"/>
          <w:u w:val="single" w:color="auto"/>
          <w:color w:val="0000FF"/>
        </w:rPr>
        <w:t xml:space="preserve">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Rate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3.03(b) of this Agreement, such Section 3.03(b) provides a mechanism for determining an alternative rate of interest. The Administrative Agent will notify the Borrower, pursuant to Section 3.03, in advance of any change to the reference rate upon </w:t>
      </w:r>
      <w:r>
        <w:rPr>
          <w:rFonts w:ascii="Arial" w:cs="Arial" w:eastAsia="Arial" w:hAnsi="Arial"/>
          <w:sz w:val="16"/>
          <w:szCs w:val="16"/>
          <w:u w:val="single" w:color="auto"/>
          <w:color w:val="008000"/>
        </w:rPr>
        <w:t>which the interest rate on Eurodollar Rate Loans is</w:t>
      </w:r>
      <w:r>
        <w:rPr>
          <w:rFonts w:ascii="Arial" w:cs="Arial" w:eastAsia="Arial" w:hAnsi="Arial"/>
          <w:sz w:val="16"/>
          <w:szCs w:val="16"/>
          <w:u w:val="single" w:color="auto"/>
          <w:color w:val="0000FF"/>
        </w:rPr>
        <w:t xml:space="preserve"> based. However, the Administrative Agent does not warrant or accept any responsibility for, and shall not have any liability with respect to, the administration, submission or any other matter related to the London interbank offered rate or other rates </w:t>
      </w:r>
      <w:r>
        <w:rPr>
          <w:rFonts w:ascii="Arial" w:cs="Arial" w:eastAsia="Arial" w:hAnsi="Arial"/>
          <w:sz w:val="16"/>
          <w:szCs w:val="16"/>
          <w:u w:val="single" w:color="auto"/>
          <w:color w:val="008000"/>
        </w:rPr>
        <w:t>in the definition of “</w:t>
      </w:r>
      <w:r>
        <w:rPr>
          <w:rFonts w:ascii="Arial" w:cs="Arial" w:eastAsia="Arial" w:hAnsi="Arial"/>
          <w:sz w:val="16"/>
          <w:szCs w:val="16"/>
          <w:u w:val="single" w:color="auto"/>
          <w:color w:val="0000FF"/>
        </w:rPr>
        <w:t>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3.03(b), will be similar to, or produce the same value or economic equivalence of, the LIBO Rate or have the same volume or liquidity as did the London interbank offered rate prior to its discontinuance or unavailability.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6482080</wp:posOffset>
            </wp:positionH>
            <wp:positionV relativeFrom="paragraph">
              <wp:posOffset>-1687195</wp:posOffset>
            </wp:positionV>
            <wp:extent cx="285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-726440</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REVOLVING COMMITMENTS AND EXTENSIONS OF CREDIT</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Amount and Terms of Revolving Commitments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6" w:lineRule="auto"/>
        <w:tabs>
          <w:tab w:leader="none" w:pos="158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Dollar Amount of the Outstanding Revolving Obligations of each Lender shall not exceed such Lender’s Revolving Commitment at any time, (ii) the Dollar Amount of the Outstanding Revolving Obligations of all Lenders plus the aggregate principal amount of all outstanding Competitive Loans shall not exceed the combined Revolving Commitments at any time.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4" w:name="page75"/>
    <w:bookmarkEnd w:id="74"/>
    <w:p>
      <w:pPr>
        <w:ind w:right="680"/>
        <w:spacing w:after="0" w:line="277" w:lineRule="auto"/>
        <w:rPr>
          <w:sz w:val="20"/>
          <w:szCs w:val="20"/>
          <w:color w:val="auto"/>
        </w:rPr>
      </w:pPr>
      <w:r>
        <w:rPr>
          <w:rFonts w:ascii="Arial" w:cs="Arial" w:eastAsia="Arial" w:hAnsi="Arial"/>
          <w:sz w:val="18"/>
          <w:szCs w:val="18"/>
          <w:color w:val="auto"/>
        </w:rPr>
        <w:t>The Revolving Facility is a revolving credit and, subject to the foregoing and the other terms and conditions hereof, Borrower may borrow, Convert, Continue, prepay and reborrow Revolving Loans as set forth herein without premium or penalty.</w:t>
      </w:r>
    </w:p>
    <w:p>
      <w:pPr>
        <w:spacing w:after="0" w:line="170" w:lineRule="exact"/>
        <w:rPr>
          <w:sz w:val="20"/>
          <w:szCs w:val="20"/>
          <w:color w:val="auto"/>
        </w:rPr>
      </w:pPr>
    </w:p>
    <w:p>
      <w:pPr>
        <w:ind w:right="40" w:firstLine="1305"/>
        <w:spacing w:after="0" w:line="254" w:lineRule="auto"/>
        <w:tabs>
          <w:tab w:leader="none" w:pos="15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time after the Effective Date, Borrower and any one or more Lenders (including any New Lender)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$10,000,000,000, (ii) Revolving Commitments may not be made or increased after the occurrence of a Default or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192" w:lineRule="exact"/>
        <w:rPr>
          <w:rFonts w:ascii="Arial" w:cs="Arial" w:eastAsia="Arial" w:hAnsi="Arial"/>
          <w:sz w:val="18"/>
          <w:szCs w:val="18"/>
          <w:color w:val="auto"/>
        </w:rPr>
      </w:pPr>
    </w:p>
    <w:p>
      <w:pPr>
        <w:ind w:firstLine="1305"/>
        <w:spacing w:after="0" w:line="276" w:lineRule="auto"/>
        <w:tabs>
          <w:tab w:leader="none" w:pos="158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additional bank or financial institution (each, a “</w:t>
      </w:r>
      <w:r>
        <w:rPr>
          <w:rFonts w:ascii="Arial" w:cs="Arial" w:eastAsia="Arial" w:hAnsi="Arial"/>
          <w:sz w:val="17"/>
          <w:szCs w:val="17"/>
          <w:u w:val="single" w:color="auto"/>
          <w:color w:val="auto"/>
        </w:rPr>
        <w:t>New Lender</w:t>
      </w:r>
      <w:r>
        <w:rPr>
          <w:rFonts w:ascii="Arial" w:cs="Arial" w:eastAsia="Arial" w:hAnsi="Arial"/>
          <w:sz w:val="17"/>
          <w:szCs w:val="17"/>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17"/>
          <w:szCs w:val="17"/>
          <w:u w:val="single" w:color="auto"/>
          <w:color w:val="auto"/>
        </w:rPr>
        <w:t>New Lender Supplement</w:t>
      </w:r>
      <w:r>
        <w:rPr>
          <w:rFonts w:ascii="Arial" w:cs="Arial" w:eastAsia="Arial" w:hAnsi="Arial"/>
          <w:sz w:val="17"/>
          <w:szCs w:val="17"/>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72" w:lineRule="exact"/>
        <w:rPr>
          <w:rFonts w:ascii="Arial" w:cs="Arial" w:eastAsia="Arial" w:hAnsi="Arial"/>
          <w:sz w:val="17"/>
          <w:szCs w:val="17"/>
          <w:color w:val="auto"/>
        </w:rPr>
      </w:pPr>
    </w:p>
    <w:p>
      <w:pPr>
        <w:ind w:left="1600" w:hanging="295"/>
        <w:spacing w:after="0"/>
        <w:tabs>
          <w:tab w:leader="none" w:pos="1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each Increased Revolving Commitment Closing Date on which there are Revolving Loans outstanding, each Lender (including</w:t>
      </w:r>
    </w:p>
    <w:p>
      <w:pPr>
        <w:spacing w:after="0" w:line="3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90" w:lineRule="exact"/>
        <w:rPr>
          <w:sz w:val="20"/>
          <w:szCs w:val="20"/>
          <w:color w:val="auto"/>
        </w:rPr>
      </w:pPr>
    </w:p>
    <w:p>
      <w:pPr>
        <w:ind w:right="60" w:firstLine="1305"/>
        <w:spacing w:after="0" w:line="287" w:lineRule="auto"/>
        <w:tabs>
          <w:tab w:leader="none" w:pos="15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 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 the maximum amount of Revolving Commitments and, if applicable, Letter of Credit Commitments it 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5" w:name="page76"/>
    <w:bookmarkEnd w:id="75"/>
    <w:p>
      <w:pPr>
        <w:ind w:right="180"/>
        <w:spacing w:after="0" w:line="291" w:lineRule="auto"/>
        <w:rPr>
          <w:sz w:val="20"/>
          <w:szCs w:val="20"/>
          <w:color w:val="auto"/>
        </w:rPr>
      </w:pPr>
      <w:r>
        <w:rPr>
          <w:rFonts w:ascii="Arial" w:cs="Arial" w:eastAsia="Arial" w:hAnsi="Arial"/>
          <w:sz w:val="16"/>
          <w:szCs w:val="16"/>
          <w:color w:val="auto"/>
        </w:rPr>
        <w:t xml:space="preserve">Date (the “Second Extended Revolving Termination Date”),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more than 50% of the aggregate Revolving Commitments outstanding on the applicable Extension Effectiveness Date are extended or otherwise committed to by Extending Lenders and any New Extending Lenders</w:t>
      </w:r>
    </w:p>
    <w:p>
      <w:pPr>
        <w:ind w:right="60" w:firstLine="8"/>
        <w:spacing w:after="0" w:line="252"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applicable Extension Effectiveness Date after giving effect to the requested extension and (iii) the remaining tenor of Revolving Commitments of any Extending Lender and any New Extending Lender shall not exceed five years from the applicable Extension Effectiveness Date after giving effect to the requested extension. No Lender shall be required to consent to any such extension request, and any Lender that declines or does not respond in writing to Borrower’s request for commitment renewal (a “</w:t>
      </w:r>
      <w:r>
        <w:rPr>
          <w:rFonts w:ascii="Arial" w:cs="Arial" w:eastAsia="Arial" w:hAnsi="Arial"/>
          <w:sz w:val="18"/>
          <w:szCs w:val="18"/>
          <w:u w:val="single" w:color="auto"/>
          <w:color w:val="auto"/>
        </w:rPr>
        <w:t>Declining Lender</w:t>
      </w:r>
      <w:r>
        <w:rPr>
          <w:rFonts w:ascii="Arial" w:cs="Arial" w:eastAsia="Arial" w:hAnsi="Arial"/>
          <w:sz w:val="18"/>
          <w:szCs w:val="18"/>
          <w:color w:val="auto"/>
        </w:rPr>
        <w:t>”) will have its Revolving Commitments and Letter of Credit Commitment terminated on the then-existing Revolving Termination Date or Extended Revolving Termination Date, as applicable (without regard to any renewals by other Lenders). Borrower will have the right to remove or replace any Declining Lenders in accordance with Section 10.21.</w:t>
      </w:r>
    </w:p>
    <w:p>
      <w:pPr>
        <w:spacing w:after="0" w:line="193"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Procedure for Revolving Loan Borrowings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5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Borrower may request a Borrowing of Revolving Loans on any Business Day in a Minimum Amount therefor by delivering a Request for Extension of Credit therefor by Requisite Notice to Administrative Agent not later than the Requisite Time therefor. All Borrowings denominated in Dollars shall constitute </w:t>
      </w:r>
      <w:r>
        <w:rPr>
          <w:rFonts w:ascii="Arial" w:cs="Arial" w:eastAsia="Arial" w:hAnsi="Arial"/>
          <w:sz w:val="16"/>
          <w:szCs w:val="16"/>
          <w:color w:val="FF0000"/>
          <w:strike w:val="1"/>
        </w:rPr>
        <w:t>Base Rate</w:t>
      </w:r>
      <w:r>
        <w:rPr>
          <w:rFonts w:ascii="Arial" w:cs="Arial" w:eastAsia="Arial" w:hAnsi="Arial"/>
          <w:sz w:val="16"/>
          <w:szCs w:val="16"/>
          <w:u w:val="single" w:color="auto"/>
          <w:color w:val="0000FF"/>
        </w:rPr>
        <w:t>ABR</w:t>
      </w:r>
      <w:r>
        <w:rPr>
          <w:rFonts w:ascii="Arial" w:cs="Arial" w:eastAsia="Arial" w:hAnsi="Arial"/>
          <w:sz w:val="16"/>
          <w:szCs w:val="16"/>
          <w:color w:val="auto"/>
        </w:rPr>
        <w:t xml:space="preserve"> Loans unless properly and timely otherwise designated as set forth in the prior sentence. All Borrowings denominated in any Alternative Currency shall constitute Eurodollar </w:t>
      </w:r>
      <w:r>
        <w:rPr>
          <w:rFonts w:ascii="Arial" w:cs="Arial" w:eastAsia="Arial" w:hAnsi="Arial"/>
          <w:sz w:val="16"/>
          <w:szCs w:val="16"/>
          <w:color w:val="FF0000"/>
          <w:strike w:val="1"/>
        </w:rPr>
        <w:t>Base</w:t>
      </w:r>
      <w:r>
        <w:rPr>
          <w:rFonts w:ascii="Arial" w:cs="Arial" w:eastAsia="Arial" w:hAnsi="Arial"/>
          <w:sz w:val="16"/>
          <w:szCs w:val="16"/>
          <w:color w:val="auto"/>
        </w:rPr>
        <w:t xml:space="preserve"> Rate Loans. Each Competitive Loan shall be made in accordance with the procedures set forth in Section 2.04. Notwithstanding anything herein to the contrary, any request for a Certain Funds Credit Extension may be revocable or made contingent on the closing of the Target Acquisition (or a portion of the Target Acquisition, including any acquisition of Target shares during the Certain Funds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request for a Certain Funds Credit Extension shall certify that the proceeds thereof shall be used solely for Certain Funds Purposes.</w:t>
      </w:r>
    </w:p>
    <w:p>
      <w:pPr>
        <w:spacing w:after="0" w:line="167" w:lineRule="exact"/>
        <w:rPr>
          <w:rFonts w:ascii="Arial" w:cs="Arial" w:eastAsia="Arial" w:hAnsi="Arial"/>
          <w:sz w:val="16"/>
          <w:szCs w:val="16"/>
          <w:color w:val="auto"/>
        </w:rPr>
      </w:pPr>
    </w:p>
    <w:p>
      <w:pPr>
        <w:ind w:right="40" w:firstLine="1305"/>
        <w:spacing w:after="0" w:line="257" w:lineRule="auto"/>
        <w:tabs>
          <w:tab w:leader="none" w:pos="15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88" w:lineRule="exact"/>
        <w:rPr>
          <w:rFonts w:ascii="Arial" w:cs="Arial" w:eastAsia="Arial" w:hAnsi="Arial"/>
          <w:sz w:val="18"/>
          <w:szCs w:val="18"/>
          <w:color w:val="auto"/>
        </w:rPr>
      </w:pPr>
    </w:p>
    <w:p>
      <w:pPr>
        <w:ind w:right="160" w:firstLine="1305"/>
        <w:spacing w:after="0" w:line="259" w:lineRule="auto"/>
        <w:tabs>
          <w:tab w:leader="none" w:pos="15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186" w:lineRule="exact"/>
        <w:rPr>
          <w:rFonts w:ascii="Arial" w:cs="Arial" w:eastAsia="Arial" w:hAnsi="Arial"/>
          <w:sz w:val="18"/>
          <w:szCs w:val="18"/>
          <w:color w:val="auto"/>
        </w:rPr>
      </w:pPr>
    </w:p>
    <w:p>
      <w:pPr>
        <w:jc w:val="both"/>
        <w:ind w:right="240" w:firstLine="1305"/>
        <w:spacing w:after="0" w:line="302" w:lineRule="auto"/>
        <w:tabs>
          <w:tab w:leader="none" w:pos="15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Each Lender may, at its option, make any Loan available to Borrower by causing any foreign or domestic branch or Affiliate of such Lender to make such Loan; provided that any exercise of such option shall not affect the obligation of Borrower to repay such Loan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4"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6" w:name="page77"/>
    <w:bookmarkEnd w:id="76"/>
    <w:p>
      <w:pPr>
        <w:ind w:left="-60" w:firstLine="1305"/>
        <w:spacing w:after="0" w:line="284" w:lineRule="auto"/>
        <w:tabs>
          <w:tab w:leader="none" w:pos="15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Borrower shall, at least 15 days prior to the Revolving Termination Date (as it may be extended), deposit cash in an amount equal to the Letter of Credit Usage applicable to it in a Letter of Credit Cash Collateral Account.</w:t>
      </w:r>
    </w:p>
    <w:p>
      <w:pPr>
        <w:spacing w:after="0" w:line="178" w:lineRule="exact"/>
        <w:rPr>
          <w:rFonts w:ascii="Arial" w:cs="Arial" w:eastAsia="Arial" w:hAnsi="Arial"/>
          <w:sz w:val="16"/>
          <w:szCs w:val="16"/>
          <w:color w:val="auto"/>
        </w:rPr>
      </w:pPr>
    </w:p>
    <w:p>
      <w:pPr>
        <w:ind w:left="-60" w:right="180" w:firstLine="1305"/>
        <w:spacing w:after="0" w:line="288" w:lineRule="auto"/>
        <w:tabs>
          <w:tab w:leader="none" w:pos="15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4.02(b) and (c) are applicable to such Letter of Credit Action, constitute a representation and warranty by Borrower that the conditions set forth in Sections 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584" w:right="239" w:bottom="1440" w:gutter="0" w:footer="0" w:header="0"/>
        </w:sectPr>
      </w:pPr>
    </w:p>
    <w:bookmarkStart w:id="77" w:name="page78"/>
    <w:bookmarkEnd w:id="77"/>
    <w:p>
      <w:pPr>
        <w:ind w:right="160"/>
        <w:spacing w:after="0" w:line="255" w:lineRule="auto"/>
        <w:rPr>
          <w:sz w:val="20"/>
          <w:szCs w:val="20"/>
          <w:color w:val="auto"/>
        </w:rPr>
      </w:pPr>
      <w:r>
        <w:rPr>
          <w:rFonts w:ascii="Arial" w:cs="Arial" w:eastAsia="Arial" w:hAnsi="Arial"/>
          <w:sz w:val="18"/>
          <w:szCs w:val="18"/>
          <w:color w:val="auto"/>
        </w:rPr>
        <w:t>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as an Issuing Lender, shall only be obligated to issue standby Letters of Credit, and shall only be obligated to do so upon at least 3 Business Days’ prior written notice (or such shorter period of time as Morgan Stanley Bank, N.A. shall approve in its sole discretion).</w:t>
      </w:r>
    </w:p>
    <w:p>
      <w:pPr>
        <w:spacing w:after="0" w:line="193" w:lineRule="exact"/>
        <w:rPr>
          <w:sz w:val="20"/>
          <w:szCs w:val="20"/>
          <w:color w:val="auto"/>
        </w:rPr>
      </w:pPr>
    </w:p>
    <w:p>
      <w:pPr>
        <w:ind w:firstLine="1305"/>
        <w:spacing w:after="0" w:line="269" w:lineRule="auto"/>
        <w:tabs>
          <w:tab w:leader="none" w:pos="158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Borrower shall reimburse each Issuing Lender through Administrative Agent for any payment that such Issuing Lender makes under a Letter of Credit within one Business Day following demand by Administrative Agent or such Issuing Lender in Dollars or in the applicable Alternative Currency in which such payment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conditions precedent set forth in Section 4.02 can be satisfied (except for the giving of a Request for Extension of Credit), Borrower may request a Borrowing of </w:t>
      </w:r>
      <w:r>
        <w:rPr>
          <w:rFonts w:ascii="Arial" w:cs="Arial" w:eastAsia="Arial" w:hAnsi="Arial"/>
          <w:sz w:val="17"/>
          <w:szCs w:val="17"/>
          <w:color w:val="FF0000"/>
          <w:strike w:val="1"/>
        </w:rPr>
        <w:t>Base Rate</w:t>
      </w:r>
      <w:r>
        <w:rPr>
          <w:rFonts w:ascii="Arial" w:cs="Arial" w:eastAsia="Arial" w:hAnsi="Arial"/>
          <w:sz w:val="17"/>
          <w:szCs w:val="17"/>
          <w:u w:val="single" w:color="auto"/>
          <w:color w:val="0000FF"/>
        </w:rPr>
        <w:t>ABR</w:t>
      </w:r>
      <w:r>
        <w:rPr>
          <w:rFonts w:ascii="Arial" w:cs="Arial" w:eastAsia="Arial" w:hAnsi="Arial"/>
          <w:sz w:val="17"/>
          <w:szCs w:val="17"/>
          <w:color w:val="auto"/>
        </w:rPr>
        <w:t xml:space="preserve"> Loans in the Dollar Amount necessary to reimburse such Issuing Lender for such payment pursuant to Section 2.02 (without regard to the Minimum Amount requirements thereof). If 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Borrower shall pay the amount of any such tax requested by Administrative Agent, the relevant Issuing Lender or Lender. If Borrower fails to make such payment when due, then if such payment relates to a Letter of Credit denominated in an Alternative Currency, automatically and with no further action required, Borrower’s obligation to reimburse the applicable payment by the applicable Issuing Lender shall be permanently converted into an obligation to reimburse the Dollar Amount of such payment.</w:t>
      </w:r>
    </w:p>
    <w:p>
      <w:pPr>
        <w:spacing w:after="0" w:line="182" w:lineRule="exact"/>
        <w:rPr>
          <w:rFonts w:ascii="Arial" w:cs="Arial" w:eastAsia="Arial" w:hAnsi="Arial"/>
          <w:sz w:val="17"/>
          <w:szCs w:val="17"/>
          <w:color w:val="auto"/>
        </w:rPr>
      </w:pPr>
    </w:p>
    <w:p>
      <w:pPr>
        <w:ind w:right="20" w:firstLine="1305"/>
        <w:spacing w:after="0" w:line="268" w:lineRule="auto"/>
        <w:tabs>
          <w:tab w:leader="none" w:pos="15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 Lender for the amount of any payment made by such Issuing Lender under any Letter of Credit, together with interest as provided herein, or to provide cash collateral.</w:t>
      </w:r>
    </w:p>
    <w:p>
      <w:pPr>
        <w:spacing w:after="0" w:line="187" w:lineRule="exact"/>
        <w:rPr>
          <w:rFonts w:ascii="Arial" w:cs="Arial" w:eastAsia="Arial" w:hAnsi="Arial"/>
          <w:sz w:val="17"/>
          <w:szCs w:val="17"/>
          <w:color w:val="auto"/>
        </w:rPr>
      </w:pPr>
    </w:p>
    <w:p>
      <w:pPr>
        <w:ind w:right="80" w:firstLine="1305"/>
        <w:spacing w:after="0" w:line="264" w:lineRule="auto"/>
        <w:tabs>
          <w:tab w:leader="none" w:pos="15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 (a) above, the funding by Lenders pursuant to subsection (d) above shall be deemed to be 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8" w:name="page79"/>
    <w:bookmarkEnd w:id="78"/>
    <w:p>
      <w:pPr>
        <w:ind w:right="60"/>
        <w:spacing w:after="0" w:line="270" w:lineRule="auto"/>
        <w:rPr>
          <w:sz w:val="20"/>
          <w:szCs w:val="20"/>
          <w:color w:val="auto"/>
        </w:rPr>
      </w:pPr>
      <w:r>
        <w:rPr>
          <w:rFonts w:ascii="Arial" w:cs="Arial" w:eastAsia="Arial" w:hAnsi="Arial"/>
          <w:sz w:val="17"/>
          <w:szCs w:val="17"/>
          <w:color w:val="auto"/>
        </w:rPr>
        <w:t xml:space="preserve">Borrowing of </w:t>
      </w:r>
      <w:r>
        <w:rPr>
          <w:rFonts w:ascii="Arial" w:cs="Arial" w:eastAsia="Arial" w:hAnsi="Arial"/>
          <w:sz w:val="17"/>
          <w:szCs w:val="17"/>
          <w:color w:val="FF0000"/>
          <w:strike w:val="1"/>
        </w:rPr>
        <w:t>Base Rate</w:t>
      </w:r>
      <w:r>
        <w:rPr>
          <w:rFonts w:ascii="Arial" w:cs="Arial" w:eastAsia="Arial" w:hAnsi="Arial"/>
          <w:sz w:val="17"/>
          <w:szCs w:val="17"/>
          <w:u w:val="single" w:color="auto"/>
          <w:color w:val="0000FF"/>
        </w:rPr>
        <w:t>ABR</w:t>
      </w:r>
      <w:r>
        <w:rPr>
          <w:rFonts w:ascii="Arial" w:cs="Arial" w:eastAsia="Arial" w:hAnsi="Arial"/>
          <w:sz w:val="17"/>
          <w:szCs w:val="17"/>
          <w:color w:val="auto"/>
        </w:rPr>
        <w:t xml:space="preserve"> Loans (without regard to the Minimum Amount therefor) .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82" w:lineRule="exact"/>
        <w:rPr>
          <w:sz w:val="20"/>
          <w:szCs w:val="20"/>
          <w:color w:val="auto"/>
        </w:rPr>
      </w:pPr>
    </w:p>
    <w:p>
      <w:pPr>
        <w:ind w:right="140" w:firstLine="1305"/>
        <w:spacing w:after="0" w:line="270" w:lineRule="auto"/>
        <w:tabs>
          <w:tab w:leader="none" w:pos="15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81" w:lineRule="exact"/>
        <w:rPr>
          <w:rFonts w:ascii="Arial" w:cs="Arial" w:eastAsia="Arial" w:hAnsi="Arial"/>
          <w:sz w:val="17"/>
          <w:szCs w:val="17"/>
          <w:color w:val="auto"/>
        </w:rPr>
      </w:pPr>
    </w:p>
    <w:p>
      <w:pPr>
        <w:ind w:right="260" w:firstLine="1305"/>
        <w:spacing w:after="0" w:line="264" w:lineRule="auto"/>
        <w:tabs>
          <w:tab w:leader="none" w:pos="15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181" w:lineRule="exact"/>
        <w:rPr>
          <w:rFonts w:ascii="Arial" w:cs="Arial" w:eastAsia="Arial" w:hAnsi="Arial"/>
          <w:sz w:val="18"/>
          <w:szCs w:val="18"/>
          <w:color w:val="auto"/>
        </w:rPr>
      </w:pPr>
    </w:p>
    <w:p>
      <w:pPr>
        <w:ind w:left="1300" w:right="900" w:firstLine="653"/>
        <w:spacing w:after="0" w:line="277" w:lineRule="auto"/>
        <w:tabs>
          <w:tab w:leader="none" w:pos="22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agreement or instrument relating thereto;</w:t>
      </w:r>
    </w:p>
    <w:p>
      <w:pPr>
        <w:spacing w:after="0" w:line="170" w:lineRule="exact"/>
        <w:rPr>
          <w:rFonts w:ascii="Arial" w:cs="Arial" w:eastAsia="Arial" w:hAnsi="Arial"/>
          <w:sz w:val="18"/>
          <w:szCs w:val="18"/>
          <w:color w:val="auto"/>
        </w:rPr>
      </w:pPr>
    </w:p>
    <w:p>
      <w:pPr>
        <w:ind w:left="1300" w:firstLine="653"/>
        <w:spacing w:after="0" w:line="277" w:lineRule="auto"/>
        <w:tabs>
          <w:tab w:leader="none" w:pos="22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170" w:lineRule="exact"/>
        <w:rPr>
          <w:rFonts w:ascii="Arial" w:cs="Arial" w:eastAsia="Arial" w:hAnsi="Arial"/>
          <w:sz w:val="18"/>
          <w:szCs w:val="18"/>
          <w:color w:val="auto"/>
        </w:rPr>
      </w:pPr>
    </w:p>
    <w:p>
      <w:pPr>
        <w:jc w:val="both"/>
        <w:ind w:left="1300" w:right="120" w:firstLine="653"/>
        <w:spacing w:after="0" w:line="259" w:lineRule="auto"/>
        <w:tabs>
          <w:tab w:leader="none" w:pos="23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86" w:lineRule="exact"/>
        <w:rPr>
          <w:rFonts w:ascii="Arial" w:cs="Arial" w:eastAsia="Arial" w:hAnsi="Arial"/>
          <w:sz w:val="18"/>
          <w:szCs w:val="18"/>
          <w:color w:val="auto"/>
        </w:rPr>
      </w:pPr>
    </w:p>
    <w:p>
      <w:pPr>
        <w:ind w:left="1300" w:right="120" w:firstLine="653"/>
        <w:spacing w:after="0" w:line="277" w:lineRule="auto"/>
        <w:tabs>
          <w:tab w:leader="none" w:pos="23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ind w:left="1300" w:right="260"/>
        <w:spacing w:after="0" w:line="277" w:lineRule="auto"/>
        <w:rPr>
          <w:sz w:val="20"/>
          <w:szCs w:val="20"/>
          <w:color w:val="auto"/>
        </w:rPr>
      </w:pPr>
      <w:r>
        <w:rPr>
          <w:rFonts w:ascii="Arial" w:cs="Arial" w:eastAsia="Arial" w:hAnsi="Arial"/>
          <w:sz w:val="18"/>
          <w:szCs w:val="18"/>
          <w:color w:val="auto"/>
        </w:rPr>
        <w:t>statement therein being untrue or inaccurate in any respect whatsoever so long as any such document appeared to comply with the terms of such Letter of Credit;</w:t>
      </w:r>
    </w:p>
    <w:p>
      <w:pPr>
        <w:spacing w:after="0" w:line="170" w:lineRule="exact"/>
        <w:rPr>
          <w:sz w:val="20"/>
          <w:szCs w:val="20"/>
          <w:color w:val="auto"/>
        </w:rPr>
      </w:pPr>
    </w:p>
    <w:p>
      <w:pPr>
        <w:ind w:left="1300" w:right="20" w:firstLine="653"/>
        <w:spacing w:after="0" w:line="257" w:lineRule="auto"/>
        <w:tabs>
          <w:tab w:leader="none" w:pos="2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88" w:lineRule="exact"/>
        <w:rPr>
          <w:rFonts w:ascii="Arial" w:cs="Arial" w:eastAsia="Arial" w:hAnsi="Arial"/>
          <w:sz w:val="18"/>
          <w:szCs w:val="18"/>
          <w:color w:val="auto"/>
        </w:rPr>
      </w:pPr>
    </w:p>
    <w:p>
      <w:pPr>
        <w:ind w:left="1300" w:right="400" w:firstLine="653"/>
        <w:spacing w:after="0" w:line="277" w:lineRule="auto"/>
        <w:tabs>
          <w:tab w:leader="none" w:pos="22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170" w:lineRule="exact"/>
        <w:rPr>
          <w:rFonts w:ascii="Arial" w:cs="Arial" w:eastAsia="Arial" w:hAnsi="Arial"/>
          <w:sz w:val="18"/>
          <w:szCs w:val="18"/>
          <w:color w:val="auto"/>
        </w:rPr>
      </w:pPr>
    </w:p>
    <w:p>
      <w:pPr>
        <w:ind w:left="2360" w:hanging="407"/>
        <w:spacing w:after="0"/>
        <w:tabs>
          <w:tab w:leader="none" w:pos="2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error, neglect or default of any correspondent of such Issuing Lender in connection with such Letter of Credit;</w:t>
      </w:r>
    </w:p>
    <w:p>
      <w:pPr>
        <w:spacing w:after="0" w:line="236" w:lineRule="exact"/>
        <w:rPr>
          <w:rFonts w:ascii="Arial" w:cs="Arial" w:eastAsia="Arial" w:hAnsi="Arial"/>
          <w:sz w:val="17"/>
          <w:szCs w:val="17"/>
          <w:color w:val="auto"/>
        </w:rPr>
      </w:pPr>
    </w:p>
    <w:p>
      <w:pPr>
        <w:ind w:left="1300" w:right="600" w:firstLine="653"/>
        <w:spacing w:after="0" w:line="277" w:lineRule="auto"/>
        <w:tabs>
          <w:tab w:leader="none" w:pos="23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170" w:lineRule="exact"/>
        <w:rPr>
          <w:rFonts w:ascii="Arial" w:cs="Arial" w:eastAsia="Arial" w:hAnsi="Arial"/>
          <w:sz w:val="18"/>
          <w:szCs w:val="18"/>
          <w:color w:val="auto"/>
        </w:rPr>
      </w:pPr>
    </w:p>
    <w:p>
      <w:pPr>
        <w:ind w:left="1300" w:right="220" w:firstLine="653"/>
        <w:spacing w:after="0" w:line="264" w:lineRule="auto"/>
        <w:tabs>
          <w:tab w:leader="none" w:pos="22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181" w:lineRule="exact"/>
        <w:rPr>
          <w:rFonts w:ascii="Arial" w:cs="Arial" w:eastAsia="Arial" w:hAnsi="Arial"/>
          <w:sz w:val="18"/>
          <w:szCs w:val="18"/>
          <w:color w:val="auto"/>
        </w:rPr>
      </w:pPr>
    </w:p>
    <w:p>
      <w:pPr>
        <w:ind w:left="2340" w:hanging="387"/>
        <w:spacing w:after="0"/>
        <w:tabs>
          <w:tab w:leader="none" w:pos="2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225" w:lineRule="exact"/>
        <w:rPr>
          <w:sz w:val="20"/>
          <w:szCs w:val="20"/>
          <w:color w:val="auto"/>
        </w:rPr>
      </w:pPr>
    </w:p>
    <w:p>
      <w:pPr>
        <w:ind w:right="420" w:firstLine="1297"/>
        <w:spacing w:after="0" w:line="259" w:lineRule="auto"/>
        <w:rPr>
          <w:sz w:val="20"/>
          <w:szCs w:val="20"/>
          <w:color w:val="auto"/>
        </w:rPr>
      </w:pPr>
      <w:r>
        <w:rPr>
          <w:rFonts w:ascii="Arial" w:cs="Arial" w:eastAsia="Arial" w:hAnsi="Arial"/>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 Issuing Lender in writing. Borrower shall be conclusively deemed to have waived any such claim against such Issuing Lender and its correspondents unless such notice is given as aforesaid.</w:t>
      </w:r>
    </w:p>
    <w:p>
      <w:pPr>
        <w:spacing w:after="0" w:line="187" w:lineRule="exact"/>
        <w:rPr>
          <w:sz w:val="20"/>
          <w:szCs w:val="20"/>
          <w:color w:val="auto"/>
        </w:rPr>
      </w:pPr>
    </w:p>
    <w:p>
      <w:pPr>
        <w:ind w:firstLine="1305"/>
        <w:spacing w:after="0" w:line="270" w:lineRule="auto"/>
        <w:tabs>
          <w:tab w:leader="none" w:pos="1551"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 that this assumption is not intended to, and shall not, preclude Borrower’s pursuing such rights and remedies as it may have against the beneficiary or transferee at law or under any other agreement. No Issuing Lender, Administrative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8"/>
          <w:szCs w:val="18"/>
          <w:color w:val="auto"/>
        </w:rPr>
        <w:t>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3" w:lineRule="exact"/>
        <w:rPr>
          <w:sz w:val="20"/>
          <w:szCs w:val="20"/>
          <w:color w:val="auto"/>
        </w:rPr>
      </w:pPr>
    </w:p>
    <w:p>
      <w:pPr>
        <w:ind w:right="40" w:firstLine="1305"/>
        <w:spacing w:after="0" w:line="257" w:lineRule="auto"/>
        <w:tabs>
          <w:tab w:leader="none" w:pos="15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188" w:lineRule="exact"/>
        <w:rPr>
          <w:rFonts w:ascii="Arial" w:cs="Arial" w:eastAsia="Arial" w:hAnsi="Arial"/>
          <w:sz w:val="18"/>
          <w:szCs w:val="18"/>
          <w:color w:val="auto"/>
        </w:rPr>
      </w:pPr>
    </w:p>
    <w:p>
      <w:pPr>
        <w:ind w:right="80" w:firstLine="1305"/>
        <w:spacing w:after="0" w:line="293" w:lineRule="auto"/>
        <w:tabs>
          <w:tab w:leader="none" w:pos="1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64" w:lineRule="exact"/>
        <w:rPr>
          <w:rFonts w:ascii="Arial" w:cs="Arial" w:eastAsia="Arial" w:hAnsi="Arial"/>
          <w:sz w:val="16"/>
          <w:szCs w:val="16"/>
          <w:color w:val="auto"/>
        </w:rPr>
      </w:pPr>
    </w:p>
    <w:p>
      <w:pPr>
        <w:ind w:right="100" w:firstLine="1305"/>
        <w:spacing w:after="0" w:line="276" w:lineRule="auto"/>
        <w:tabs>
          <w:tab w:leader="none" w:pos="1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Borrower for which such charges are customarily made. Such fees and charges are nonrefundable.</w:t>
      </w:r>
    </w:p>
    <w:p>
      <w:pPr>
        <w:spacing w:after="0" w:line="172" w:lineRule="exact"/>
        <w:rPr>
          <w:rFonts w:ascii="Arial" w:cs="Arial" w:eastAsia="Arial" w:hAnsi="Arial"/>
          <w:sz w:val="17"/>
          <w:szCs w:val="17"/>
          <w:color w:val="auto"/>
        </w:rPr>
      </w:pPr>
    </w:p>
    <w:p>
      <w:pPr>
        <w:ind w:firstLine="1305"/>
        <w:spacing w:after="0" w:line="259" w:lineRule="auto"/>
        <w:tabs>
          <w:tab w:leader="none" w:pos="15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86" w:lineRule="exact"/>
        <w:rPr>
          <w:rFonts w:ascii="Arial" w:cs="Arial" w:eastAsia="Arial" w:hAnsi="Arial"/>
          <w:sz w:val="18"/>
          <w:szCs w:val="18"/>
          <w:color w:val="auto"/>
        </w:rPr>
      </w:pPr>
    </w:p>
    <w:p>
      <w:pPr>
        <w:ind w:right="140" w:firstLine="1305"/>
        <w:spacing w:after="0" w:line="302" w:lineRule="auto"/>
        <w:tabs>
          <w:tab w:leader="none" w:pos="17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Each Issuing Lender may, at its option, issue any Letter of Credit and make any funds available in connection with any Letter of Credit by causing any foreign or domestic branch or Affiliate of such Issuing Lender to take such action; provided that any exercise of such option shall not affect any obligation of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4" w:lineRule="exact"/>
        <w:rPr>
          <w:sz w:val="20"/>
          <w:szCs w:val="20"/>
          <w:color w:val="auto"/>
        </w:rPr>
      </w:pPr>
    </w:p>
    <w:p>
      <w:pPr>
        <w:ind w:left="180" w:right="120" w:firstLine="1296"/>
        <w:spacing w:after="0" w:line="264"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Competitive Bid Procedure</w:t>
      </w:r>
      <w:r>
        <w:rPr>
          <w:rFonts w:ascii="Arial" w:cs="Arial" w:eastAsia="Arial" w:hAnsi="Arial"/>
          <w:sz w:val="18"/>
          <w:szCs w:val="18"/>
          <w:color w:val="auto"/>
        </w:rPr>
        <w:t xml:space="preserve">. (a) Subject to the terms and conditions set forth herein, during the period from and including the Effective Date to, but not including, the Revolving Termination Date (as it may be extended), Borrower may request Competitive Bids and may (but shall not have any obligation to) accept Competitive Bids and borrow Competitive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1" w:name="page82"/>
    <w:bookmarkEnd w:id="81"/>
    <w:p>
      <w:pPr>
        <w:ind w:left="180" w:right="80"/>
        <w:spacing w:after="0" w:line="254" w:lineRule="auto"/>
        <w:rPr>
          <w:sz w:val="20"/>
          <w:szCs w:val="20"/>
          <w:color w:val="auto"/>
        </w:rPr>
      </w:pPr>
      <w:r>
        <w:rPr>
          <w:rFonts w:ascii="Arial" w:cs="Arial" w:eastAsia="Arial" w:hAnsi="Arial"/>
          <w:sz w:val="18"/>
          <w:szCs w:val="18"/>
          <w:color w:val="auto"/>
        </w:rPr>
        <w:t xml:space="preserve">Outstanding Revolving Obligations of all Lenders plus the aggregate principal amount of outstanding Competitive Loans at any time shall not exceed the combined Revolving Commitments. To request Competitive Bids, Borrower shall notify Administrative Agent of such request by telephone not later than the Requisite Time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192" w:lineRule="exact"/>
        <w:rPr>
          <w:sz w:val="20"/>
          <w:szCs w:val="20"/>
          <w:color w:val="auto"/>
        </w:rPr>
      </w:pPr>
    </w:p>
    <w:p>
      <w:pPr>
        <w:ind w:left="2220" w:hanging="267"/>
        <w:spacing w:after="0"/>
        <w:tabs>
          <w:tab w:leader="none" w:pos="2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300" w:firstLine="653"/>
        <w:spacing w:after="0" w:line="308" w:lineRule="auto"/>
        <w:tabs>
          <w:tab w:leader="none" w:pos="23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146" w:lineRule="exact"/>
        <w:rPr>
          <w:rFonts w:ascii="Arial" w:cs="Arial" w:eastAsia="Arial" w:hAnsi="Arial"/>
          <w:sz w:val="17"/>
          <w:szCs w:val="17"/>
          <w:color w:val="auto"/>
        </w:rPr>
      </w:pPr>
    </w:p>
    <w:p>
      <w:pPr>
        <w:ind w:left="1300" w:right="380" w:firstLine="653"/>
        <w:spacing w:after="0" w:line="277" w:lineRule="auto"/>
        <w:tabs>
          <w:tab w:leader="none" w:pos="22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Period to be applicable to such Borrowing, which shall be a period contemplated by the definition of the term “Interest Period”.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70" w:lineRule="exact"/>
        <w:rPr>
          <w:sz w:val="20"/>
          <w:szCs w:val="20"/>
          <w:color w:val="auto"/>
        </w:rPr>
      </w:pPr>
    </w:p>
    <w:p>
      <w:pPr>
        <w:ind w:right="20" w:firstLine="1305"/>
        <w:spacing w:after="0" w:line="284" w:lineRule="auto"/>
        <w:tabs>
          <w:tab w:leader="none" w:pos="15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w:t>
      </w:r>
    </w:p>
    <w:p>
      <w:pPr>
        <w:spacing w:after="0" w:line="4" w:lineRule="exact"/>
        <w:rPr>
          <w:rFonts w:ascii="Arial" w:cs="Arial" w:eastAsia="Arial" w:hAnsi="Arial"/>
          <w:sz w:val="16"/>
          <w:szCs w:val="16"/>
          <w:color w:val="auto"/>
        </w:rPr>
      </w:pPr>
    </w:p>
    <w:p>
      <w:pPr>
        <w:jc w:val="both"/>
        <w:ind w:right="140" w:firstLine="8"/>
        <w:spacing w:after="0" w:line="273" w:lineRule="auto"/>
        <w:tabs>
          <w:tab w:leader="none" w:pos="2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principal amount (which shall be a minimum of $10,000,000 and an integral multiple of $1,000,000 and which may equal the entire principal amount of the Competitive Borrowing requested by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76" w:lineRule="exact"/>
        <w:rPr>
          <w:rFonts w:ascii="Arial" w:cs="Arial" w:eastAsia="Arial" w:hAnsi="Arial"/>
          <w:sz w:val="17"/>
          <w:szCs w:val="17"/>
          <w:color w:val="auto"/>
        </w:rPr>
      </w:pPr>
    </w:p>
    <w:p>
      <w:pPr>
        <w:ind w:firstLine="1305"/>
        <w:spacing w:after="0" w:line="277" w:lineRule="auto"/>
        <w:tabs>
          <w:tab w:leader="none" w:pos="16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by telecopy of the Competitive Bid Rate and the principal amount specified in each Competitive Bid and the identity of the Lender that shall have made such Competitive Bid.</w:t>
      </w:r>
    </w:p>
    <w:p>
      <w:pPr>
        <w:spacing w:after="0" w:line="170" w:lineRule="exact"/>
        <w:rPr>
          <w:rFonts w:ascii="Arial" w:cs="Arial" w:eastAsia="Arial" w:hAnsi="Arial"/>
          <w:sz w:val="18"/>
          <w:szCs w:val="18"/>
          <w:color w:val="auto"/>
        </w:rPr>
      </w:pPr>
    </w:p>
    <w:p>
      <w:pPr>
        <w:jc w:val="both"/>
        <w:ind w:right="160" w:firstLine="1305"/>
        <w:spacing w:after="0" w:line="264" w:lineRule="auto"/>
        <w:tabs>
          <w:tab w:leader="none" w:pos="16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Subject only to the provisions of this paragraph, Borrower may accept or reject any Competitive Bid. Borrower shall notify Administrative Agent by telephone, confirmed by telecopy in a form approved by Administrative Agent, whether and to what extent it has decided to accept or reject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each Competitive Bid, in the case of a Competitive Borrowing of Eurodollar Rate Loans, not later than 10:30 a.m., New York City time, three Business Days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before the date of the proposed Competitive Borrowing, and in the case of a Borrowing of Fixed Rate Loans, not later than 10:30 a.m., New York City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the proposed date of the Competitive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failure of Borrower to give such notice shall be deemed to be a rejection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Competitive Bid, (ii) Borrower shall not accept a Competitive Bid made at a particular Competitive Bid Rate if Borrower rejects a Competitive Bid made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Competitive Bid Rate with respect to the same Competitive Bid Request, (iii) the aggregate amount of the Competitive Bids accepted by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not exceed the aggregate amount of the requested Competitive Borrowing specified in the related Competitive Bid Request, (iv) to the extent necessary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comply with clause (iii) above, Borrower may accept Competitive Bids at the same Competitive Bid Rate in part, which acceptance, in the case of multiple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Competitive Bids at such Competitive Bid Rate, shall be made pro rata in accordance with the amount of each such Competitive Bid, and (v) except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clause (iv) above, no Competitive Bid shall be accepted for a Competitive Loan unless such Competitive Loan is in a minimum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$5,000,000 and an integral multiple of $1,000,000;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 Competitive Loan must be in an amount less than $5,000,000 because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clause (iv) above, such Competitive Loan may be for a minimum of $1,000,000 or any integral multiple thereof, and in calculating the pro rata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 of acceptances of portions of multiple Competitive Bids at a particular Competitive Bid Rate pursuant to clause (iv) the amounts shall be rounded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integral multiples of $1,000,000 in a manner determined by Borrower. A notice given by Borrower pursuant to this paragraph shall be irrevocable.</w:t>
      </w:r>
    </w:p>
    <w:p>
      <w:pPr>
        <w:spacing w:after="0" w:line="222" w:lineRule="exact"/>
        <w:rPr>
          <w:sz w:val="20"/>
          <w:szCs w:val="20"/>
          <w:color w:val="auto"/>
        </w:rPr>
      </w:pPr>
    </w:p>
    <w:p>
      <w:pPr>
        <w:ind w:right="80" w:firstLine="1305"/>
        <w:spacing w:after="0" w:line="264" w:lineRule="auto"/>
        <w:tabs>
          <w:tab w:leader="none" w:pos="15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Borrower at least one quarter of an hour earlier than the time by which the other Lenders are required to submit their Competitive Bids to Administrative Agent pursuant to paragraph (b) of this Section.</w:t>
      </w:r>
    </w:p>
    <w:p>
      <w:pPr>
        <w:spacing w:after="0" w:line="181" w:lineRule="exact"/>
        <w:rPr>
          <w:sz w:val="20"/>
          <w:szCs w:val="20"/>
          <w:color w:val="auto"/>
        </w:rPr>
      </w:pPr>
    </w:p>
    <w:p>
      <w:pPr>
        <w:ind w:left="180" w:right="20" w:firstLine="1296"/>
        <w:spacing w:after="0" w:line="272"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Reduction or Termination of Revolving Commitments</w:t>
      </w:r>
      <w:r>
        <w:rPr>
          <w:rFonts w:ascii="Arial" w:cs="Arial" w:eastAsia="Arial" w:hAnsi="Arial"/>
          <w:sz w:val="17"/>
          <w:szCs w:val="17"/>
          <w:color w:val="auto"/>
        </w:rPr>
        <w:t xml:space="preserve">. Upon Requisite Notice to Administrative Agent not later than the Requisite Time therefor, Borrower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amount of such reduction.</w:t>
      </w:r>
    </w:p>
    <w:p>
      <w:pPr>
        <w:spacing w:after="0" w:line="178"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225" w:lineRule="exact"/>
        <w:rPr>
          <w:sz w:val="20"/>
          <w:szCs w:val="20"/>
          <w:color w:val="auto"/>
        </w:rPr>
      </w:pPr>
    </w:p>
    <w:p>
      <w:pPr>
        <w:jc w:val="both"/>
        <w:ind w:right="100" w:firstLine="1305"/>
        <w:spacing w:after="0" w:line="259" w:lineRule="auto"/>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not prepay any Competitive Loan without the prior written consent of the Lender thereof. Administrative Agent will promptly notify each relevant Lender thereof and of such Lender’s percentage of such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3" w:name="page84"/>
    <w:bookmarkEnd w:id="83"/>
    <w:p>
      <w:pPr>
        <w:ind w:right="320"/>
        <w:spacing w:after="0" w:line="277" w:lineRule="auto"/>
        <w:rPr>
          <w:sz w:val="20"/>
          <w:szCs w:val="20"/>
          <w:color w:val="auto"/>
        </w:rPr>
      </w:pPr>
      <w:r>
        <w:rPr>
          <w:rFonts w:ascii="Arial" w:cs="Arial" w:eastAsia="Arial" w:hAnsi="Arial"/>
          <w:sz w:val="18"/>
          <w:szCs w:val="18"/>
          <w:color w:val="auto"/>
        </w:rPr>
        <w:t>prepayment. Any prepayment of a Eurodollar Rate Loan shall be accompanied by all accrued interest thereon, together with the costs set forth in Section 3.05.</w:t>
      </w:r>
    </w:p>
    <w:p>
      <w:pPr>
        <w:spacing w:after="0" w:line="170" w:lineRule="exact"/>
        <w:rPr>
          <w:sz w:val="20"/>
          <w:szCs w:val="20"/>
          <w:color w:val="auto"/>
        </w:rPr>
      </w:pPr>
    </w:p>
    <w:p>
      <w:pPr>
        <w:ind w:right="140" w:firstLine="1305"/>
        <w:spacing w:after="0" w:line="259" w:lineRule="auto"/>
        <w:tabs>
          <w:tab w:leader="none" w:pos="15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for any reason (other than a result of currency fluctuation, which prepayment requirement shall be governed by Section 2.15) the Dollar Amount of the Outstanding Revolving Obligations of all Lenders plus the aggregate principal amount of outstanding Competitive Loans at any time exceeds the combined Revolving Commitments from time to time in effect, Borrower shall immediately prepay Revolving Loans and/or deposit cash in a Letter of Credit Cash Collateral Account in an aggregate amount equal to such excess.</w:t>
      </w:r>
    </w:p>
    <w:p>
      <w:pPr>
        <w:spacing w:after="0" w:line="187"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Documentation of Loans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5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86" w:lineRule="exact"/>
        <w:rPr>
          <w:rFonts w:ascii="Arial" w:cs="Arial" w:eastAsia="Arial" w:hAnsi="Arial"/>
          <w:sz w:val="18"/>
          <w:szCs w:val="18"/>
          <w:color w:val="auto"/>
        </w:rPr>
      </w:pPr>
    </w:p>
    <w:p>
      <w:pPr>
        <w:jc w:val="both"/>
        <w:ind w:right="200" w:firstLine="1305"/>
        <w:spacing w:after="0" w:line="297" w:lineRule="auto"/>
        <w:tabs>
          <w:tab w:leader="none" w:pos="15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58" w:lineRule="exact"/>
        <w:rPr>
          <w:rFonts w:ascii="Arial" w:cs="Arial" w:eastAsia="Arial" w:hAnsi="Arial"/>
          <w:sz w:val="16"/>
          <w:szCs w:val="16"/>
          <w:color w:val="auto"/>
        </w:rPr>
      </w:pPr>
    </w:p>
    <w:p>
      <w:pPr>
        <w:ind w:right="240" w:firstLine="1305"/>
        <w:spacing w:after="0" w:line="259" w:lineRule="auto"/>
        <w:tabs>
          <w:tab w:leader="none" w:pos="15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86" w:lineRule="exact"/>
        <w:rPr>
          <w:rFonts w:ascii="Arial" w:cs="Arial" w:eastAsia="Arial" w:hAnsi="Arial"/>
          <w:sz w:val="18"/>
          <w:szCs w:val="18"/>
          <w:color w:val="auto"/>
        </w:rPr>
      </w:pPr>
    </w:p>
    <w:p>
      <w:pPr>
        <w:ind w:right="160" w:firstLine="1305"/>
        <w:spacing w:after="0" w:line="257" w:lineRule="auto"/>
        <w:tabs>
          <w:tab w:leader="none" w:pos="15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188" w:lineRule="exact"/>
        <w:rPr>
          <w:rFonts w:ascii="Arial" w:cs="Arial" w:eastAsia="Arial" w:hAnsi="Arial"/>
          <w:sz w:val="18"/>
          <w:szCs w:val="18"/>
          <w:color w:val="auto"/>
        </w:rPr>
      </w:pPr>
    </w:p>
    <w:p>
      <w:pPr>
        <w:ind w:right="60" w:firstLine="1305"/>
        <w:spacing w:after="0" w:line="255" w:lineRule="auto"/>
        <w:tabs>
          <w:tab w:leader="none" w:pos="15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Borrower,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84" w:name="page85"/>
    <w:bookmarkEnd w:id="84"/>
    <w:p>
      <w:pPr>
        <w:ind w:right="800"/>
        <w:spacing w:after="0" w:line="277" w:lineRule="auto"/>
        <w:rPr>
          <w:sz w:val="20"/>
          <w:szCs w:val="20"/>
          <w:color w:val="auto"/>
        </w:rPr>
      </w:pPr>
      <w:r>
        <w:rPr>
          <w:rFonts w:ascii="Arial" w:cs="Arial" w:eastAsia="Arial" w:hAnsi="Arial"/>
          <w:sz w:val="18"/>
          <w:szCs w:val="18"/>
          <w:color w:val="auto"/>
        </w:rPr>
        <w:t>listed in the Register as a Lender shall be conclusive and binding on any subsequent holder, assignee or transferee of the corresponding Revolving Commitments or Outstanding Revolving Obligations or outstanding Competitive Loans.</w:t>
      </w:r>
    </w:p>
    <w:p>
      <w:pPr>
        <w:spacing w:after="0" w:line="170"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Continuation and Conversion Option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5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Subject to Section 2.08(d), 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of Loans denominated in Dollars shall constitute </w:t>
      </w:r>
      <w:r>
        <w:rPr>
          <w:rFonts w:ascii="Arial" w:cs="Arial" w:eastAsia="Arial" w:hAnsi="Arial"/>
          <w:sz w:val="18"/>
          <w:szCs w:val="18"/>
          <w:color w:val="FF0000"/>
          <w:strike w:val="1"/>
        </w:rPr>
        <w:t>Base Rate</w:t>
      </w:r>
      <w:r>
        <w:rPr>
          <w:rFonts w:ascii="Arial" w:cs="Arial" w:eastAsia="Arial" w:hAnsi="Arial"/>
          <w:sz w:val="18"/>
          <w:szCs w:val="18"/>
          <w:u w:val="single" w:color="auto"/>
          <w:color w:val="0000FF"/>
        </w:rPr>
        <w:t>ABR</w:t>
      </w:r>
      <w:r>
        <w:rPr>
          <w:rFonts w:ascii="Arial" w:cs="Arial" w:eastAsia="Arial" w:hAnsi="Arial"/>
          <w:sz w:val="18"/>
          <w:szCs w:val="18"/>
          <w:color w:val="auto"/>
        </w:rPr>
        <w:t xml:space="preserve"> Loans unless properly and timely otherwise designated as set forth in the prior sentence.</w:t>
      </w:r>
    </w:p>
    <w:p>
      <w:pPr>
        <w:spacing w:after="0" w:line="186" w:lineRule="exact"/>
        <w:rPr>
          <w:rFonts w:ascii="Arial" w:cs="Arial" w:eastAsia="Arial" w:hAnsi="Arial"/>
          <w:sz w:val="18"/>
          <w:szCs w:val="18"/>
          <w:color w:val="auto"/>
        </w:rPr>
      </w:pPr>
    </w:p>
    <w:p>
      <w:pPr>
        <w:ind w:right="80" w:firstLine="1305"/>
        <w:spacing w:after="0" w:line="279" w:lineRule="auto"/>
        <w:tabs>
          <w:tab w:leader="none" w:pos="15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Unless Borrower pays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w:t>
      </w:r>
      <w:r>
        <w:rPr>
          <w:rFonts w:ascii="Arial" w:cs="Arial" w:eastAsia="Arial" w:hAnsi="Arial"/>
          <w:sz w:val="17"/>
          <w:szCs w:val="17"/>
          <w:color w:val="FF0000"/>
          <w:strike w:val="1"/>
        </w:rPr>
        <w:t>Base Rate</w:t>
      </w:r>
      <w:r>
        <w:rPr>
          <w:rFonts w:ascii="Arial" w:cs="Arial" w:eastAsia="Arial" w:hAnsi="Arial"/>
          <w:sz w:val="17"/>
          <w:szCs w:val="17"/>
          <w:u w:val="single" w:color="auto"/>
          <w:color w:val="0000FF"/>
        </w:rPr>
        <w:t>ABR</w:t>
      </w:r>
      <w:r>
        <w:rPr>
          <w:rFonts w:ascii="Arial" w:cs="Arial" w:eastAsia="Arial" w:hAnsi="Arial"/>
          <w:sz w:val="17"/>
          <w:szCs w:val="17"/>
          <w:color w:val="auto"/>
        </w:rPr>
        <w:t xml:space="preserve"> Loans.</w:t>
      </w:r>
    </w:p>
    <w:p>
      <w:pPr>
        <w:spacing w:after="0" w:line="171" w:lineRule="exact"/>
        <w:rPr>
          <w:rFonts w:ascii="Arial" w:cs="Arial" w:eastAsia="Arial" w:hAnsi="Arial"/>
          <w:sz w:val="17"/>
          <w:szCs w:val="17"/>
          <w:color w:val="auto"/>
        </w:rPr>
      </w:pPr>
    </w:p>
    <w:p>
      <w:pPr>
        <w:ind w:firstLine="1305"/>
        <w:spacing w:after="0" w:line="264" w:lineRule="auto"/>
        <w:tabs>
          <w:tab w:leader="none" w:pos="15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Administrative Agent shall promptly notify Borrower and Lenders of the interest rate applicable to any Eurodollar Rate Loan upon determination of the same. Administrative Agent shall from time to time notify Borrower and Lenders of any change in JPMorgan Chase’s prime rate used in determining the </w:t>
      </w:r>
      <w:r>
        <w:rPr>
          <w:rFonts w:ascii="Arial" w:cs="Arial" w:eastAsia="Arial" w:hAnsi="Arial"/>
          <w:sz w:val="18"/>
          <w:szCs w:val="18"/>
          <w:u w:val="single" w:color="auto"/>
          <w:color w:val="0000FF"/>
        </w:rPr>
        <w:t>Alternate</w:t>
      </w:r>
      <w:r>
        <w:rPr>
          <w:rFonts w:ascii="Arial" w:cs="Arial" w:eastAsia="Arial" w:hAnsi="Arial"/>
          <w:sz w:val="18"/>
          <w:szCs w:val="18"/>
          <w:color w:val="auto"/>
        </w:rPr>
        <w:t xml:space="preserve"> Base Rate promptly following the public announcement of such change.</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225"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59" w:lineRule="auto"/>
        <w:tabs>
          <w:tab w:leader="none" w:pos="15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7" w:lineRule="exact"/>
        <w:rPr>
          <w:sz w:val="20"/>
          <w:szCs w:val="20"/>
          <w:color w:val="auto"/>
        </w:rPr>
      </w:pPr>
    </w:p>
    <w:p>
      <w:pPr>
        <w:ind w:left="1560" w:hanging="255"/>
        <w:spacing w:after="0"/>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color w:val="FF0000"/>
          <w:strike w:val="1"/>
        </w:rPr>
        <w:t>Base Rate</w:t>
      </w:r>
      <w:r>
        <w:rPr>
          <w:rFonts w:ascii="Arial" w:cs="Arial" w:eastAsia="Arial" w:hAnsi="Arial"/>
          <w:sz w:val="18"/>
          <w:szCs w:val="18"/>
          <w:u w:val="single" w:color="auto"/>
          <w:color w:val="0000FF"/>
        </w:rPr>
        <w:t>ABR</w:t>
      </w:r>
      <w:r>
        <w:rPr>
          <w:rFonts w:ascii="Arial" w:cs="Arial" w:eastAsia="Arial" w:hAnsi="Arial"/>
          <w:sz w:val="18"/>
          <w:szCs w:val="18"/>
          <w:color w:val="auto"/>
        </w:rPr>
        <w:t xml:space="preserve"> Loans, the </w:t>
      </w:r>
      <w:r>
        <w:rPr>
          <w:rFonts w:ascii="Arial" w:cs="Arial" w:eastAsia="Arial" w:hAnsi="Arial"/>
          <w:sz w:val="18"/>
          <w:szCs w:val="18"/>
          <w:u w:val="single" w:color="auto"/>
          <w:color w:val="0000FF"/>
        </w:rPr>
        <w:t>Alternate</w:t>
      </w:r>
      <w:r>
        <w:rPr>
          <w:rFonts w:ascii="Arial" w:cs="Arial" w:eastAsia="Arial" w:hAnsi="Arial"/>
          <w:sz w:val="18"/>
          <w:szCs w:val="18"/>
          <w:color w:val="auto"/>
        </w:rPr>
        <w:t xml:space="preserve"> Base Rate plus the Applicable Amount for such type of Loan;</w:t>
      </w:r>
    </w:p>
    <w:p>
      <w:pPr>
        <w:spacing w:after="0" w:line="225" w:lineRule="exact"/>
        <w:rPr>
          <w:rFonts w:ascii="Arial" w:cs="Arial" w:eastAsia="Arial" w:hAnsi="Arial"/>
          <w:sz w:val="18"/>
          <w:szCs w:val="18"/>
          <w:color w:val="auto"/>
        </w:rPr>
      </w:pPr>
    </w:p>
    <w:p>
      <w:pPr>
        <w:ind w:right="400" w:firstLine="1305"/>
        <w:spacing w:after="0" w:line="277" w:lineRule="auto"/>
        <w:tabs>
          <w:tab w:leader="none" w:pos="16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Eurodollar Rate Loans (other than Competitive Loans), the Eurodollar Rate for the Interest Period in effect for such Borrowing plus the Applicable Amount for such type of Loan;</w:t>
      </w:r>
    </w:p>
    <w:p>
      <w:pPr>
        <w:spacing w:after="0" w:line="170" w:lineRule="exact"/>
        <w:rPr>
          <w:rFonts w:ascii="Arial" w:cs="Arial" w:eastAsia="Arial" w:hAnsi="Arial"/>
          <w:sz w:val="18"/>
          <w:szCs w:val="18"/>
          <w:color w:val="auto"/>
        </w:rPr>
      </w:pPr>
    </w:p>
    <w:p>
      <w:pPr>
        <w:ind w:right="700" w:firstLine="1305"/>
        <w:spacing w:after="0" w:line="277" w:lineRule="auto"/>
        <w:tabs>
          <w:tab w:leader="none" w:pos="16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Competitive Loans that are Eurodollar Rate Loans, the Eurodollar Rate for the Interest Period in effect for such Borrowing plus (or minus, as the case may be) Margin applicable to such Loan;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225" w:lineRule="exact"/>
        <w:rPr>
          <w:sz w:val="20"/>
          <w:szCs w:val="20"/>
          <w:color w:val="auto"/>
        </w:rPr>
      </w:pPr>
    </w:p>
    <w:p>
      <w:pPr>
        <w:ind w:right="20" w:firstLine="1305"/>
        <w:spacing w:after="0" w:line="264" w:lineRule="auto"/>
        <w:tabs>
          <w:tab w:leader="none" w:pos="16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Law. Accrued and unpaid interest on past due amounts (including interest on past due interest) shall be payable upon demand.</w:t>
      </w:r>
    </w:p>
    <w:p>
      <w:pPr>
        <w:spacing w:after="0" w:line="225" w:lineRule="exact"/>
        <w:rPr>
          <w:sz w:val="20"/>
          <w:szCs w:val="20"/>
          <w:color w:val="auto"/>
        </w:rPr>
      </w:pPr>
    </w:p>
    <w:p>
      <w:pPr>
        <w:ind w:right="980" w:firstLine="1305"/>
        <w:spacing w:after="0" w:line="277" w:lineRule="auto"/>
        <w:tabs>
          <w:tab w:leader="none" w:pos="16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On any Business Day, Borrower may call Administrative Agent and request information as to the then current Eurodollar </w:t>
      </w:r>
      <w:r>
        <w:rPr>
          <w:rFonts w:ascii="Arial" w:cs="Arial" w:eastAsia="Arial" w:hAnsi="Arial"/>
          <w:sz w:val="18"/>
          <w:szCs w:val="18"/>
          <w:u w:val="single" w:color="auto"/>
          <w:color w:val="0000FF"/>
        </w:rPr>
        <w:t>Rate or Alternate</w:t>
      </w:r>
      <w:r>
        <w:rPr>
          <w:rFonts w:ascii="Arial" w:cs="Arial" w:eastAsia="Arial" w:hAnsi="Arial"/>
          <w:sz w:val="18"/>
          <w:szCs w:val="18"/>
          <w:color w:val="0000FF"/>
        </w:rPr>
        <w:t xml:space="preserve"> </w:t>
      </w:r>
      <w:r>
        <w:rPr>
          <w:rFonts w:ascii="Arial" w:cs="Arial" w:eastAsia="Arial" w:hAnsi="Arial"/>
          <w:sz w:val="18"/>
          <w:szCs w:val="18"/>
          <w:color w:val="000000"/>
        </w:rPr>
        <w:t>Base Rate</w:t>
      </w:r>
      <w:r>
        <w:rPr>
          <w:rFonts w:ascii="Arial" w:cs="Arial" w:eastAsia="Arial" w:hAnsi="Arial"/>
          <w:sz w:val="18"/>
          <w:szCs w:val="18"/>
          <w:color w:val="0000FF"/>
        </w:rPr>
        <w:t xml:space="preserve"> </w:t>
      </w:r>
      <w:r>
        <w:rPr>
          <w:rFonts w:ascii="Arial" w:cs="Arial" w:eastAsia="Arial" w:hAnsi="Arial"/>
          <w:sz w:val="18"/>
          <w:szCs w:val="18"/>
          <w:color w:val="FF0000"/>
          <w:strike w:val="1"/>
        </w:rPr>
        <w:t>or Base Rate</w:t>
      </w:r>
      <w:r>
        <w:rPr>
          <w:rFonts w:ascii="Arial" w:cs="Arial" w:eastAsia="Arial" w:hAnsi="Arial"/>
          <w:sz w:val="18"/>
          <w:szCs w:val="18"/>
          <w:color w:val="000000"/>
        </w:rPr>
        <w:t>, and Administrative Agent shall provide such information.</w:t>
      </w:r>
    </w:p>
    <w:p>
      <w:pPr>
        <w:spacing w:after="0" w:line="170"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25" w:lineRule="exact"/>
        <w:rPr>
          <w:sz w:val="20"/>
          <w:szCs w:val="20"/>
          <w:color w:val="auto"/>
        </w:rPr>
      </w:pPr>
    </w:p>
    <w:p>
      <w:pPr>
        <w:ind w:firstLine="1305"/>
        <w:spacing w:after="0" w:line="254" w:lineRule="auto"/>
        <w:tabs>
          <w:tab w:leader="none" w:pos="158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to Administrative Agent,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92" w:lineRule="exact"/>
        <w:rPr>
          <w:rFonts w:ascii="Arial" w:cs="Arial" w:eastAsia="Arial" w:hAnsi="Arial"/>
          <w:sz w:val="18"/>
          <w:szCs w:val="18"/>
          <w:color w:val="auto"/>
        </w:rPr>
      </w:pPr>
    </w:p>
    <w:p>
      <w:pPr>
        <w:ind w:firstLine="1305"/>
        <w:spacing w:after="0" w:line="277" w:lineRule="auto"/>
        <w:tabs>
          <w:tab w:leader="none" w:pos="159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70" w:lineRule="exact"/>
        <w:rPr>
          <w:sz w:val="20"/>
          <w:szCs w:val="20"/>
          <w:color w:val="auto"/>
        </w:rPr>
      </w:pPr>
    </w:p>
    <w:p>
      <w:pPr>
        <w:jc w:val="both"/>
        <w:ind w:left="180" w:firstLine="1296"/>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Computation of interest on </w:t>
      </w:r>
      <w:r>
        <w:rPr>
          <w:rFonts w:ascii="Arial" w:cs="Arial" w:eastAsia="Arial" w:hAnsi="Arial"/>
          <w:sz w:val="17"/>
          <w:szCs w:val="17"/>
          <w:color w:val="FF0000"/>
          <w:strike w:val="1"/>
        </w:rPr>
        <w:t>Base Rate</w:t>
      </w:r>
      <w:r>
        <w:rPr>
          <w:rFonts w:ascii="Arial" w:cs="Arial" w:eastAsia="Arial" w:hAnsi="Arial"/>
          <w:sz w:val="17"/>
          <w:szCs w:val="17"/>
          <w:u w:val="single" w:color="auto"/>
          <w:color w:val="0000FF"/>
        </w:rPr>
        <w:t>ABR</w:t>
      </w:r>
      <w:r>
        <w:rPr>
          <w:rFonts w:ascii="Arial" w:cs="Arial" w:eastAsia="Arial" w:hAnsi="Arial"/>
          <w:sz w:val="17"/>
          <w:szCs w:val="17"/>
          <w:color w:val="auto"/>
        </w:rPr>
        <w:t xml:space="preserve"> Loans when the </w:t>
      </w:r>
      <w:r>
        <w:rPr>
          <w:rFonts w:ascii="Arial" w:cs="Arial" w:eastAsia="Arial" w:hAnsi="Arial"/>
          <w:sz w:val="17"/>
          <w:szCs w:val="17"/>
          <w:u w:val="single" w:color="auto"/>
          <w:color w:val="0000FF"/>
        </w:rPr>
        <w:t>Alternate</w:t>
      </w:r>
      <w:r>
        <w:rPr>
          <w:rFonts w:ascii="Arial" w:cs="Arial" w:eastAsia="Arial" w:hAnsi="Arial"/>
          <w:sz w:val="17"/>
          <w:szCs w:val="17"/>
          <w:color w:val="auto"/>
        </w:rPr>
        <w:t xml:space="preserve"> Base Rate is </w:t>
      </w:r>
      <w:r>
        <w:rPr>
          <w:rFonts w:ascii="Arial" w:cs="Arial" w:eastAsia="Arial" w:hAnsi="Arial"/>
          <w:sz w:val="17"/>
          <w:szCs w:val="17"/>
          <w:color w:val="FF0000"/>
          <w:strike w:val="1"/>
        </w:rPr>
        <w:t>determined</w:t>
      </w:r>
      <w:r>
        <w:rPr>
          <w:rFonts w:ascii="Arial" w:cs="Arial" w:eastAsia="Arial" w:hAnsi="Arial"/>
          <w:sz w:val="17"/>
          <w:szCs w:val="17"/>
          <w:color w:val="auto"/>
        </w:rPr>
        <w:t xml:space="preserve"> </w:t>
      </w:r>
      <w:r>
        <w:rPr>
          <w:rFonts w:ascii="Arial" w:cs="Arial" w:eastAsia="Arial" w:hAnsi="Arial"/>
          <w:sz w:val="17"/>
          <w:szCs w:val="17"/>
          <w:color w:val="FF0000"/>
          <w:strike w:val="1"/>
        </w:rPr>
        <w:t>by JPMorgan Chase’s “prime rate”</w:t>
      </w:r>
      <w:r>
        <w:rPr>
          <w:rFonts w:ascii="Arial" w:cs="Arial" w:eastAsia="Arial" w:hAnsi="Arial"/>
          <w:sz w:val="17"/>
          <w:szCs w:val="17"/>
          <w:u w:val="single" w:color="auto"/>
          <w:color w:val="0000FF"/>
        </w:rPr>
        <w:t>based on the Prime Rate</w:t>
      </w:r>
      <w:r>
        <w:rPr>
          <w:rFonts w:ascii="Arial" w:cs="Arial" w:eastAsia="Arial" w:hAnsi="Arial"/>
          <w:sz w:val="17"/>
          <w:szCs w:val="17"/>
          <w:color w:val="FF0000"/>
        </w:rPr>
        <w:t xml:space="preserve"> </w:t>
      </w:r>
      <w:r>
        <w:rPr>
          <w:rFonts w:ascii="Arial" w:cs="Arial" w:eastAsia="Arial" w:hAnsi="Arial"/>
          <w:sz w:val="17"/>
          <w:szCs w:val="17"/>
          <w:color w:val="000000"/>
        </w:rPr>
        <w:t>shall be calculated on the basis of a year of 365 or 366 days, as the case may be, and the actual</w:t>
      </w:r>
      <w:r>
        <w:rPr>
          <w:rFonts w:ascii="Arial" w:cs="Arial" w:eastAsia="Arial" w:hAnsi="Arial"/>
          <w:sz w:val="17"/>
          <w:szCs w:val="17"/>
          <w:color w:val="FF0000"/>
        </w:rPr>
        <w:t xml:space="preserve"> </w:t>
      </w:r>
      <w:r>
        <w:rPr>
          <w:rFonts w:ascii="Arial" w:cs="Arial" w:eastAsia="Arial" w:hAnsi="Arial"/>
          <w:sz w:val="17"/>
          <w:szCs w:val="17"/>
          <w:color w:val="000000"/>
        </w:rPr>
        <w:t>number of days elapsed. Computation of all other types of interest and all fees shall be calculated on the basis of a year of 360 days or, in the case of any amount denominated in Sterling or Canadian Dollars, 365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78"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Making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16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188" w:lineRule="exact"/>
        <w:rPr>
          <w:rFonts w:ascii="Arial" w:cs="Arial" w:eastAsia="Arial" w:hAnsi="Arial"/>
          <w:sz w:val="18"/>
          <w:szCs w:val="18"/>
          <w:color w:val="auto"/>
        </w:rPr>
      </w:pPr>
    </w:p>
    <w:p>
      <w:pPr>
        <w:ind w:right="160" w:firstLine="1305"/>
        <w:spacing w:after="0" w:line="259" w:lineRule="auto"/>
        <w:tabs>
          <w:tab w:leader="none" w:pos="15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so satisfied, Administrative Agent shall return any funds it is holding to the Lenders making such funds available, without interest.</w:t>
      </w:r>
    </w:p>
    <w:p>
      <w:pPr>
        <w:spacing w:after="0" w:line="225" w:lineRule="exact"/>
        <w:rPr>
          <w:sz w:val="20"/>
          <w:szCs w:val="20"/>
          <w:color w:val="auto"/>
        </w:rPr>
      </w:pPr>
    </w:p>
    <w:p>
      <w:pPr>
        <w:jc w:val="both"/>
        <w:ind w:firstLine="1305"/>
        <w:spacing w:after="0" w:line="264" w:lineRule="auto"/>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Subject to Section 4.05, unless Borrower or any Lender has notified Administrative Agent, prior to the Requisite Time any payment</w:t>
      </w:r>
    </w:p>
    <w:p>
      <w:pPr>
        <w:spacing w:after="0" w:line="3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55" w:lineRule="exact"/>
        <w:rPr>
          <w:sz w:val="20"/>
          <w:szCs w:val="20"/>
          <w:color w:val="auto"/>
        </w:rPr>
      </w:pPr>
    </w:p>
    <w:p>
      <w:pPr>
        <w:ind w:left="1300" w:right="240" w:firstLine="653"/>
        <w:spacing w:after="0" w:line="259" w:lineRule="auto"/>
        <w:tabs>
          <w:tab w:leader="none" w:pos="22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6" w:lineRule="exact"/>
        <w:rPr>
          <w:rFonts w:ascii="Arial" w:cs="Arial" w:eastAsia="Arial" w:hAnsi="Arial"/>
          <w:sz w:val="18"/>
          <w:szCs w:val="18"/>
          <w:color w:val="auto"/>
        </w:rPr>
      </w:pPr>
    </w:p>
    <w:p>
      <w:pPr>
        <w:ind w:left="1300" w:right="160" w:firstLine="653"/>
        <w:spacing w:after="0" w:line="270" w:lineRule="auto"/>
        <w:tabs>
          <w:tab w:leader="none" w:pos="2258"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181" w:lineRule="exact"/>
        <w:rPr>
          <w:rFonts w:ascii="Arial" w:cs="Arial" w:eastAsia="Arial" w:hAnsi="Arial"/>
          <w:sz w:val="17"/>
          <w:szCs w:val="17"/>
          <w:color w:val="auto"/>
        </w:rPr>
      </w:pPr>
    </w:p>
    <w:p>
      <w:pPr>
        <w:ind w:right="20" w:firstLine="1305"/>
        <w:spacing w:after="0" w:line="259" w:lineRule="auto"/>
        <w:tabs>
          <w:tab w:leader="none" w:pos="15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ind w:left="180" w:right="200" w:firstLine="1296"/>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1" w:lineRule="exact"/>
        <w:rPr>
          <w:sz w:val="20"/>
          <w:szCs w:val="20"/>
          <w:color w:val="auto"/>
        </w:rPr>
      </w:pPr>
    </w:p>
    <w:p>
      <w:pPr>
        <w:ind w:left="180" w:right="600" w:firstLine="1296"/>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ind w:left="1480" w:hanging="295"/>
        <w:spacing w:after="0"/>
        <w:tabs>
          <w:tab w:leader="none" w:pos="14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Fees set forth in Section 2.10(a) shall cease to accrue on the unfunded portion of the Commitments of such Defaulting Lender;</w:t>
      </w:r>
    </w:p>
    <w:p>
      <w:pPr>
        <w:spacing w:after="0" w:line="236" w:lineRule="exact"/>
        <w:rPr>
          <w:rFonts w:ascii="Arial" w:cs="Arial" w:eastAsia="Arial" w:hAnsi="Arial"/>
          <w:sz w:val="17"/>
          <w:szCs w:val="17"/>
          <w:color w:val="auto"/>
        </w:rPr>
      </w:pPr>
    </w:p>
    <w:p>
      <w:pPr>
        <w:jc w:val="both"/>
        <w:ind w:left="-120" w:right="220" w:firstLine="1305"/>
        <w:spacing w:after="0" w:line="264" w:lineRule="auto"/>
        <w:tabs>
          <w:tab w:leader="none" w:pos="14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81" w:lineRule="exact"/>
        <w:rPr>
          <w:rFonts w:ascii="Arial" w:cs="Arial" w:eastAsia="Arial" w:hAnsi="Arial"/>
          <w:sz w:val="18"/>
          <w:szCs w:val="18"/>
          <w:color w:val="auto"/>
        </w:rPr>
      </w:pPr>
    </w:p>
    <w:p>
      <w:pPr>
        <w:ind w:left="-120" w:firstLine="1305"/>
        <w:spacing w:after="0" w:line="273" w:lineRule="auto"/>
        <w:tabs>
          <w:tab w:leader="none" w:pos="146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Revolving Commitments or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78" w:lineRule="exact"/>
        <w:rPr>
          <w:rFonts w:ascii="Arial" w:cs="Arial" w:eastAsia="Arial" w:hAnsi="Arial"/>
          <w:sz w:val="17"/>
          <w:szCs w:val="17"/>
          <w:color w:val="auto"/>
        </w:rPr>
      </w:pPr>
    </w:p>
    <w:p>
      <w:pPr>
        <w:ind w:left="1580" w:hanging="395"/>
        <w:spacing w:after="0"/>
        <w:tabs>
          <w:tab w:leader="none" w:pos="1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any Letter of Credit Usage exists at the time a Lender becomes a Defaulting Lender then:</w:t>
      </w:r>
    </w:p>
    <w:p>
      <w:pPr>
        <w:spacing w:after="0" w:line="225" w:lineRule="exact"/>
        <w:rPr>
          <w:rFonts w:ascii="Arial" w:cs="Arial" w:eastAsia="Arial" w:hAnsi="Arial"/>
          <w:sz w:val="18"/>
          <w:szCs w:val="18"/>
          <w:color w:val="auto"/>
        </w:rPr>
      </w:pPr>
    </w:p>
    <w:p>
      <w:pPr>
        <w:ind w:left="1180" w:right="100" w:firstLine="653"/>
        <w:spacing w:after="0" w:line="279" w:lineRule="auto"/>
        <w:tabs>
          <w:tab w:leader="none" w:pos="208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171" w:lineRule="exact"/>
        <w:rPr>
          <w:rFonts w:ascii="Arial" w:cs="Arial" w:eastAsia="Arial" w:hAnsi="Arial"/>
          <w:sz w:val="17"/>
          <w:szCs w:val="17"/>
          <w:color w:val="auto"/>
        </w:rPr>
      </w:pPr>
    </w:p>
    <w:p>
      <w:pPr>
        <w:ind w:left="1180" w:right="120" w:firstLine="653"/>
        <w:spacing w:after="0" w:line="257" w:lineRule="auto"/>
        <w:tabs>
          <w:tab w:leader="none" w:pos="21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188" w:lineRule="exact"/>
        <w:rPr>
          <w:rFonts w:ascii="Arial" w:cs="Arial" w:eastAsia="Arial" w:hAnsi="Arial"/>
          <w:sz w:val="18"/>
          <w:szCs w:val="18"/>
          <w:color w:val="auto"/>
        </w:rPr>
      </w:pPr>
    </w:p>
    <w:p>
      <w:pPr>
        <w:ind w:left="1180" w:right="140" w:firstLine="653"/>
        <w:spacing w:after="0" w:line="259" w:lineRule="auto"/>
        <w:tabs>
          <w:tab w:leader="none" w:pos="21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186" w:lineRule="exact"/>
        <w:rPr>
          <w:rFonts w:ascii="Arial" w:cs="Arial" w:eastAsia="Arial" w:hAnsi="Arial"/>
          <w:sz w:val="18"/>
          <w:szCs w:val="18"/>
          <w:color w:val="auto"/>
        </w:rPr>
      </w:pPr>
    </w:p>
    <w:p>
      <w:pPr>
        <w:ind w:left="2180" w:hanging="347"/>
        <w:spacing w:after="0"/>
        <w:tabs>
          <w:tab w:leader="none" w:pos="21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if the Letter of Credit Usage attributable to the Defaulting Lenders is reallocated pursuant to this subsection (d), then the</w:t>
      </w:r>
    </w:p>
    <w:p>
      <w:pPr>
        <w:spacing w:after="0" w:line="35" w:lineRule="exact"/>
        <w:rPr>
          <w:sz w:val="20"/>
          <w:szCs w:val="20"/>
          <w:color w:val="auto"/>
        </w:rPr>
      </w:pPr>
    </w:p>
    <w:p>
      <w:pPr>
        <w:ind w:left="1180" w:right="240"/>
        <w:spacing w:after="0" w:line="261" w:lineRule="auto"/>
        <w:rPr>
          <w:sz w:val="20"/>
          <w:szCs w:val="20"/>
          <w:color w:val="auto"/>
        </w:rPr>
      </w:pPr>
      <w:r>
        <w:rPr>
          <w:rFonts w:ascii="Arial" w:cs="Arial" w:eastAsia="Arial" w:hAnsi="Arial"/>
          <w:sz w:val="18"/>
          <w:szCs w:val="18"/>
          <w:color w:val="auto"/>
        </w:rPr>
        <w:t>fees payable to the non-Defaulting Lenders pursuant to Section 2.03(j) and Section 2.10(a) shall be adjusted in accordance with the non-Defaulting Lenders’ respective Revolving Percentages to account for such reallocation; and</w:t>
      </w:r>
    </w:p>
    <w:p>
      <w:pPr>
        <w:spacing w:after="0" w:line="184" w:lineRule="exact"/>
        <w:rPr>
          <w:sz w:val="20"/>
          <w:szCs w:val="20"/>
          <w:color w:val="auto"/>
        </w:rPr>
      </w:pPr>
    </w:p>
    <w:p>
      <w:pPr>
        <w:ind w:left="1180" w:right="800" w:firstLine="653"/>
        <w:spacing w:after="0" w:line="342" w:lineRule="auto"/>
        <w:tabs>
          <w:tab w:leader="none" w:pos="21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any Defaulting Lender’s participation in all Letter of Credit Usage is neither cash collateralized, backstopped nor reallocated pursuant to this subsection (d), then, without prejudice to any rights or remedies of Issuing Lenders or any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60" w:top="584" w:right="299" w:bottom="1440" w:gutter="0" w:footer="0" w:header="0"/>
        </w:sectPr>
      </w:pPr>
    </w:p>
    <w:bookmarkStart w:id="88" w:name="page89"/>
    <w:bookmarkEnd w:id="88"/>
    <w:p>
      <w:pPr>
        <w:ind w:left="1292" w:right="280"/>
        <w:spacing w:after="0" w:line="264" w:lineRule="auto"/>
        <w:rPr>
          <w:sz w:val="20"/>
          <w:szCs w:val="20"/>
          <w:color w:val="auto"/>
        </w:rPr>
      </w:pPr>
      <w:r>
        <w:rPr>
          <w:rFonts w:ascii="Arial" w:cs="Arial" w:eastAsia="Arial" w:hAnsi="Arial"/>
          <w:sz w:val="18"/>
          <w:szCs w:val="18"/>
          <w:color w:val="auto"/>
        </w:rPr>
        <w:t>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81" w:lineRule="exact"/>
        <w:rPr>
          <w:sz w:val="20"/>
          <w:szCs w:val="20"/>
          <w:color w:val="auto"/>
        </w:rPr>
      </w:pPr>
    </w:p>
    <w:p>
      <w:pPr>
        <w:ind w:left="-8" w:right="40" w:firstLine="1305"/>
        <w:spacing w:after="0" w:line="257" w:lineRule="auto"/>
        <w:tabs>
          <w:tab w:leader="none" w:pos="15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88" w:lineRule="exact"/>
        <w:rPr>
          <w:rFonts w:ascii="Arial" w:cs="Arial" w:eastAsia="Arial" w:hAnsi="Arial"/>
          <w:sz w:val="18"/>
          <w:szCs w:val="18"/>
          <w:color w:val="auto"/>
        </w:rPr>
      </w:pPr>
    </w:p>
    <w:p>
      <w:pPr>
        <w:ind w:left="-8" w:right="20" w:firstLine="1305"/>
        <w:spacing w:after="0" w:line="257" w:lineRule="auto"/>
        <w:tabs>
          <w:tab w:leader="none" w:pos="15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88" w:lineRule="exact"/>
        <w:rPr>
          <w:sz w:val="20"/>
          <w:szCs w:val="20"/>
          <w:color w:val="auto"/>
        </w:rPr>
      </w:pPr>
    </w:p>
    <w:p>
      <w:pPr>
        <w:ind w:left="1452"/>
        <w:spacing w:after="0"/>
        <w:tabs>
          <w:tab w:leader="none" w:pos="1932"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Currency Equivalents</w:t>
      </w:r>
      <w:r>
        <w:rPr>
          <w:rFonts w:ascii="Arial" w:cs="Arial" w:eastAsia="Arial" w:hAnsi="Arial"/>
          <w:sz w:val="16"/>
          <w:szCs w:val="16"/>
          <w:color w:val="auto"/>
        </w:rPr>
        <w:t>.</w:t>
      </w:r>
    </w:p>
    <w:p>
      <w:pPr>
        <w:spacing w:after="0" w:line="225" w:lineRule="exact"/>
        <w:rPr>
          <w:sz w:val="20"/>
          <w:szCs w:val="20"/>
          <w:color w:val="auto"/>
        </w:rPr>
      </w:pPr>
    </w:p>
    <w:p>
      <w:pPr>
        <w:ind w:left="-8" w:right="180" w:firstLine="1305"/>
        <w:spacing w:after="0" w:line="291" w:lineRule="auto"/>
        <w:tabs>
          <w:tab w:leader="none" w:pos="1578" w:val="left"/>
        </w:tabs>
        <w:numPr>
          <w:ilvl w:val="1"/>
          <w:numId w:val="54"/>
        </w:numPr>
        <w:rPr>
          <w:rFonts w:ascii="Arial" w:cs="Arial" w:eastAsia="Arial" w:hAnsi="Arial"/>
          <w:sz w:val="16"/>
          <w:szCs w:val="16"/>
          <w:color w:val="auto"/>
        </w:rPr>
      </w:pPr>
      <w:r>
        <w:rPr>
          <w:rFonts w:ascii="Arial" w:cs="Arial" w:eastAsia="Arial" w:hAnsi="Arial"/>
          <w:sz w:val="16"/>
          <w:szCs w:val="16"/>
          <w:color w:val="auto"/>
        </w:rPr>
        <w:t>Administrative Agent shall determine the Dollar Amount of (i) the Letter of Credit Usage in respect of Letters of Credit denominated in an Alternative Currency based on the Exchange Rate (A) on or about the date of the related notice requesting the issuance of such Letter of Credit and</w:t>
      </w:r>
    </w:p>
    <w:p>
      <w:pPr>
        <w:jc w:val="both"/>
        <w:ind w:left="-8" w:right="180" w:firstLine="8"/>
        <w:spacing w:after="0" w:line="281" w:lineRule="auto"/>
        <w:tabs>
          <w:tab w:leader="none" w:pos="3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such other times as Administrative Agent may elect in its discretion (but in no case more frequently than monthly), (ii) the Loans denominated in an Alternative Currency based on the Exchange Rate (A) on or about the date of the related notice requesting any Borrowing, Continuation or Conversion and</w:t>
      </w:r>
    </w:p>
    <w:p>
      <w:pPr>
        <w:spacing w:after="0" w:line="1" w:lineRule="exact"/>
        <w:rPr>
          <w:rFonts w:ascii="Arial" w:cs="Arial" w:eastAsia="Arial" w:hAnsi="Arial"/>
          <w:sz w:val="16"/>
          <w:szCs w:val="16"/>
          <w:color w:val="auto"/>
        </w:rPr>
      </w:pPr>
    </w:p>
    <w:p>
      <w:pPr>
        <w:ind w:left="-8" w:right="320" w:firstLine="8"/>
        <w:spacing w:after="0" w:line="261" w:lineRule="auto"/>
        <w:tabs>
          <w:tab w:leader="none" w:pos="2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such other times as Administrative Agent may elect in its discretion (but in no case more frequently than monthly) and (iii) any other amount to be converted into Dollars in accordance with the provisions hereof at the time of such conversion.</w:t>
      </w:r>
    </w:p>
    <w:p>
      <w:pPr>
        <w:spacing w:after="0" w:line="183" w:lineRule="exact"/>
        <w:rPr>
          <w:rFonts w:ascii="Arial" w:cs="Arial" w:eastAsia="Arial" w:hAnsi="Arial"/>
          <w:sz w:val="18"/>
          <w:szCs w:val="18"/>
          <w:color w:val="auto"/>
        </w:rPr>
      </w:pPr>
    </w:p>
    <w:p>
      <w:pPr>
        <w:ind w:left="-8" w:firstLine="1305"/>
        <w:spacing w:after="0" w:line="272" w:lineRule="auto"/>
        <w:tabs>
          <w:tab w:leader="none" w:pos="158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after giving effect to any such determination of a Dollar Amount, the Letter of Credit Usage exceeds 105% of the Letter of Credit Sublimit, Borrower shall, within five Business Days of receipt of notice thereof from Administrative Agent setting forth such calculation in reasonable detail, deposit cash collateral in a Letter of Credit Cash Collateral Account in an amount equal to such excess. If after giving effect to any such determination of a Dollar Amount, the Dollar Amount of the Outstanding Revolving Obligations of all Lenders plus the aggregate principal amount of outstanding Competitive Loans at any time exceeds the combined Revolving Commitments from time to time in effect by more than 105%, Borrower shall, immediately upon receipt of notice thereof from Administrative Agent setting forth such calculation in reasonable detail, prepay Revolving Loans and/or deposit cash in a Letter of Credit Cash Collateral Account in an aggregate amount equal to such excess in accordance with Section 2.06(b).</w:t>
      </w:r>
    </w:p>
    <w:p>
      <w:pPr>
        <w:spacing w:after="0" w:line="17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584" w:right="299" w:bottom="1440" w:gutter="0" w:footer="0" w:header="0"/>
        </w:sectPr>
      </w:pPr>
    </w:p>
    <w:bookmarkStart w:id="89" w:name="page90"/>
    <w:bookmarkEnd w:id="89"/>
    <w:p>
      <w:pPr>
        <w:ind w:left="-80" w:firstLine="1305"/>
        <w:spacing w:after="0" w:line="284" w:lineRule="auto"/>
        <w:tabs>
          <w:tab w:leader="none" w:pos="150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396" w:lineRule="exact"/>
        <w:rPr>
          <w:rFonts w:ascii="Arial" w:cs="Arial" w:eastAsia="Arial" w:hAnsi="Arial"/>
          <w:sz w:val="16"/>
          <w:szCs w:val="16"/>
          <w:color w:val="auto"/>
        </w:rPr>
      </w:pPr>
    </w:p>
    <w:p>
      <w:pPr>
        <w:ind w:left="-80" w:right="280" w:firstLine="1305"/>
        <w:spacing w:after="0" w:line="279" w:lineRule="auto"/>
        <w:tabs>
          <w:tab w:leader="none" w:pos="1516"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71" w:lineRule="exact"/>
        <w:rPr>
          <w:rFonts w:ascii="Arial" w:cs="Arial" w:eastAsia="Arial" w:hAnsi="Arial"/>
          <w:sz w:val="17"/>
          <w:szCs w:val="17"/>
          <w:color w:val="auto"/>
        </w:rPr>
      </w:pPr>
    </w:p>
    <w:p>
      <w:pPr>
        <w:ind w:left="-80" w:right="40" w:firstLine="1305"/>
        <w:spacing w:after="0" w:line="293" w:lineRule="auto"/>
        <w:tabs>
          <w:tab w:leader="none" w:pos="15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Borrower agrees to indemnify each Lender Party for the full amount of Non-Excluded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w:t>
      </w:r>
      <w:r>
        <w:rPr>
          <w:rFonts w:ascii="Arial" w:cs="Arial" w:eastAsia="Arial" w:hAnsi="Arial"/>
          <w:sz w:val="16"/>
          <w:szCs w:val="16"/>
          <w:color w:val="010101"/>
        </w:rPr>
        <w:t>; provided, however, that</w:t>
      </w:r>
      <w:r>
        <w:rPr>
          <w:rFonts w:ascii="Arial" w:cs="Arial" w:eastAsia="Arial" w:hAnsi="Arial"/>
          <w:sz w:val="16"/>
          <w:szCs w:val="16"/>
          <w:color w:val="auto"/>
        </w:rPr>
        <w:t xml:space="preserve"> </w:t>
      </w:r>
      <w:r>
        <w:rPr>
          <w:rFonts w:ascii="Arial" w:cs="Arial" w:eastAsia="Arial" w:hAnsi="Arial"/>
          <w:sz w:val="16"/>
          <w:szCs w:val="16"/>
          <w:color w:val="010101"/>
        </w:rPr>
        <w:t>Borrower shall not be obligated to indemnify such recipient pursuant to this Section 3.01 in respect of interest, penalties and other liabilities attributable to any Non-Excluded Taxes or Other Taxes, if such interest, penalties other liabilities are attributable to the gross negligence or willful misconduct of such Lender Party. After a Lender Party learns of the imposition of Non-Excluded Taxes or Other Taxes, such Lender will act in good faith 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90" w:name="page91"/>
    <w:bookmarkEnd w:id="90"/>
    <w:p>
      <w:pPr>
        <w:ind w:right="80"/>
        <w:spacing w:after="0" w:line="308" w:lineRule="auto"/>
        <w:rPr>
          <w:sz w:val="20"/>
          <w:szCs w:val="20"/>
          <w:color w:val="auto"/>
        </w:rPr>
      </w:pPr>
      <w:r>
        <w:rPr>
          <w:rFonts w:ascii="Arial" w:cs="Arial" w:eastAsia="Arial" w:hAnsi="Arial"/>
          <w:sz w:val="17"/>
          <w:szCs w:val="17"/>
          <w:color w:val="010101"/>
        </w:rPr>
        <w:t>promptly notify Borrower of its obligations hereunder. A certificate as to the amount of such payment or liability delivered to Borrower by a Lender (with a copy to Administrative Agent), or by Administrative Agent on its own behalf or on behalf of a Lender, shall be conclusive absent manifest error</w:t>
      </w:r>
      <w:r>
        <w:rPr>
          <w:rFonts w:ascii="Arial" w:cs="Arial" w:eastAsia="Arial" w:hAnsi="Arial"/>
          <w:sz w:val="17"/>
          <w:szCs w:val="17"/>
          <w:color w:val="000000"/>
        </w:rPr>
        <w:t>.</w:t>
      </w:r>
    </w:p>
    <w:p>
      <w:pPr>
        <w:spacing w:after="0" w:line="147" w:lineRule="exact"/>
        <w:rPr>
          <w:sz w:val="20"/>
          <w:szCs w:val="20"/>
          <w:color w:val="auto"/>
        </w:rPr>
      </w:pPr>
    </w:p>
    <w:p>
      <w:pPr>
        <w:ind w:right="140" w:firstLine="1305"/>
        <w:spacing w:after="0" w:line="277" w:lineRule="auto"/>
        <w:tabs>
          <w:tab w:leader="none" w:pos="1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70" w:lineRule="exact"/>
        <w:rPr>
          <w:rFonts w:ascii="Arial" w:cs="Arial" w:eastAsia="Arial" w:hAnsi="Arial"/>
          <w:sz w:val="18"/>
          <w:szCs w:val="18"/>
          <w:color w:val="auto"/>
        </w:rPr>
      </w:pPr>
    </w:p>
    <w:p>
      <w:pPr>
        <w:ind w:right="100" w:firstLine="1305"/>
        <w:spacing w:after="0" w:line="253" w:lineRule="auto"/>
        <w:tabs>
          <w:tab w:leader="none" w:pos="15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95" w:lineRule="exact"/>
        <w:rPr>
          <w:sz w:val="20"/>
          <w:szCs w:val="20"/>
          <w:color w:val="auto"/>
        </w:rPr>
      </w:pPr>
    </w:p>
    <w:p>
      <w:pPr>
        <w:ind w:left="180" w:firstLine="1296"/>
        <w:spacing w:after="0" w:line="270"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Eurodollar Rate Loans of such Lender,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78" w:lineRule="exact"/>
        <w:rPr>
          <w:sz w:val="20"/>
          <w:szCs w:val="20"/>
          <w:color w:val="auto"/>
        </w:rPr>
      </w:pPr>
    </w:p>
    <w:p>
      <w:pPr>
        <w:ind w:left="180" w:right="180" w:firstLine="1296"/>
        <w:spacing w:after="0" w:line="290" w:lineRule="auto"/>
        <w:rPr>
          <w:sz w:val="20"/>
          <w:szCs w:val="20"/>
          <w:color w:val="auto"/>
        </w:rPr>
      </w:pPr>
      <w:r>
        <w:rPr>
          <w:rFonts w:ascii="Arial" w:cs="Arial" w:eastAsia="Arial" w:hAnsi="Arial"/>
          <w:sz w:val="16"/>
          <w:szCs w:val="16"/>
          <w:u w:val="single" w:color="auto"/>
          <w:color w:val="0000FF"/>
        </w:rPr>
        <w:t>3.03 Alternate Rate of Interest.</w:t>
      </w:r>
      <w:r>
        <w:rPr>
          <w:rFonts w:ascii="Arial" w:cs="Arial" w:eastAsia="Arial" w:hAnsi="Arial"/>
          <w:sz w:val="16"/>
          <w:szCs w:val="16"/>
          <w:u w:val="single" w:color="auto"/>
          <w:color w:val="FF0000"/>
        </w:rPr>
        <w:t>Inability to Determine Eurodollar Rates</w:t>
      </w:r>
      <w:r>
        <w:rPr>
          <w:rFonts w:ascii="Arial" w:cs="Arial" w:eastAsia="Arial" w:hAnsi="Arial"/>
          <w:sz w:val="16"/>
          <w:szCs w:val="16"/>
          <w:color w:val="FF0000"/>
          <w:strike w:val="1"/>
        </w:rPr>
        <w:t>. If, in connection with any Request for Extension of Credit</w:t>
      </w:r>
      <w:r>
        <w:rPr>
          <w:rFonts w:ascii="Arial" w:cs="Arial" w:eastAsia="Arial" w:hAnsi="Arial"/>
          <w:sz w:val="16"/>
          <w:szCs w:val="16"/>
          <w:u w:val="single" w:color="auto"/>
          <w:color w:val="0000FF"/>
        </w:rPr>
        <w:t xml:space="preserve"> </w:t>
      </w:r>
      <w:r>
        <w:rPr>
          <w:rFonts w:ascii="Arial" w:cs="Arial" w:eastAsia="Arial" w:hAnsi="Arial"/>
          <w:sz w:val="16"/>
          <w:szCs w:val="16"/>
          <w:color w:val="FF0000"/>
          <w:strike w:val="1"/>
        </w:rPr>
        <w:t xml:space="preserve">involving any Eurodollar Rate Loan, (a) Administrative Agent determines that (i) deposits in Dollars are not being offered to banks in the applicable offshore dollar market for the applicable amount and Interest Period of the requested Eurodollar Rate Loan or (ii) </w:t>
      </w:r>
      <w:r>
        <w:rPr>
          <w:rFonts w:ascii="Arial" w:cs="Arial" w:eastAsia="Arial" w:hAnsi="Arial"/>
          <w:sz w:val="16"/>
          <w:szCs w:val="16"/>
          <w:color w:val="008000"/>
          <w:strike w:val="1"/>
        </w:rPr>
        <w:t>adequate and reasonable means do not</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exist for </w:t>
      </w:r>
      <w:r>
        <w:rPr>
          <w:rFonts w:ascii="Arial" w:cs="Arial" w:eastAsia="Arial" w:hAnsi="Arial"/>
          <w:sz w:val="16"/>
          <w:szCs w:val="16"/>
          <w:color w:val="FF0000"/>
          <w:strike w:val="1"/>
        </w:rPr>
        <w:t>determining the underlying interest rate for such Eurodollar Rate Loan, or (b)</w:t>
      </w:r>
      <w:r>
        <w:rPr>
          <w:rFonts w:ascii="Arial" w:cs="Arial" w:eastAsia="Arial" w:hAnsi="Arial"/>
          <w:sz w:val="16"/>
          <w:szCs w:val="16"/>
          <w:color w:val="008000"/>
          <w:strike w:val="1"/>
        </w:rPr>
        <w:t xml:space="preserve"> Required Lenders (or, in the case of a </w:t>
      </w:r>
      <w:r>
        <w:rPr>
          <w:rFonts w:ascii="Arial" w:cs="Arial" w:eastAsia="Arial" w:hAnsi="Arial"/>
          <w:sz w:val="16"/>
          <w:szCs w:val="16"/>
          <w:color w:val="FF0000"/>
          <w:strike w:val="1"/>
        </w:rPr>
        <w:t>Competitive Loan that is a</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Eurodollar Rate </w:t>
      </w:r>
      <w:r>
        <w:rPr>
          <w:rFonts w:ascii="Arial" w:cs="Arial" w:eastAsia="Arial" w:hAnsi="Arial"/>
          <w:sz w:val="16"/>
          <w:szCs w:val="16"/>
          <w:color w:val="008000"/>
          <w:strike w:val="1"/>
        </w:rPr>
        <w:t>Loan, the Lender that is required to make such Loan)</w:t>
      </w:r>
      <w:r>
        <w:rPr>
          <w:rFonts w:ascii="Arial" w:cs="Arial" w:eastAsia="Arial" w:hAnsi="Arial"/>
          <w:sz w:val="16"/>
          <w:szCs w:val="16"/>
          <w:color w:val="FF0000"/>
          <w:strike w:val="1"/>
        </w:rPr>
        <w:t xml:space="preserve"> determine that such underlying interest rate does </w:t>
      </w:r>
      <w:r>
        <w:rPr>
          <w:rFonts w:ascii="Arial" w:cs="Arial" w:eastAsia="Arial" w:hAnsi="Arial"/>
          <w:sz w:val="16"/>
          <w:szCs w:val="16"/>
          <w:color w:val="008000"/>
          <w:strike w:val="1"/>
        </w:rPr>
        <w:t>not adequately and fairly reflect</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the cost to Lenders (or Lender) of </w:t>
      </w:r>
      <w:r>
        <w:rPr>
          <w:rFonts w:ascii="Arial" w:cs="Arial" w:eastAsia="Arial" w:hAnsi="Arial"/>
          <w:sz w:val="16"/>
          <w:szCs w:val="16"/>
          <w:color w:val="FF0000"/>
          <w:strike w:val="1"/>
        </w:rPr>
        <w:t>funding such Eurodollar Rate Loan, Administrative Agent will promptly notify Borrower and all Lenders. Thereafter,</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the obligation of Lenders (or Lender) to make or maintain such Eurodollar Rate Loan shall be suspended until Administrative Agent revokes such notice. Upon receipt of such notice, Borrower may revoke any pending request for a Borrowing of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-639445</wp:posOffset>
            </wp:positionV>
            <wp:extent cx="285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-639445</wp:posOffset>
            </wp:positionV>
            <wp:extent cx="285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-502285</wp:posOffset>
            </wp:positionV>
            <wp:extent cx="285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1" w:name="page92"/>
    <w:bookmarkEnd w:id="91"/>
    <w:p>
      <w:pPr>
        <w:ind w:left="180"/>
        <w:spacing w:after="0"/>
        <w:rPr>
          <w:sz w:val="20"/>
          <w:szCs w:val="20"/>
          <w:color w:val="auto"/>
        </w:rPr>
      </w:pPr>
      <w:r>
        <w:rPr>
          <w:rFonts w:ascii="Arial" w:cs="Arial" w:eastAsia="Arial" w:hAnsi="Arial"/>
          <w:sz w:val="17"/>
          <w:szCs w:val="17"/>
          <w:color w:val="FF0000"/>
          <w:strike w:val="1"/>
        </w:rPr>
        <w:t>Loans or, failing that, be deemed to have converted such request into a request for a Borrowing of Base Rate Loans in the amount specified therein.</w:t>
      </w:r>
    </w:p>
    <w:p>
      <w:pPr>
        <w:spacing w:after="0" w:line="237" w:lineRule="exact"/>
        <w:rPr>
          <w:sz w:val="20"/>
          <w:szCs w:val="20"/>
          <w:color w:val="auto"/>
        </w:rPr>
      </w:pPr>
    </w:p>
    <w:p>
      <w:pPr>
        <w:ind w:right="40" w:firstLine="1305"/>
        <w:spacing w:after="0" w:line="277" w:lineRule="auto"/>
        <w:tabs>
          <w:tab w:leader="none" w:pos="1547" w:val="left"/>
        </w:tabs>
        <w:numPr>
          <w:ilvl w:val="0"/>
          <w:numId w:val="5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prior to the commencement of any Interest Period for a Eurodollar Rate Borrowing in any currency (the currency of such Borrowing herein referred to as the “Affected Currency”):</w:t>
      </w:r>
    </w:p>
    <w:p>
      <w:pPr>
        <w:spacing w:after="0" w:line="170" w:lineRule="exact"/>
        <w:rPr>
          <w:rFonts w:ascii="Arial" w:cs="Arial" w:eastAsia="Arial" w:hAnsi="Arial"/>
          <w:sz w:val="18"/>
          <w:szCs w:val="18"/>
          <w:u w:val="single" w:color="auto"/>
          <w:color w:val="0000FF"/>
        </w:rPr>
      </w:pPr>
    </w:p>
    <w:p>
      <w:pPr>
        <w:jc w:val="both"/>
        <w:ind w:left="1300" w:right="40" w:firstLine="653"/>
        <w:spacing w:after="0" w:line="259" w:lineRule="auto"/>
        <w:tabs>
          <w:tab w:leader="none" w:pos="2169" w:val="left"/>
        </w:tabs>
        <w:numPr>
          <w:ilvl w:val="1"/>
          <w:numId w:val="5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the Administrative Agent determines (which determination shall be conclusive absent manifest error), or the Borrower notifies the Administrative Agent that the Borrower has determined, that </w:t>
      </w:r>
      <w:r>
        <w:rPr>
          <w:rFonts w:ascii="Arial" w:cs="Arial" w:eastAsia="Arial" w:hAnsi="Arial"/>
          <w:sz w:val="18"/>
          <w:szCs w:val="18"/>
          <w:u w:val="single" w:color="auto"/>
          <w:color w:val="008000"/>
        </w:rPr>
        <w:t>adequate and reasonable means do not exist for</w:t>
      </w:r>
      <w:r>
        <w:rPr>
          <w:rFonts w:ascii="Arial" w:cs="Arial" w:eastAsia="Arial" w:hAnsi="Arial"/>
          <w:sz w:val="18"/>
          <w:szCs w:val="18"/>
          <w:u w:val="single" w:color="auto"/>
          <w:color w:val="0000FF"/>
        </w:rPr>
        <w:t xml:space="preserve"> ascertaining the Eurodollar Rate, as applicable (including because the LIBO Screen Rate is not available or published on a current basis), for the Affected Currency and such Interest Period; or</w:t>
      </w:r>
    </w:p>
    <w:p>
      <w:pPr>
        <w:spacing w:after="0" w:line="186" w:lineRule="exact"/>
        <w:rPr>
          <w:rFonts w:ascii="Arial" w:cs="Arial" w:eastAsia="Arial" w:hAnsi="Arial"/>
          <w:sz w:val="18"/>
          <w:szCs w:val="18"/>
          <w:u w:val="single" w:color="auto"/>
          <w:color w:val="0000FF"/>
        </w:rPr>
      </w:pPr>
    </w:p>
    <w:p>
      <w:pPr>
        <w:jc w:val="both"/>
        <w:ind w:left="1300" w:right="20" w:firstLine="653"/>
        <w:spacing w:after="0" w:line="259" w:lineRule="auto"/>
        <w:tabs>
          <w:tab w:leader="none" w:pos="2238" w:val="left"/>
        </w:tabs>
        <w:numPr>
          <w:ilvl w:val="1"/>
          <w:numId w:val="5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the Administrative Agent is advised by the </w:t>
      </w:r>
      <w:r>
        <w:rPr>
          <w:rFonts w:ascii="Arial" w:cs="Arial" w:eastAsia="Arial" w:hAnsi="Arial"/>
          <w:sz w:val="18"/>
          <w:szCs w:val="18"/>
          <w:u w:val="single" w:color="auto"/>
          <w:color w:val="008000"/>
        </w:rPr>
        <w:t>Required Lenders (or, in the case of a</w:t>
      </w:r>
      <w:r>
        <w:rPr>
          <w:rFonts w:ascii="Arial" w:cs="Arial" w:eastAsia="Arial" w:hAnsi="Arial"/>
          <w:sz w:val="18"/>
          <w:szCs w:val="18"/>
          <w:u w:val="single" w:color="auto"/>
          <w:color w:val="0000FF"/>
        </w:rPr>
        <w:t xml:space="preserve"> Eurodollar Rate Competitive </w:t>
      </w:r>
      <w:r>
        <w:rPr>
          <w:rFonts w:ascii="Arial" w:cs="Arial" w:eastAsia="Arial" w:hAnsi="Arial"/>
          <w:sz w:val="18"/>
          <w:szCs w:val="18"/>
          <w:u w:val="single" w:color="auto"/>
          <w:color w:val="008000"/>
        </w:rPr>
        <w:t>Loan, the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Lender that is required to make such Loan) </w:t>
      </w:r>
      <w:r>
        <w:rPr>
          <w:rFonts w:ascii="Arial" w:cs="Arial" w:eastAsia="Arial" w:hAnsi="Arial"/>
          <w:sz w:val="18"/>
          <w:szCs w:val="18"/>
          <w:u w:val="single" w:color="auto"/>
          <w:color w:val="0000FF"/>
        </w:rPr>
        <w:t>that the Eurodollar Rate, as applicable, for the Affected Currency and such Interest Period will</w:t>
      </w:r>
      <w:r>
        <w:rPr>
          <w:rFonts w:ascii="Arial" w:cs="Arial" w:eastAsia="Arial" w:hAnsi="Arial"/>
          <w:sz w:val="18"/>
          <w:szCs w:val="18"/>
          <w:u w:val="single" w:color="auto"/>
          <w:color w:val="008000"/>
        </w:rPr>
        <w:t xml:space="preserve"> not adequately and fairly reflect the cost to </w:t>
      </w:r>
      <w:r>
        <w:rPr>
          <w:rFonts w:ascii="Arial" w:cs="Arial" w:eastAsia="Arial" w:hAnsi="Arial"/>
          <w:sz w:val="18"/>
          <w:szCs w:val="18"/>
          <w:u w:val="single" w:color="auto"/>
          <w:color w:val="0000FF"/>
        </w:rPr>
        <w:t>such</w:t>
      </w:r>
      <w:r>
        <w:rPr>
          <w:rFonts w:ascii="Arial" w:cs="Arial" w:eastAsia="Arial" w:hAnsi="Arial"/>
          <w:sz w:val="18"/>
          <w:szCs w:val="18"/>
          <w:u w:val="single" w:color="auto"/>
          <w:color w:val="008000"/>
        </w:rPr>
        <w:t xml:space="preserve"> Lenders (or Lender) of </w:t>
      </w:r>
      <w:r>
        <w:rPr>
          <w:rFonts w:ascii="Arial" w:cs="Arial" w:eastAsia="Arial" w:hAnsi="Arial"/>
          <w:sz w:val="18"/>
          <w:szCs w:val="18"/>
          <w:u w:val="single" w:color="auto"/>
          <w:color w:val="0000FF"/>
        </w:rPr>
        <w:t>making or maintaining their Loans (or its Loan) included in such</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Borrowing for the Affected Currency and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-995045</wp:posOffset>
            </wp:positionV>
            <wp:extent cx="285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6739890</wp:posOffset>
            </wp:positionH>
            <wp:positionV relativeFrom="paragraph">
              <wp:posOffset>-446405</wp:posOffset>
            </wp:positionV>
            <wp:extent cx="457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720" cy="889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-171450</wp:posOffset>
            </wp:positionV>
            <wp:extent cx="285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-171450</wp:posOffset>
            </wp:positionV>
            <wp:extent cx="285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u w:val="single" w:color="auto"/>
          <w:color w:val="0000FF"/>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Revolving Loan to, or continuation of any Revolving Loan as, a Eurodollar Rate Borrowing denominated in the Affected Currency shall be ineffective, and, if the Affected Currency is Dollars, such Borrowing (unless prepaid) shall be continued as, or converted to, an ABR Borrowing, (B) if the Affected Currency is Dollars and if any Borrowing Request requests a Eurodollar Rate Borrowing denominated in Dollars, such Borrowing shall be made as an ABR Borrowing, (C) if the Affected Currency is Canadian Dollars and if any Borrowing Request requests a Eurodollar Rate Borrowing denominated in Canadian Dollars, such Borrowing shall be made as a Canadian Prime Rate Borrowing, (D) if the Affected Currency is any other Alternative Currency, any Borrowing Request that requests a Eurodollar Rate Borrowing denominated in the Affected Currency shall be ineffective and (E) any request by the Borrower for a Eurodollar Rate Competitive Borrowing denominated in the Affected Currency shall be ineffective; provided that (x) if the circumstances giving rise to such notice do not affect all the Lenders, then requests by the Borrower for Eurodollar Rate Competitive Borrowings in the Affected Currency may be made to Lenders that are not affected thereby and (y) if the circumstances giving rise to such notice affect only one type of Borrowings, then the other type of Borrowings shall be permitted.</w:t>
      </w:r>
    </w:p>
    <w:p>
      <w:pPr>
        <w:spacing w:after="0" w:line="180" w:lineRule="exact"/>
        <w:rPr>
          <w:sz w:val="20"/>
          <w:szCs w:val="20"/>
          <w:color w:val="auto"/>
        </w:rPr>
      </w:pPr>
    </w:p>
    <w:p>
      <w:pPr>
        <w:jc w:val="both"/>
        <w:ind w:firstLine="1305"/>
        <w:spacing w:after="0" w:line="254" w:lineRule="auto"/>
        <w:tabs>
          <w:tab w:leader="none" w:pos="1568" w:val="left"/>
        </w:tabs>
        <w:numPr>
          <w:ilvl w:val="0"/>
          <w:numId w:val="6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at any time the Administrative Agent determines (which determination shall be conclusive absent manifest error), or the Borrower notifies the Administrative Agent that the Borrower has determined, that (i) the circumstances set forth in clause (a)(i) or (a)(ii) have arisen and such circumstances are unlikely to be temporary or (ii) the circumstances set forth in clause (a)(i) or (a)(ii) have not arisen but either (w) the supervisor for the administrator of the applicable Eurodollar Rate has made a public statement that the administrator of the applicable Eurodollar Rate is insolvent (and there is no successor administrator that will continue publication of the applicable Eurodollar Rate), (x) the administrator of the applicable Eurodollar Rate has made a public statement identifying a specific date after which the applicable Eurodollar Rate will permanently or indefinitely cease to be published by it (and there is no successor administrator that will continue publication of the applicable Eurodollar Rate), (y) the supervisor for the administrator of the applicable Eurodollar Rate has made a public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jc w:val="both"/>
        <w:spacing w:after="0" w:line="282" w:lineRule="auto"/>
        <w:rPr>
          <w:sz w:val="20"/>
          <w:szCs w:val="20"/>
          <w:color w:val="auto"/>
        </w:rPr>
      </w:pPr>
      <w:r>
        <w:rPr>
          <w:rFonts w:ascii="Arial" w:cs="Arial" w:eastAsia="Arial" w:hAnsi="Arial"/>
          <w:sz w:val="16"/>
          <w:szCs w:val="16"/>
          <w:u w:val="single" w:color="auto"/>
          <w:color w:val="0000FF"/>
        </w:rPr>
        <w:t xml:space="preserve">statement identifying a specific date after which the applicable Eurodollar Rate will permanently or indefinitely cease to be published or (z) the supervisor for the administrator of the applicable Eurodollar Rate or a Governmental Authority having jurisdiction over the Administrative Agent has made a public statement identifying a specific date after which the applicable Eurodollar Rate may no longer be used for determining interest rates for loans, then </w:t>
      </w:r>
      <w:r>
        <w:rPr>
          <w:rFonts w:ascii="Arial" w:cs="Arial" w:eastAsia="Arial" w:hAnsi="Arial"/>
          <w:sz w:val="16"/>
          <w:szCs w:val="16"/>
          <w:u w:val="single" w:color="auto"/>
          <w:color w:val="008000"/>
        </w:rPr>
        <w:t>the</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Administrative Agent and the </w:t>
      </w:r>
      <w:r>
        <w:rPr>
          <w:rFonts w:ascii="Arial" w:cs="Arial" w:eastAsia="Arial" w:hAnsi="Arial"/>
          <w:sz w:val="16"/>
          <w:szCs w:val="16"/>
          <w:u w:val="single" w:color="auto"/>
          <w:color w:val="0000FF"/>
        </w:rPr>
        <w:t>Borrower shall endeavor to establish an alternate rate of interest to such applicable Eurodollar Rate that gives due consideration</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 xml:space="preserve">to the then prevailing market convention for determining a rate of interest for syndicated loans in the United States at such time, and shall enter into an amendment to this Agreement to reflect such alternate rate of interest and such other related changes (including administrative changes) to this Agreement as may be applicable (but for the avoidance of doubt, such related changes shall not include a reduction of the Applicable Amount); provided that, if such alternate rate of interest as so determined would be less than zero, such rate shall be deemed to be zero for the purposes of this Agreement. Notwithstanding anything to the contrary in Section 9.02, such amendment shall become effective without any further action or consent of any other party to this Agreement so long as the Administrative Agent shall not have received, within five Business Days of the date such amendment is provided to the Lenders, a written notice from the Required Lenders stating that such Required Lenders object to such amendment. Until an alternate rate of interest shall be determined in accordance with this clause (b) (but </w:t>
      </w:r>
      <w:r>
        <w:rPr>
          <w:rFonts w:ascii="Arial" w:cs="Arial" w:eastAsia="Arial" w:hAnsi="Arial"/>
          <w:sz w:val="16"/>
          <w:szCs w:val="16"/>
          <w:u w:val="single" w:color="auto"/>
          <w:color w:val="008000"/>
        </w:rPr>
        <w:t>, in the case of</w:t>
      </w:r>
      <w:r>
        <w:rPr>
          <w:rFonts w:ascii="Arial" w:cs="Arial" w:eastAsia="Arial" w:hAnsi="Arial"/>
          <w:sz w:val="16"/>
          <w:szCs w:val="16"/>
          <w:u w:val="single" w:color="auto"/>
          <w:color w:val="0000FF"/>
        </w:rPr>
        <w:t xml:space="preserve"> the circumstances described in clause (ii)(w), clause (ii)(x) or clause (ii)(y) of the first sentence of this Section 3.03(b), only to the extent the applicable Eurodollar Rate for the applicable currency and such Interest Period is not available or published at such time on a current basis), (x) any Interest Election Request that requests the conversion of any Revolving Loan to, or continuation of any Revolving Loan as, a Eurodollar Rate Borrowing shall be ineffective, (y) if any Borrowing Request requests a Eurodollar Rate Revolving Loan, such Borrowing shall be made (1) in the case of a Borrowing denominated in Dollars, as an ABR Borrowing, (2) in the case of a Borrowing denominated in Canadian Dollars, as a Canadian Prime Rate Borrowing and (3) in the case of a Borrowing denominated in any other Alternative Currency, as a Borrowing of Loans bearing interest at a rate for short term borrowings of such Alternative Currency determined in a customary manner in good faith </w:t>
      </w:r>
      <w:r>
        <w:rPr>
          <w:rFonts w:ascii="Arial" w:cs="Arial" w:eastAsia="Arial" w:hAnsi="Arial"/>
          <w:sz w:val="16"/>
          <w:szCs w:val="16"/>
          <w:u w:val="single" w:color="auto"/>
          <w:color w:val="008000"/>
        </w:rPr>
        <w:t>by the Administrative Agent</w:t>
      </w:r>
      <w:r>
        <w:rPr>
          <w:rFonts w:ascii="Arial" w:cs="Arial" w:eastAsia="Arial" w:hAnsi="Arial"/>
          <w:sz w:val="16"/>
          <w:szCs w:val="16"/>
          <w:u w:val="single" w:color="auto"/>
          <w:color w:val="0000FF"/>
        </w:rPr>
        <w:t xml:space="preserve"> in consultation with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-1938020</wp:posOffset>
            </wp:positionV>
            <wp:extent cx="285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-840105</wp:posOffset>
            </wp:positionV>
            <wp:extent cx="285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-17145</wp:posOffset>
            </wp:positionV>
            <wp:extent cx="28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center"/>
        <w:ind w:left="1460" w:right="4340" w:hanging="1452"/>
        <w:spacing w:after="0" w:line="521" w:lineRule="auto"/>
        <w:tabs>
          <w:tab w:leader="none" w:pos="246" w:val="left"/>
        </w:tabs>
        <w:numPr>
          <w:ilvl w:val="0"/>
          <w:numId w:val="6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any request by the Borrower for a Eurodollar Rate Competitive Borrowing shall be ineffective. </w:t>
      </w:r>
      <w:r>
        <w:rPr>
          <w:rFonts w:ascii="Arial" w:cs="Arial" w:eastAsia="Arial" w:hAnsi="Arial"/>
          <w:sz w:val="17"/>
          <w:szCs w:val="17"/>
          <w:color w:val="000000"/>
        </w:rPr>
        <w:t xml:space="preserve">3.04  </w:t>
      </w:r>
      <w:r>
        <w:rPr>
          <w:rFonts w:ascii="Arial" w:cs="Arial" w:eastAsia="Arial" w:hAnsi="Arial"/>
          <w:sz w:val="17"/>
          <w:szCs w:val="17"/>
          <w:u w:val="single" w:color="auto"/>
          <w:color w:val="000000"/>
        </w:rPr>
        <w:t>Increased Cost and Reduced Return; Capital Adequacy</w:t>
      </w:r>
      <w:r>
        <w:rPr>
          <w:rFonts w:ascii="Arial" w:cs="Arial" w:eastAsia="Arial" w:hAnsi="Arial"/>
          <w:sz w:val="17"/>
          <w:szCs w:val="17"/>
          <w:color w:val="000000"/>
        </w:rPr>
        <w:t>.</w:t>
      </w:r>
    </w:p>
    <w:p>
      <w:pPr>
        <w:spacing w:after="0" w:line="1" w:lineRule="exact"/>
        <w:rPr>
          <w:rFonts w:ascii="Arial" w:cs="Arial" w:eastAsia="Arial" w:hAnsi="Arial"/>
          <w:sz w:val="17"/>
          <w:szCs w:val="17"/>
          <w:u w:val="single" w:color="auto"/>
          <w:color w:val="0000FF"/>
        </w:rPr>
      </w:pPr>
    </w:p>
    <w:p>
      <w:pPr>
        <w:ind w:left="1600" w:hanging="295"/>
        <w:spacing w:after="0"/>
        <w:tabs>
          <w:tab w:leader="none" w:pos="1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any Lender Party determines that the adoption of any Law or any change in any Law or in the interpretation thereof effective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 hereof:</w:t>
      </w:r>
    </w:p>
    <w:p>
      <w:pPr>
        <w:spacing w:after="0" w:line="210" w:lineRule="exact"/>
        <w:rPr>
          <w:rFonts w:ascii="Arial" w:cs="Arial" w:eastAsia="Arial" w:hAnsi="Arial"/>
          <w:sz w:val="16"/>
          <w:szCs w:val="16"/>
          <w:color w:val="auto"/>
        </w:rPr>
      </w:pPr>
    </w:p>
    <w:p>
      <w:pPr>
        <w:ind w:left="1300" w:right="160" w:firstLine="653"/>
        <w:spacing w:after="0" w:line="259" w:lineRule="auto"/>
        <w:tabs>
          <w:tab w:leader="none" w:pos="2208" w:val="left"/>
        </w:tabs>
        <w:numPr>
          <w:ilvl w:val="2"/>
          <w:numId w:val="61"/>
        </w:numPr>
        <w:rPr>
          <w:rFonts w:ascii="Arial" w:cs="Arial" w:eastAsia="Arial" w:hAnsi="Arial"/>
          <w:sz w:val="18"/>
          <w:szCs w:val="18"/>
          <w:color w:val="auto"/>
        </w:rPr>
      </w:pPr>
      <w:r>
        <w:rPr>
          <w:rFonts w:ascii="Arial" w:cs="Arial" w:eastAsia="Arial" w:hAnsi="Arial"/>
          <w:sz w:val="18"/>
          <w:szCs w:val="18"/>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Fixed Rate Loans or its obligation to make Eurodollar Rate Loans or Fixed Rate Loans;</w:t>
      </w:r>
    </w:p>
    <w:p>
      <w:pPr>
        <w:spacing w:after="0" w:line="186" w:lineRule="exact"/>
        <w:rPr>
          <w:rFonts w:ascii="Arial" w:cs="Arial" w:eastAsia="Arial" w:hAnsi="Arial"/>
          <w:sz w:val="18"/>
          <w:szCs w:val="18"/>
          <w:color w:val="auto"/>
        </w:rPr>
      </w:pPr>
    </w:p>
    <w:p>
      <w:pPr>
        <w:ind w:left="1300" w:right="160" w:firstLine="653"/>
        <w:spacing w:after="0" w:line="312" w:lineRule="auto"/>
        <w:tabs>
          <w:tab w:leader="none" w:pos="2258" w:val="left"/>
        </w:tabs>
        <w:numPr>
          <w:ilvl w:val="2"/>
          <w:numId w:val="61"/>
        </w:numPr>
        <w:rPr>
          <w:rFonts w:ascii="Arial" w:cs="Arial" w:eastAsia="Arial" w:hAnsi="Arial"/>
          <w:sz w:val="16"/>
          <w:szCs w:val="16"/>
          <w:color w:val="auto"/>
        </w:rPr>
      </w:pPr>
      <w:r>
        <w:rPr>
          <w:rFonts w:ascii="Arial" w:cs="Arial" w:eastAsia="Arial" w:hAnsi="Arial"/>
          <w:sz w:val="16"/>
          <w:szCs w:val="16"/>
          <w:color w:val="auto"/>
        </w:rPr>
        <w:t xml:space="preserve">Imposes or modifies any reserve, special deposit, compulsory loan, insurance charge, or similar requirement (other than the reserve requirement utilized in the determination of the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Adjusted LIBO</w:t>
      </w:r>
      <w:r>
        <w:rPr>
          <w:rFonts w:ascii="Arial" w:cs="Arial" w:eastAsia="Arial" w:hAnsi="Arial"/>
          <w:sz w:val="16"/>
          <w:szCs w:val="16"/>
          <w:color w:val="auto"/>
        </w:rPr>
        <w:t xml:space="preserve"> Rate) relating to any extensions of credit or other assets of, or any deposits with or other liabilities or commitments of, such Lender Party (including its Revolving Commitment);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ind w:left="1300" w:right="280" w:firstLine="653"/>
        <w:spacing w:after="0" w:line="277" w:lineRule="auto"/>
        <w:tabs>
          <w:tab w:leader="none" w:pos="23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Eurodollar Rate Loans or Fixed Rate Loans or issuing or participating in Letters of Credit or to reduce any sum received or receivable by such Lender Party under this Agreement with respect to any Eurodollar Rate Loans or Fixed Rate Loans or Letter of Credit,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8" w:lineRule="exact"/>
        <w:rPr>
          <w:sz w:val="20"/>
          <w:szCs w:val="20"/>
          <w:color w:val="auto"/>
        </w:rPr>
      </w:pPr>
    </w:p>
    <w:p>
      <w:pPr>
        <w:ind w:firstLine="1305"/>
        <w:spacing w:after="0" w:line="273" w:lineRule="auto"/>
        <w:tabs>
          <w:tab w:leader="none" w:pos="1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78" w:lineRule="exact"/>
        <w:rPr>
          <w:rFonts w:ascii="Arial" w:cs="Arial" w:eastAsia="Arial" w:hAnsi="Arial"/>
          <w:sz w:val="17"/>
          <w:szCs w:val="17"/>
          <w:color w:val="auto"/>
        </w:rPr>
      </w:pPr>
    </w:p>
    <w:p>
      <w:pPr>
        <w:ind w:right="140" w:firstLine="1305"/>
        <w:spacing w:after="0" w:line="286" w:lineRule="auto"/>
        <w:tabs>
          <w:tab w:leader="none" w:pos="1586"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65" w:lineRule="exact"/>
        <w:rPr>
          <w:rFonts w:ascii="Arial" w:cs="Arial" w:eastAsia="Arial" w:hAnsi="Arial"/>
          <w:sz w:val="17"/>
          <w:szCs w:val="17"/>
          <w:color w:val="auto"/>
        </w:rPr>
      </w:pPr>
    </w:p>
    <w:p>
      <w:pPr>
        <w:ind w:right="40" w:firstLine="1305"/>
        <w:spacing w:after="0" w:line="276" w:lineRule="auto"/>
        <w:tabs>
          <w:tab w:leader="none" w:pos="1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3" w:lineRule="exact"/>
        <w:rPr>
          <w:sz w:val="20"/>
          <w:szCs w:val="20"/>
          <w:color w:val="auto"/>
        </w:rPr>
      </w:pPr>
    </w:p>
    <w:p>
      <w:pPr>
        <w:jc w:val="both"/>
        <w:ind w:left="180" w:right="280" w:firstLine="1296"/>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Breakfunding Costs</w:t>
      </w:r>
      <w:r>
        <w:rPr>
          <w:rFonts w:ascii="Arial" w:cs="Arial" w:eastAsia="Arial" w:hAnsi="Arial"/>
          <w:sz w:val="18"/>
          <w:szCs w:val="18"/>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81" w:lineRule="exact"/>
        <w:rPr>
          <w:sz w:val="20"/>
          <w:szCs w:val="20"/>
          <w:color w:val="auto"/>
        </w:rPr>
      </w:pPr>
    </w:p>
    <w:p>
      <w:pPr>
        <w:ind w:right="220" w:firstLine="1305"/>
        <w:spacing w:after="0" w:line="264" w:lineRule="auto"/>
        <w:tabs>
          <w:tab w:leader="none" w:pos="15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by Borrower of any Eurodollar Rate Loan or Fixed Rate Loan on a day other than the last day of the Interest Period for such Eurodollar Rate Loan or Fixed Rate Loan (whether voluntary, mandatory, automatic, by reason of acceleration or otherwise);</w:t>
      </w:r>
    </w:p>
    <w:p>
      <w:pPr>
        <w:spacing w:after="0" w:line="181" w:lineRule="exact"/>
        <w:rPr>
          <w:rFonts w:ascii="Arial" w:cs="Arial" w:eastAsia="Arial" w:hAnsi="Arial"/>
          <w:sz w:val="18"/>
          <w:szCs w:val="18"/>
          <w:color w:val="auto"/>
        </w:rPr>
      </w:pPr>
    </w:p>
    <w:p>
      <w:pPr>
        <w:ind w:right="40" w:firstLine="1305"/>
        <w:spacing w:after="0" w:line="308" w:lineRule="auto"/>
        <w:tabs>
          <w:tab w:leader="none" w:pos="161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failure by Borrower (for a reason other than the failure of such Lender to make a Eurodollar Rate Loan or Fixed Rate Loan) to prepay, borrow, Continue or Convert any Eurodollar Rate Loan or Fixed Rate Loan on the date or in the amount notified by Borrower;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4" w:name="page95"/>
    <w:bookmarkEnd w:id="94"/>
    <w:p>
      <w:pPr>
        <w:jc w:val="center"/>
        <w:ind w:right="300"/>
        <w:spacing w:after="0"/>
        <w:rPr>
          <w:sz w:val="20"/>
          <w:szCs w:val="20"/>
          <w:color w:val="auto"/>
        </w:rPr>
      </w:pPr>
      <w:r>
        <w:rPr>
          <w:rFonts w:ascii="Arial" w:cs="Arial" w:eastAsia="Arial" w:hAnsi="Arial"/>
          <w:sz w:val="18"/>
          <w:szCs w:val="18"/>
          <w:color w:val="auto"/>
        </w:rPr>
        <w:t>(c) Any failure by Borrower to borrow any Competitive Loan after accepting the Competitive Bid to make such Loan;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0"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58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77" w:lineRule="exact"/>
        <w:rPr>
          <w:rFonts w:ascii="Arial" w:cs="Arial" w:eastAsia="Arial" w:hAnsi="Arial"/>
          <w:sz w:val="17"/>
          <w:szCs w:val="17"/>
          <w:color w:val="auto"/>
        </w:rPr>
      </w:pPr>
    </w:p>
    <w:p>
      <w:pPr>
        <w:ind w:left="1600" w:hanging="295"/>
        <w:spacing w:after="0"/>
        <w:tabs>
          <w:tab w:leader="none" w:pos="1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any Lender becoming prohibited from making, maintaining or funding Eurodollar Rate Loans pursuant to Section 3.02, or</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upon any Lender making a claim for compensation under Section 3.01 or Section 3.04, Borrower may remove or replace such Lender in accordance with Section 10.21.</w:t>
      </w:r>
    </w:p>
    <w:p>
      <w:pPr>
        <w:spacing w:after="0" w:line="184" w:lineRule="exact"/>
        <w:rPr>
          <w:sz w:val="20"/>
          <w:szCs w:val="20"/>
          <w:color w:val="auto"/>
        </w:rPr>
      </w:pPr>
    </w:p>
    <w:p>
      <w:pPr>
        <w:ind w:left="180" w:right="580" w:firstLine="1296"/>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Borrower’s obligations under this Section 3 shall survive termination of the Revolving Commitments and payment in full of all Obligations.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PRECEDENT TO EXTENSIONS OF CREDIT</w:t>
      </w:r>
    </w:p>
    <w:p>
      <w:pPr>
        <w:spacing w:after="0" w:line="225" w:lineRule="exact"/>
        <w:rPr>
          <w:sz w:val="20"/>
          <w:szCs w:val="20"/>
          <w:color w:val="auto"/>
        </w:rPr>
      </w:pPr>
    </w:p>
    <w:p>
      <w:pPr>
        <w:jc w:val="both"/>
        <w:ind w:left="180" w:right="100" w:firstLine="1296"/>
        <w:spacing w:after="0" w:line="264"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The agreement of each Lender to make the initial Extension of Credit requested to be made by it is subject to the satisfaction, on or before June 30, 2016, of the conditions precedent set forth in this Section 4.01 (all of which have been irrevocably satisfied or waived as of May 26, 2016):</w:t>
      </w:r>
    </w:p>
    <w:p>
      <w:pPr>
        <w:spacing w:after="0" w:line="181" w:lineRule="exact"/>
        <w:rPr>
          <w:sz w:val="20"/>
          <w:szCs w:val="20"/>
          <w:color w:val="auto"/>
        </w:rPr>
      </w:pPr>
    </w:p>
    <w:p>
      <w:pPr>
        <w:ind w:right="280" w:firstLine="1305"/>
        <w:spacing w:after="0" w:line="264" w:lineRule="auto"/>
        <w:tabs>
          <w:tab w:leader="none" w:pos="15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81" w:lineRule="exact"/>
        <w:rPr>
          <w:rFonts w:ascii="Arial" w:cs="Arial" w:eastAsia="Arial" w:hAnsi="Arial"/>
          <w:sz w:val="18"/>
          <w:szCs w:val="18"/>
          <w:color w:val="auto"/>
        </w:rPr>
      </w:pPr>
    </w:p>
    <w:p>
      <w:pPr>
        <w:ind w:left="1300" w:right="40" w:firstLine="653"/>
        <w:spacing w:after="0" w:line="264" w:lineRule="auto"/>
        <w:tabs>
          <w:tab w:leader="none" w:pos="21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Borrower, Administrative Agent and each Person listed on Schedule 2.01 and (b) the Guarantee Agreement, executed and delivered by each Guarantor (provided that the requirements of this clause (i) may be satisfied by customary written evidence reasonably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5" w:name="page96"/>
    <w:bookmarkEnd w:id="95"/>
    <w:p>
      <w:pPr>
        <w:ind w:left="1220" w:right="280"/>
        <w:spacing w:after="0" w:line="277" w:lineRule="auto"/>
        <w:rPr>
          <w:sz w:val="20"/>
          <w:szCs w:val="20"/>
          <w:color w:val="auto"/>
        </w:rPr>
      </w:pPr>
      <w:r>
        <w:rPr>
          <w:rFonts w:ascii="Arial" w:cs="Arial" w:eastAsia="Arial" w:hAnsi="Arial"/>
          <w:sz w:val="18"/>
          <w:szCs w:val="18"/>
          <w:color w:val="auto"/>
        </w:rPr>
        <w:t>satisfactory to Administrative Agent (which may include electronic transmission of a signed signature page) that such party has signed a counterpart to this Agreement or the Guarantee Agreement (as applicable));</w:t>
      </w:r>
    </w:p>
    <w:p>
      <w:pPr>
        <w:spacing w:after="0" w:line="170" w:lineRule="exact"/>
        <w:rPr>
          <w:sz w:val="20"/>
          <w:szCs w:val="20"/>
          <w:color w:val="auto"/>
        </w:rPr>
      </w:pPr>
    </w:p>
    <w:p>
      <w:pPr>
        <w:ind w:left="1220" w:firstLine="653"/>
        <w:spacing w:after="0" w:line="287" w:lineRule="auto"/>
        <w:tabs>
          <w:tab w:leader="none" w:pos="217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Administrative Agent shall have received 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168" w:lineRule="exact"/>
        <w:rPr>
          <w:rFonts w:ascii="Arial" w:cs="Arial" w:eastAsia="Arial" w:hAnsi="Arial"/>
          <w:sz w:val="16"/>
          <w:szCs w:val="16"/>
          <w:color w:val="auto"/>
        </w:rPr>
      </w:pPr>
    </w:p>
    <w:p>
      <w:pPr>
        <w:ind w:left="2240" w:hanging="367"/>
        <w:spacing w:after="0"/>
        <w:tabs>
          <w:tab w:leader="none" w:pos="22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certificate signed by a Responsible Officer of Borrower certifying (A) that the conditions specified in Sections 4.01(e) and</w:t>
      </w:r>
    </w:p>
    <w:p>
      <w:pPr>
        <w:spacing w:after="0" w:line="46" w:lineRule="exact"/>
        <w:rPr>
          <w:rFonts w:ascii="Arial" w:cs="Arial" w:eastAsia="Arial" w:hAnsi="Arial"/>
          <w:sz w:val="16"/>
          <w:szCs w:val="16"/>
          <w:color w:val="auto"/>
        </w:rPr>
      </w:pPr>
    </w:p>
    <w:p>
      <w:pPr>
        <w:ind w:left="1220" w:right="20" w:firstLine="5"/>
        <w:spacing w:after="0" w:line="261" w:lineRule="auto"/>
        <w:tabs>
          <w:tab w:leader="none" w:pos="14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been satisfied and (B) that there has been no event or circumstance since the date of the Reference Statements which has a Material Adverse Effect;</w:t>
      </w:r>
    </w:p>
    <w:p>
      <w:pPr>
        <w:spacing w:after="0" w:line="183" w:lineRule="exact"/>
        <w:rPr>
          <w:rFonts w:ascii="Arial" w:cs="Arial" w:eastAsia="Arial" w:hAnsi="Arial"/>
          <w:sz w:val="18"/>
          <w:szCs w:val="18"/>
          <w:color w:val="auto"/>
        </w:rPr>
      </w:pPr>
    </w:p>
    <w:p>
      <w:pPr>
        <w:ind w:left="2220" w:hanging="347"/>
        <w:spacing w:after="0"/>
        <w:tabs>
          <w:tab w:leader="none" w:pos="2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 and</w:t>
      </w:r>
    </w:p>
    <w:p>
      <w:pPr>
        <w:spacing w:after="0" w:line="225" w:lineRule="exact"/>
        <w:rPr>
          <w:rFonts w:ascii="Arial" w:cs="Arial" w:eastAsia="Arial" w:hAnsi="Arial"/>
          <w:sz w:val="18"/>
          <w:szCs w:val="18"/>
          <w:color w:val="auto"/>
        </w:rPr>
      </w:pPr>
    </w:p>
    <w:p>
      <w:pPr>
        <w:ind w:left="1220" w:right="80" w:firstLine="653"/>
        <w:spacing w:after="0" w:line="259" w:lineRule="auto"/>
        <w:tabs>
          <w:tab w:leader="none" w:pos="21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information requested by any Lender in writing at least five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87" w:lineRule="exact"/>
        <w:rPr>
          <w:sz w:val="20"/>
          <w:szCs w:val="20"/>
          <w:color w:val="auto"/>
        </w:rPr>
      </w:pPr>
    </w:p>
    <w:p>
      <w:pPr>
        <w:ind w:left="1600" w:hanging="375"/>
        <w:spacing w:after="0"/>
        <w:tabs>
          <w:tab w:leader="none" w:pos="1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225" w:lineRule="exact"/>
        <w:rPr>
          <w:rFonts w:ascii="Arial" w:cs="Arial" w:eastAsia="Arial" w:hAnsi="Arial"/>
          <w:sz w:val="18"/>
          <w:szCs w:val="18"/>
          <w:color w:val="auto"/>
        </w:rPr>
      </w:pPr>
    </w:p>
    <w:p>
      <w:pPr>
        <w:ind w:left="-80" w:right="240" w:firstLine="1305"/>
        <w:spacing w:after="0" w:line="264" w:lineRule="auto"/>
        <w:tabs>
          <w:tab w:leader="none" w:pos="15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Administrative Agent shall have received notice that substantially simultaneously with the Effective Date, the Existing Credit Agreement shall have been terminated in accordance with the terms of the Existing Credit Agreement, and all principal, interest and fees owing thereunder shall have been paid.</w:t>
      </w:r>
    </w:p>
    <w:p>
      <w:pPr>
        <w:spacing w:after="0" w:line="181" w:lineRule="exact"/>
        <w:rPr>
          <w:rFonts w:ascii="Arial" w:cs="Arial" w:eastAsia="Arial" w:hAnsi="Arial"/>
          <w:sz w:val="18"/>
          <w:szCs w:val="18"/>
          <w:color w:val="auto"/>
        </w:rPr>
      </w:pPr>
    </w:p>
    <w:p>
      <w:pPr>
        <w:ind w:left="-80" w:firstLine="1305"/>
        <w:spacing w:after="0" w:line="259" w:lineRule="auto"/>
        <w:tabs>
          <w:tab w:leader="none" w:pos="15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Lenders shall have received (i) audited consolidated financial statements of Borrower and its Subsidiaries for the most recent fiscal year ended prior to the Effective Date as to which such financial statements are available and (ii) unaudited interim consolidated financial statements of Borrower and its Subsidiaries for each quarterly period, if any, ended subsequent to the date of the financial statements delivered pursuant to clause (i) of this paragraph as to which such financial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96" w:name="page97"/>
    <w:bookmarkEnd w:id="96"/>
    <w:p>
      <w:pPr>
        <w:ind w:right="160"/>
        <w:spacing w:after="0" w:line="264" w:lineRule="auto"/>
        <w:rPr>
          <w:sz w:val="20"/>
          <w:szCs w:val="20"/>
          <w:color w:val="auto"/>
        </w:rPr>
      </w:pPr>
      <w:r>
        <w:rPr>
          <w:rFonts w:ascii="Arial" w:cs="Arial" w:eastAsia="Arial" w:hAnsi="Arial"/>
          <w:sz w:val="18"/>
          <w:szCs w:val="18"/>
          <w:color w:val="auto"/>
        </w:rPr>
        <w:t>statements are available. The documents referred to in the preceding sentence shall be deemed delivered hereunder by the filing by Borrower of its quarterly report on Form 10-Q or annual report on Form 10-K (as applicable) on the date on which such documents are posted on Borrower’s behalf on an Internet website to which each Lender and Administrative Agent has access.</w:t>
      </w:r>
    </w:p>
    <w:p>
      <w:pPr>
        <w:spacing w:after="0" w:line="181" w:lineRule="exact"/>
        <w:rPr>
          <w:sz w:val="20"/>
          <w:szCs w:val="20"/>
          <w:color w:val="auto"/>
        </w:rPr>
      </w:pPr>
    </w:p>
    <w:p>
      <w:pPr>
        <w:ind w:firstLine="1305"/>
        <w:spacing w:after="0" w:line="342" w:lineRule="auto"/>
        <w:tabs>
          <w:tab w:leader="none" w:pos="16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23" w:lineRule="exact"/>
        <w:rPr>
          <w:rFonts w:ascii="Arial" w:cs="Arial" w:eastAsia="Arial" w:hAnsi="Arial"/>
          <w:sz w:val="16"/>
          <w:szCs w:val="16"/>
          <w:color w:val="auto"/>
        </w:rPr>
      </w:pPr>
    </w:p>
    <w:p>
      <w:pPr>
        <w:ind w:left="1660" w:hanging="355"/>
        <w:spacing w:after="0"/>
        <w:tabs>
          <w:tab w:leader="none" w:pos="1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right="20" w:firstLine="1305"/>
        <w:spacing w:after="0" w:line="277" w:lineRule="auto"/>
        <w:tabs>
          <w:tab w:leader="none" w:pos="16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70" w:lineRule="exact"/>
        <w:rPr>
          <w:sz w:val="20"/>
          <w:szCs w:val="20"/>
          <w:color w:val="auto"/>
        </w:rPr>
      </w:pPr>
    </w:p>
    <w:p>
      <w:pPr>
        <w:ind w:left="180" w:right="60" w:firstLine="1296"/>
        <w:spacing w:after="0" w:line="264"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Certain Extensions of Credit</w:t>
      </w:r>
      <w:r>
        <w:rPr>
          <w:rFonts w:ascii="Arial" w:cs="Arial" w:eastAsia="Arial" w:hAnsi="Arial"/>
          <w:sz w:val="18"/>
          <w:szCs w:val="18"/>
          <w:color w:val="auto"/>
        </w:rPr>
        <w:t>. Other than with respect to any Certain Funds Credit Extension (which shall be subject to Section 4.03), the obligation of each Lender to honor any Request for Extension of Credit (including the initial Extension of Credit, but other than a Conversion or Continuation) is subject to the following conditions precedent:</w:t>
      </w:r>
    </w:p>
    <w:p>
      <w:pPr>
        <w:spacing w:after="0" w:line="181" w:lineRule="exact"/>
        <w:rPr>
          <w:sz w:val="20"/>
          <w:szCs w:val="20"/>
          <w:color w:val="auto"/>
        </w:rPr>
      </w:pPr>
    </w:p>
    <w:p>
      <w:pPr>
        <w:ind w:right="220" w:firstLine="1305"/>
        <w:spacing w:after="0" w:line="259" w:lineRule="auto"/>
        <w:tabs>
          <w:tab w:leader="none" w:pos="15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true and correct in all material respects on and as of such earlier date.</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70" w:lineRule="exact"/>
        <w:rPr>
          <w:sz w:val="20"/>
          <w:szCs w:val="20"/>
          <w:color w:val="auto"/>
        </w:rPr>
      </w:pPr>
    </w:p>
    <w:p>
      <w:pPr>
        <w:jc w:val="both"/>
        <w:ind w:left="180" w:right="160" w:firstLine="1296"/>
        <w:spacing w:after="0" w:line="264"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Conditions to Certain Funds Credit Extensions</w:t>
      </w:r>
      <w:r>
        <w:rPr>
          <w:rFonts w:ascii="Arial" w:cs="Arial" w:eastAsia="Arial" w:hAnsi="Arial"/>
          <w:sz w:val="18"/>
          <w:szCs w:val="18"/>
          <w:color w:val="auto"/>
        </w:rPr>
        <w:t>. Notwithstanding anything in this Agreement to the contrary, the obligation of each Lender to honor any Request for Extension of Credit in respect of any Certain Funds Credit Extension during the Certain Funds Period is subject solely to the following conditions precedent:</w:t>
      </w:r>
    </w:p>
    <w:p>
      <w:pPr>
        <w:spacing w:after="0" w:line="181" w:lineRule="exact"/>
        <w:rPr>
          <w:sz w:val="20"/>
          <w:szCs w:val="20"/>
          <w:color w:val="auto"/>
        </w:rPr>
      </w:pPr>
    </w:p>
    <w:p>
      <w:pPr>
        <w:ind w:left="1720" w:hanging="415"/>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Amendment No. 1 Effective Date shall have occurred.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Draw-Stop Event shall have occurred and be continuing or would result from the proposed Certain Funds Credit Extension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 on such date.</w:t>
      </w:r>
    </w:p>
    <w:p>
      <w:pPr>
        <w:spacing w:after="0" w:line="210" w:lineRule="exact"/>
        <w:rPr>
          <w:rFonts w:ascii="Arial" w:cs="Arial" w:eastAsia="Arial" w:hAnsi="Arial"/>
          <w:sz w:val="16"/>
          <w:szCs w:val="16"/>
          <w:color w:val="auto"/>
        </w:rPr>
      </w:pPr>
    </w:p>
    <w:p>
      <w:pPr>
        <w:ind w:right="80" w:firstLine="1305"/>
        <w:spacing w:after="0" w:line="277" w:lineRule="auto"/>
        <w:tabs>
          <w:tab w:leader="none" w:pos="15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Major Event of Default shall have occurred and be continuing or would result from the proposed Certain Funds Credit Extension to be made on such date.</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6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It shall not be illegal for any Lender to lend and there is no injunction, restraining order or equivalent prohibiting any Lender from funding its portion of such Certain Funds Credit Extensions;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Lender has used commercially reasonable efforts to fund its such Certain Funds Credit Extensions through an Affiliate of such Lender not subject to such legal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 xml:space="preserve">restriction;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occurrence of such event in relation to one Lender shall not relieve any other Lender of its obligations hereunder.</w:t>
      </w:r>
    </w:p>
    <w:p>
      <w:pPr>
        <w:spacing w:after="0" w:line="237"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The Administrative Agent shall have received a Request for Extension of Credit otherwise in accordance with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left="180" w:firstLine="1296"/>
        <w:spacing w:after="0" w:line="272" w:lineRule="auto"/>
        <w:rPr>
          <w:sz w:val="20"/>
          <w:szCs w:val="20"/>
          <w:color w:val="auto"/>
        </w:rPr>
      </w:pPr>
      <w:r>
        <w:rPr>
          <w:rFonts w:ascii="Arial" w:cs="Arial" w:eastAsia="Arial" w:hAnsi="Arial"/>
          <w:sz w:val="17"/>
          <w:szCs w:val="17"/>
          <w:color w:val="auto"/>
        </w:rPr>
        <w:t xml:space="preserve">4.04 </w:t>
      </w:r>
      <w:r>
        <w:rPr>
          <w:rFonts w:ascii="Arial" w:cs="Arial" w:eastAsia="Arial" w:hAnsi="Arial"/>
          <w:sz w:val="17"/>
          <w:szCs w:val="17"/>
          <w:u w:val="single" w:color="auto"/>
          <w:color w:val="auto"/>
        </w:rPr>
        <w:t>Determinations Under Sections 4.01, 4.02 and 4.03</w:t>
      </w:r>
      <w:r>
        <w:rPr>
          <w:rFonts w:ascii="Arial" w:cs="Arial" w:eastAsia="Arial" w:hAnsi="Arial"/>
          <w:sz w:val="17"/>
          <w:szCs w:val="17"/>
          <w:color w:val="auto"/>
        </w:rPr>
        <w:t>. For purposes of determining compliance with the conditions specified in Section 4.01, 4.02 and 4.03 (as applicable), each Lender shall be deemed to have consented to, approved or accepted or to be satisfied with each document or other matter required thereunder to be consented to or approved by or acceptable or satisfactory to the Lenders unless an officer of Administrative Agent responsible for the transactions contemplated by this Agreement shall have received notice from such Lender prior to the Effective Date, the Amendment No. 1 Effective Date or the date of any Extension of Credit, as applicable, specifying its objection thereto. Administrative Agent (or its counsel) shall promptly notify the Lenders and Borrower in writing of the occurrence of the Effective Date and of the occurrence of the Amendment No. 1 Effective Date, which writings shall be conclusive and irrevocable.</w:t>
      </w:r>
    </w:p>
    <w:p>
      <w:pPr>
        <w:spacing w:after="0" w:line="178" w:lineRule="exact"/>
        <w:rPr>
          <w:sz w:val="20"/>
          <w:szCs w:val="20"/>
          <w:color w:val="auto"/>
        </w:rPr>
      </w:pPr>
    </w:p>
    <w:p>
      <w:pPr>
        <w:ind w:left="180" w:right="20" w:firstLine="1296"/>
        <w:spacing w:after="0" w:line="254" w:lineRule="auto"/>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Actions by Lenders During Certain Funds Period</w:t>
      </w:r>
      <w:r>
        <w:rPr>
          <w:rFonts w:ascii="Arial" w:cs="Arial" w:eastAsia="Arial" w:hAnsi="Arial"/>
          <w:sz w:val="18"/>
          <w:szCs w:val="18"/>
          <w:color w:val="auto"/>
        </w:rPr>
        <w:t xml:space="preserve">. Notwithstanding (x) anything to the contrary in this Agreement or any other Loan Document or (y) that any condition set forth in Section 4.01, Section 4.02 or Section 4.03 may subsequently be determined not to have been satisfied, during the Certain Funds Period (unless (i) a Major Event of Default has occurred and is continuing or, in respect of clause (c) below, would result therefrom, (ii) in respect of clause (c) below, the conditions set forth in Section 4.03, as applicable, are not satisfied or (iii) it becomes illegal for any Lender to maintain its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has used commercially reasonable efforts to maintain its Commitment through an Affiliate of such Lender not subject to a legal restriction and that the occurrence of such event in relation to one Lender shall not enable any other Lender to cancel its Revolving Commitment), each Lender shall comply with its obligations to fund any Certain Funds Credit Extension under the Loan Documents and no Lender shall:</w:t>
      </w:r>
    </w:p>
    <w:p>
      <w:pPr>
        <w:spacing w:after="0" w:line="192" w:lineRule="exact"/>
        <w:rPr>
          <w:sz w:val="20"/>
          <w:szCs w:val="20"/>
          <w:color w:val="auto"/>
        </w:rPr>
      </w:pPr>
    </w:p>
    <w:p>
      <w:pPr>
        <w:ind w:left="1540" w:hanging="235"/>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cancel any of its Revolving Commitments;</w:t>
      </w:r>
    </w:p>
    <w:p>
      <w:pPr>
        <w:spacing w:after="0" w:line="225" w:lineRule="exact"/>
        <w:rPr>
          <w:rFonts w:ascii="Arial" w:cs="Arial" w:eastAsia="Arial" w:hAnsi="Arial"/>
          <w:sz w:val="18"/>
          <w:szCs w:val="18"/>
          <w:color w:val="auto"/>
        </w:rPr>
      </w:pPr>
    </w:p>
    <w:p>
      <w:pPr>
        <w:ind w:right="20" w:firstLine="1305"/>
        <w:spacing w:after="0" w:line="308" w:lineRule="auto"/>
        <w:tabs>
          <w:tab w:leader="none" w:pos="1596"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rescind, terminate or cancel any Loan Document or exercise any similar right or remedy or make or enforce any claim under any Loan Document it may have to the extent to do so would prevent or limit the funding of any Borrowing in respect of any Certain Funds Credit Extension;</w:t>
      </w:r>
    </w:p>
    <w:p>
      <w:pPr>
        <w:spacing w:after="0" w:line="146" w:lineRule="exact"/>
        <w:rPr>
          <w:rFonts w:ascii="Arial" w:cs="Arial" w:eastAsia="Arial" w:hAnsi="Arial"/>
          <w:sz w:val="17"/>
          <w:szCs w:val="17"/>
          <w:color w:val="auto"/>
        </w:rPr>
      </w:pPr>
    </w:p>
    <w:p>
      <w:pPr>
        <w:ind w:left="1540" w:hanging="235"/>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refuse to fund any Loan in respect of any Certain Funds Credit Extension;</w:t>
      </w:r>
    </w:p>
    <w:p>
      <w:pPr>
        <w:spacing w:after="0" w:line="225" w:lineRule="exact"/>
        <w:rPr>
          <w:rFonts w:ascii="Arial" w:cs="Arial" w:eastAsia="Arial" w:hAnsi="Arial"/>
          <w:sz w:val="18"/>
          <w:szCs w:val="18"/>
          <w:color w:val="auto"/>
        </w:rPr>
      </w:pPr>
    </w:p>
    <w:p>
      <w:pPr>
        <w:ind w:right="420" w:firstLine="1305"/>
        <w:spacing w:after="0" w:line="277" w:lineRule="auto"/>
        <w:tabs>
          <w:tab w:leader="none" w:pos="15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exercise any right of set-off or counterclaim in respect of any Loan to the extent to do so would prevent or limit the funding of any Borrowing in respect of any Certain Funds Credit Extension;</w:t>
      </w:r>
    </w:p>
    <w:p>
      <w:pPr>
        <w:spacing w:after="0" w:line="170" w:lineRule="exact"/>
        <w:rPr>
          <w:rFonts w:ascii="Arial" w:cs="Arial" w:eastAsia="Arial" w:hAnsi="Arial"/>
          <w:sz w:val="18"/>
          <w:szCs w:val="18"/>
          <w:color w:val="auto"/>
        </w:rPr>
      </w:pPr>
    </w:p>
    <w:p>
      <w:pPr>
        <w:ind w:firstLine="1305"/>
        <w:spacing w:after="0" w:line="277" w:lineRule="auto"/>
        <w:tabs>
          <w:tab w:leader="none" w:pos="1613"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cancel, accelerate or cause repayment or prepayment of any amounts owing under any Loan Document to the extent to do so would prevent or limit the funding of any Certain Funds Credit Extension; or</w:t>
      </w:r>
    </w:p>
    <w:p>
      <w:pPr>
        <w:spacing w:after="0" w:line="170" w:lineRule="exact"/>
        <w:rPr>
          <w:rFonts w:ascii="Arial" w:cs="Arial" w:eastAsia="Arial" w:hAnsi="Arial"/>
          <w:sz w:val="18"/>
          <w:szCs w:val="18"/>
          <w:color w:val="auto"/>
        </w:rPr>
      </w:pPr>
    </w:p>
    <w:p>
      <w:pPr>
        <w:ind w:right="100" w:firstLine="1305"/>
        <w:spacing w:after="0" w:line="264" w:lineRule="auto"/>
        <w:tabs>
          <w:tab w:leader="none" w:pos="16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take any other action or make or enforce any claim or exercise any rights, entitlements or remedies it may have against any Loan Party or under the terms of any Loan Document to the extent to do so would, directly or indirectly, alter the conditions to drawing of a Certain Funds Credit Extension in a manner that is adverse to Borrower;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p>
      <w:pPr>
        <w:ind w:right="10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expiration of the Certain Funds Period all such rights, remedies and entitlements (to the extent otherwise available) shall be available to the Lenders notwithstanding that they may not have been used or been available for use during the Certain Funds Period.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4.05, Borrower represents and warrants to Administrative Agent and Lenders that:</w:t>
      </w:r>
    </w:p>
    <w:p>
      <w:pPr>
        <w:spacing w:after="0" w:line="225" w:lineRule="exact"/>
        <w:rPr>
          <w:sz w:val="20"/>
          <w:szCs w:val="20"/>
          <w:color w:val="auto"/>
        </w:rPr>
      </w:pPr>
    </w:p>
    <w:p>
      <w:pPr>
        <w:ind w:left="180" w:right="200" w:firstLine="1296"/>
        <w:spacing w:after="0" w:line="25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Power;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except, with respect to any Restricted Subsidiary that is not a Loan Party, to the extent that the failure to be so organized, formed, validly existing or in good standing does not have a Material Adverse Effect, and (b) is in compliance with all Laws, except to the extent that noncompliance does not have a Material Adverse Effect.</w:t>
      </w:r>
    </w:p>
    <w:p>
      <w:pPr>
        <w:spacing w:after="0" w:line="188" w:lineRule="exact"/>
        <w:rPr>
          <w:sz w:val="20"/>
          <w:szCs w:val="20"/>
          <w:color w:val="auto"/>
        </w:rPr>
      </w:pPr>
    </w:p>
    <w:p>
      <w:pPr>
        <w:ind w:left="180" w:firstLine="1296"/>
        <w:spacing w:after="0" w:line="289"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7" w:lineRule="exact"/>
        <w:rPr>
          <w:sz w:val="20"/>
          <w:szCs w:val="20"/>
          <w:color w:val="auto"/>
        </w:rPr>
      </w:pPr>
    </w:p>
    <w:p>
      <w:pPr>
        <w:ind w:left="180" w:right="160" w:firstLine="1296"/>
        <w:spacing w:after="0" w:line="276" w:lineRule="auto"/>
        <w:rPr>
          <w:sz w:val="20"/>
          <w:szCs w:val="20"/>
          <w:color w:val="auto"/>
        </w:rPr>
      </w:pPr>
      <w:r>
        <w:rPr>
          <w:rFonts w:ascii="Arial" w:cs="Arial" w:eastAsia="Arial" w:hAnsi="Arial"/>
          <w:sz w:val="17"/>
          <w:szCs w:val="17"/>
          <w:color w:val="auto"/>
        </w:rPr>
        <w:t xml:space="preserve">5.03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73"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64" w:lineRule="auto"/>
        <w:tabs>
          <w:tab w:leader="none" w:pos="15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color w:val="auto"/>
        </w:rPr>
        <w:t>(b) From December 31, 2015 to the Effective Date, there has been no event or circumstance which has a Material Adverse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jc w:val="both"/>
        <w:ind w:left="180" w:right="120" w:firstLine="1296"/>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1" w:lineRule="exact"/>
        <w:rPr>
          <w:sz w:val="20"/>
          <w:szCs w:val="20"/>
          <w:color w:val="auto"/>
        </w:rPr>
      </w:pPr>
    </w:p>
    <w:p>
      <w:pPr>
        <w:ind w:left="180" w:right="180" w:firstLine="1296"/>
        <w:spacing w:after="0" w:line="259"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Borrower will use the proceeds of the Extensions of Credit for general corporate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proceeds of any Certain Funds Credit Extension shall only be used for Certain Funds Purposes.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87" w:lineRule="exact"/>
        <w:rPr>
          <w:sz w:val="20"/>
          <w:szCs w:val="20"/>
          <w:color w:val="auto"/>
        </w:rPr>
      </w:pPr>
    </w:p>
    <w:p>
      <w:pPr>
        <w:ind w:left="180" w:firstLine="1296"/>
        <w:spacing w:after="0" w:line="27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Section 4.05, so long as any Obligation remains unpaid, or any portion of the Revolving Commitments remains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and shall (except in the case of Borrower’s reporting covenants), cause each Restricted Subsidiary to:</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Deliver to Administrative Agent and Lenders, in form and detail satisfactory to Administrative Agent:</w:t>
      </w:r>
    </w:p>
    <w:p>
      <w:pPr>
        <w:spacing w:after="0" w:line="237" w:lineRule="exact"/>
        <w:rPr>
          <w:sz w:val="20"/>
          <w:szCs w:val="20"/>
          <w:color w:val="auto"/>
        </w:rPr>
      </w:pPr>
    </w:p>
    <w:p>
      <w:pPr>
        <w:ind w:right="100" w:firstLine="1305"/>
        <w:spacing w:after="0" w:line="297" w:lineRule="auto"/>
        <w:tabs>
          <w:tab w:leader="none" w:pos="1586"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58" w:lineRule="exact"/>
        <w:rPr>
          <w:rFonts w:ascii="Arial" w:cs="Arial" w:eastAsia="Arial" w:hAnsi="Arial"/>
          <w:sz w:val="16"/>
          <w:szCs w:val="16"/>
          <w:color w:val="auto"/>
        </w:rPr>
      </w:pPr>
    </w:p>
    <w:p>
      <w:pPr>
        <w:ind w:firstLine="1305"/>
        <w:spacing w:after="0" w:line="259" w:lineRule="auto"/>
        <w:tabs>
          <w:tab w:leader="none" w:pos="15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00" w:name="page101"/>
    <w:bookmarkEnd w:id="100"/>
    <w:p>
      <w:pPr>
        <w:ind w:right="80"/>
        <w:spacing w:after="0" w:line="286" w:lineRule="auto"/>
        <w:rPr>
          <w:sz w:val="20"/>
          <w:szCs w:val="20"/>
          <w:color w:val="auto"/>
        </w:rPr>
      </w:pPr>
      <w:r>
        <w:rPr>
          <w:rFonts w:ascii="Arial" w:cs="Arial" w:eastAsia="Arial" w:hAnsi="Arial"/>
          <w:sz w:val="17"/>
          <w:szCs w:val="17"/>
          <w:color w:val="auto"/>
        </w:rPr>
        <w:t>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66" w:lineRule="exact"/>
        <w:rPr>
          <w:sz w:val="20"/>
          <w:szCs w:val="20"/>
          <w:color w:val="auto"/>
        </w:rPr>
      </w:pPr>
    </w:p>
    <w:p>
      <w:pPr>
        <w:jc w:val="both"/>
        <w:ind w:right="160" w:firstLine="1305"/>
        <w:spacing w:after="0" w:line="279" w:lineRule="auto"/>
        <w:tabs>
          <w:tab w:leader="none" w:pos="1586" w:val="left"/>
        </w:tabs>
        <w:numPr>
          <w:ilvl w:val="0"/>
          <w:numId w:val="76"/>
        </w:numPr>
        <w:rPr>
          <w:rFonts w:ascii="Arial" w:cs="Arial" w:eastAsia="Arial" w:hAnsi="Arial"/>
          <w:sz w:val="17"/>
          <w:szCs w:val="17"/>
          <w:color w:val="auto"/>
        </w:rPr>
      </w:pPr>
      <w:r>
        <w:rPr>
          <w:rFonts w:ascii="Arial" w:cs="Arial" w:eastAsia="Arial" w:hAnsi="Arial"/>
          <w:sz w:val="17"/>
          <w:szCs w:val="17"/>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71" w:lineRule="exact"/>
        <w:rPr>
          <w:sz w:val="20"/>
          <w:szCs w:val="20"/>
          <w:color w:val="auto"/>
        </w:rPr>
      </w:pPr>
    </w:p>
    <w:p>
      <w:pPr>
        <w:jc w:val="right"/>
        <w:spacing w:after="0"/>
        <w:tabs>
          <w:tab w:leader="none" w:pos="93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7"/>
          <w:szCs w:val="17"/>
          <w:u w:val="single" w:color="auto"/>
          <w:color w:val="auto"/>
        </w:rPr>
        <w:t>Certificates, Notices and Other Information</w:t>
      </w:r>
      <w:r>
        <w:rPr>
          <w:rFonts w:ascii="Arial" w:cs="Arial" w:eastAsia="Arial" w:hAnsi="Arial"/>
          <w:sz w:val="17"/>
          <w:szCs w:val="17"/>
          <w:color w:val="auto"/>
        </w:rPr>
        <w:t>. Deliver to Administrative Agent in form and detail satisfactory to Administrative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right="320" w:firstLine="1305"/>
        <w:spacing w:after="0" w:line="257" w:lineRule="auto"/>
        <w:tabs>
          <w:tab w:leader="none" w:pos="1586"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8" w:lineRule="exact"/>
        <w:rPr>
          <w:rFonts w:ascii="Arial" w:cs="Arial" w:eastAsia="Arial" w:hAnsi="Arial"/>
          <w:sz w:val="18"/>
          <w:szCs w:val="18"/>
          <w:color w:val="auto"/>
        </w:rPr>
      </w:pPr>
    </w:p>
    <w:p>
      <w:pPr>
        <w:ind w:right="200" w:firstLine="1305"/>
        <w:spacing w:after="0" w:line="264" w:lineRule="auto"/>
        <w:tabs>
          <w:tab w:leader="none" w:pos="15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1" w:lineRule="exact"/>
        <w:rPr>
          <w:rFonts w:ascii="Arial" w:cs="Arial" w:eastAsia="Arial" w:hAnsi="Arial"/>
          <w:sz w:val="18"/>
          <w:szCs w:val="18"/>
          <w:color w:val="auto"/>
        </w:rPr>
      </w:pPr>
    </w:p>
    <w:p>
      <w:pPr>
        <w:ind w:right="380" w:firstLine="1305"/>
        <w:spacing w:after="0" w:line="277" w:lineRule="auto"/>
        <w:tabs>
          <w:tab w:leader="none" w:pos="1586"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Default or Event of Default specifying the nature thereof and what action Borrower has taken, is taking or proposes to take with respect thereto;</w:t>
      </w:r>
    </w:p>
    <w:p>
      <w:pPr>
        <w:spacing w:after="0" w:line="170" w:lineRule="exact"/>
        <w:rPr>
          <w:rFonts w:ascii="Arial" w:cs="Arial" w:eastAsia="Arial" w:hAnsi="Arial"/>
          <w:sz w:val="18"/>
          <w:szCs w:val="18"/>
          <w:color w:val="auto"/>
        </w:rPr>
      </w:pPr>
    </w:p>
    <w:p>
      <w:pPr>
        <w:ind w:right="520" w:firstLine="1305"/>
        <w:spacing w:after="0" w:line="277" w:lineRule="auto"/>
        <w:tabs>
          <w:tab w:leader="none" w:pos="16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jc w:val="both"/>
        <w:ind w:right="60" w:firstLine="1305"/>
        <w:spacing w:after="0" w:line="312" w:lineRule="auto"/>
        <w:tabs>
          <w:tab w:leader="none" w:pos="1613"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47" w:lineRule="exact"/>
        <w:rPr>
          <w:sz w:val="20"/>
          <w:szCs w:val="20"/>
          <w:color w:val="auto"/>
        </w:rPr>
      </w:pPr>
    </w:p>
    <w:p>
      <w:pPr>
        <w:ind w:left="180" w:right="180" w:firstLine="1296"/>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7" w:lineRule="exact"/>
        <w:rPr>
          <w:sz w:val="20"/>
          <w:szCs w:val="20"/>
          <w:color w:val="auto"/>
        </w:rPr>
      </w:pPr>
    </w:p>
    <w:p>
      <w:pPr>
        <w:ind w:left="180" w:right="440" w:firstLine="1296"/>
        <w:spacing w:after="0" w:line="27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01" w:name="page102"/>
    <w:bookmarkEnd w:id="101"/>
    <w:p>
      <w:pPr>
        <w:ind w:right="360"/>
        <w:spacing w:after="0" w:line="277" w:lineRule="auto"/>
        <w:rPr>
          <w:sz w:val="20"/>
          <w:szCs w:val="20"/>
          <w:color w:val="auto"/>
        </w:rPr>
      </w:pPr>
      <w:r>
        <w:rPr>
          <w:rFonts w:ascii="Arial" w:cs="Arial" w:eastAsia="Arial" w:hAnsi="Arial"/>
          <w:sz w:val="18"/>
          <w:szCs w:val="18"/>
          <w:color w:val="auto"/>
        </w:rPr>
        <w:t>where failure to do so does not have a Material Adverse Effect, and except that nothing in this Section shall prohibit any transaction permitted by Section 7.03.</w:t>
      </w:r>
    </w:p>
    <w:p>
      <w:pPr>
        <w:spacing w:after="0" w:line="17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Designation of Unrestricted Subsidiaries</w:t>
      </w:r>
      <w:r>
        <w:rPr>
          <w:rFonts w:ascii="Arial" w:cs="Arial" w:eastAsia="Arial" w:hAnsi="Arial"/>
          <w:sz w:val="16"/>
          <w:szCs w:val="16"/>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7.06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(x) each Guarantor shall at all times be a Restricted Subsidiary for all purposes hereunder unless such Guarantor is simultaneously released as a Guarantor upon such designation as contemplated pursuant to Section 6.10,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6.08 as Unrestricted Subsidiaries.</w:t>
      </w:r>
    </w:p>
    <w:p>
      <w:pPr>
        <w:spacing w:after="0" w:line="172"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Borrower will maintain in effect and enforce policies and procedures reasonably designed to promote compliance by Borrower, its Subsidiaries and their respective directors, officers, employees and agents with Anti-Corruption Laws and applicable Sanctions.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p>
      <w:pPr>
        <w:ind w:left="100" w:firstLine="1296"/>
        <w:spacing w:after="0" w:line="28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Guarantors</w:t>
      </w:r>
      <w:r>
        <w:rPr>
          <w:rFonts w:ascii="Arial" w:cs="Arial" w:eastAsia="Arial" w:hAnsi="Arial"/>
          <w:sz w:val="16"/>
          <w:szCs w:val="16"/>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Subject to Section 4.05, so long as any Obligations remain unpaid, or any portion of the Revolving Commitments remains outstanding:</w:t>
      </w:r>
    </w:p>
    <w:p>
      <w:pPr>
        <w:spacing w:after="0" w:line="248" w:lineRule="exact"/>
        <w:rPr>
          <w:sz w:val="20"/>
          <w:szCs w:val="20"/>
          <w:color w:val="auto"/>
        </w:rPr>
      </w:pPr>
    </w:p>
    <w:p>
      <w:pPr>
        <w:jc w:val="both"/>
        <w:ind w:left="100" w:right="320" w:firstLine="1296"/>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81" w:lineRule="exact"/>
        <w:rPr>
          <w:sz w:val="20"/>
          <w:szCs w:val="20"/>
          <w:color w:val="auto"/>
        </w:rPr>
      </w:pPr>
    </w:p>
    <w:p>
      <w:pPr>
        <w:ind w:left="1460" w:hanging="235"/>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left="-80" w:right="200" w:firstLine="1305"/>
        <w:spacing w:after="0" w:line="264" w:lineRule="auto"/>
        <w:tabs>
          <w:tab w:leader="none" w:pos="151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existing on the date hereof securing Indebtedness for borrowed money (including without duplication Guaranty Obligations in respect thereof) that does not exceed $750,000,000 in the aggregate, and any renewals or extensions thereof, provided that such Liens are not extended to cover any other property, assets or revenues;</w:t>
      </w:r>
    </w:p>
    <w:p>
      <w:pPr>
        <w:spacing w:after="0" w:line="181" w:lineRule="exact"/>
        <w:rPr>
          <w:rFonts w:ascii="Arial" w:cs="Arial" w:eastAsia="Arial" w:hAnsi="Arial"/>
          <w:sz w:val="18"/>
          <w:szCs w:val="18"/>
          <w:color w:val="auto"/>
        </w:rPr>
      </w:pPr>
    </w:p>
    <w:p>
      <w:pPr>
        <w:ind w:left="1460" w:hanging="235"/>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1520" w:hanging="295"/>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left="-80" w:right="80" w:firstLine="1305"/>
        <w:spacing w:after="0" w:line="259" w:lineRule="auto"/>
        <w:tabs>
          <w:tab w:leader="none" w:pos="15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103" w:name="page104"/>
    <w:bookmarkEnd w:id="103"/>
    <w:p>
      <w:pPr>
        <w:jc w:val="both"/>
        <w:ind w:left="-120" w:right="320" w:firstLine="1305"/>
        <w:spacing w:after="0" w:line="264" w:lineRule="auto"/>
        <w:tabs>
          <w:tab w:leader="none" w:pos="14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$1,000,000,000 in the aggregate;</w:t>
      </w:r>
    </w:p>
    <w:p>
      <w:pPr>
        <w:spacing w:after="0" w:line="181" w:lineRule="exact"/>
        <w:rPr>
          <w:rFonts w:ascii="Arial" w:cs="Arial" w:eastAsia="Arial" w:hAnsi="Arial"/>
          <w:sz w:val="18"/>
          <w:szCs w:val="18"/>
          <w:color w:val="auto"/>
        </w:rPr>
      </w:pPr>
    </w:p>
    <w:p>
      <w:pPr>
        <w:ind w:left="-120" w:right="680" w:firstLine="1305"/>
        <w:spacing w:after="0" w:line="277" w:lineRule="auto"/>
        <w:tabs>
          <w:tab w:leader="none" w:pos="14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70" w:lineRule="exact"/>
        <w:rPr>
          <w:rFonts w:ascii="Arial" w:cs="Arial" w:eastAsia="Arial" w:hAnsi="Arial"/>
          <w:sz w:val="18"/>
          <w:szCs w:val="18"/>
          <w:color w:val="auto"/>
        </w:rPr>
      </w:pPr>
    </w:p>
    <w:p>
      <w:pPr>
        <w:ind w:left="1480" w:hanging="295"/>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not otherwise permitted hereby which secure Indebtedness incurred pursuant to Asset Monetization Transactions;</w:t>
      </w:r>
    </w:p>
    <w:p>
      <w:pPr>
        <w:spacing w:after="0" w:line="225" w:lineRule="exact"/>
        <w:rPr>
          <w:rFonts w:ascii="Arial" w:cs="Arial" w:eastAsia="Arial" w:hAnsi="Arial"/>
          <w:sz w:val="18"/>
          <w:szCs w:val="18"/>
          <w:color w:val="auto"/>
        </w:rPr>
      </w:pPr>
    </w:p>
    <w:p>
      <w:pPr>
        <w:jc w:val="both"/>
        <w:ind w:left="-120" w:right="380" w:firstLine="1305"/>
        <w:spacing w:after="0" w:line="259" w:lineRule="auto"/>
        <w:tabs>
          <w:tab w:leader="none" w:pos="14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Liens on any assets of the Target Group which Liens (i) are existing as of the Final Closing Date, (ii) are not incurred to secure indebtedness financing the Target Acquisition and (iii) do not extend to other assets other than (x) after acquired property that is automatically subject to such Lien, (y) proceeds and products of such property and any replacement, improvement, accessions or additions thereto and (B) any modification, replacement, refinancing, renewal or extension of such Lien; and</w:t>
      </w:r>
    </w:p>
    <w:p>
      <w:pPr>
        <w:spacing w:after="0" w:line="186" w:lineRule="exact"/>
        <w:rPr>
          <w:rFonts w:ascii="Arial" w:cs="Arial" w:eastAsia="Arial" w:hAnsi="Arial"/>
          <w:sz w:val="18"/>
          <w:szCs w:val="18"/>
          <w:color w:val="auto"/>
        </w:rPr>
      </w:pPr>
    </w:p>
    <w:p>
      <w:pPr>
        <w:ind w:left="-120" w:right="160" w:firstLine="1305"/>
        <w:spacing w:after="0" w:line="312" w:lineRule="auto"/>
        <w:tabs>
          <w:tab w:leader="none" w:pos="14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Tangible Assets minus (y) the amount, if any, of any unsecured Indebtedness incurred by any Restricted Subsidiary that is not a Guarantor pursuant to Section 7.02.</w:t>
      </w:r>
    </w:p>
    <w:p>
      <w:pPr>
        <w:spacing w:after="0" w:line="147" w:lineRule="exact"/>
        <w:rPr>
          <w:sz w:val="20"/>
          <w:szCs w:val="20"/>
          <w:color w:val="auto"/>
        </w:rPr>
      </w:pPr>
    </w:p>
    <w:p>
      <w:pPr>
        <w:ind w:left="60" w:right="300" w:firstLine="1296"/>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jc w:val="both"/>
        <w:ind w:left="-120" w:right="200" w:firstLine="1305"/>
        <w:spacing w:after="0" w:line="264" w:lineRule="auto"/>
        <w:tabs>
          <w:tab w:leader="none" w:pos="14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all extensions, renewals and replacements of such Indebtedness that do not increase the outstanding principal amount thereof;</w:t>
      </w:r>
    </w:p>
    <w:p>
      <w:pPr>
        <w:spacing w:after="0" w:line="181" w:lineRule="exact"/>
        <w:rPr>
          <w:rFonts w:ascii="Arial" w:cs="Arial" w:eastAsia="Arial" w:hAnsi="Arial"/>
          <w:sz w:val="18"/>
          <w:szCs w:val="18"/>
          <w:color w:val="auto"/>
        </w:rPr>
      </w:pPr>
    </w:p>
    <w:p>
      <w:pPr>
        <w:ind w:left="1440" w:hanging="255"/>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225" w:lineRule="exact"/>
        <w:rPr>
          <w:rFonts w:ascii="Arial" w:cs="Arial" w:eastAsia="Arial" w:hAnsi="Arial"/>
          <w:sz w:val="18"/>
          <w:szCs w:val="18"/>
          <w:color w:val="auto"/>
        </w:rPr>
      </w:pPr>
    </w:p>
    <w:p>
      <w:pPr>
        <w:ind w:left="-120" w:right="520" w:firstLine="1305"/>
        <w:spacing w:after="0" w:line="277" w:lineRule="auto"/>
        <w:tabs>
          <w:tab w:leader="none" w:pos="14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Indebtedness of the Target Group that (i) is existing as of the Final Closing Date and (ii) is not incurred to finance the Target Acquisition and (B) any modification, replacement, refinancing, renewal or extension of such Indebtedness; and</w:t>
      </w:r>
    </w:p>
    <w:p>
      <w:pPr>
        <w:spacing w:after="0" w:line="170" w:lineRule="exact"/>
        <w:rPr>
          <w:rFonts w:ascii="Arial" w:cs="Arial" w:eastAsia="Arial" w:hAnsi="Arial"/>
          <w:sz w:val="18"/>
          <w:szCs w:val="18"/>
          <w:color w:val="auto"/>
        </w:rPr>
      </w:pPr>
    </w:p>
    <w:p>
      <w:pPr>
        <w:ind w:left="-120" w:firstLine="1305"/>
        <w:spacing w:after="0" w:line="264" w:lineRule="auto"/>
        <w:tabs>
          <w:tab w:leader="none" w:pos="14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in an aggregate principal amount for all such Restricted Subsidiaries that are not Guarantors not exceeding at any time (x) 15% of Consolidated Net Tangible Assets minus (y) the amount, if any, of Indebtedness for borrowed money (including without duplication Guaranty Obligations in respect thereof) of any Loan Party secured pursuant to Section 7.01(j).</w:t>
      </w:r>
    </w:p>
    <w:p>
      <w:pPr>
        <w:spacing w:after="0" w:line="181" w:lineRule="exact"/>
        <w:rPr>
          <w:sz w:val="20"/>
          <w:szCs w:val="20"/>
          <w:color w:val="auto"/>
        </w:rPr>
      </w:pPr>
    </w:p>
    <w:p>
      <w:pPr>
        <w:ind w:left="60" w:right="120" w:firstLine="1296"/>
        <w:spacing w:after="0" w:line="264"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(a) Borrower shall not (A) merge or consolidate with or into any Person or (B) liquidate, wind-up or dissolve itself or (C) sell, transfer or dispose of all or substantially all of its assets, provided that nothing in this Section 7.03 shall be construed to prohibit Borrower from reincorporating in another jurisdiction permitted by clause (iii) below, changing its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60" w:top="584" w:right="299" w:bottom="1440" w:gutter="0" w:footer="0" w:header="0"/>
        </w:sectPr>
      </w:pPr>
    </w:p>
    <w:bookmarkStart w:id="104" w:name="page105"/>
    <w:bookmarkEnd w:id="104"/>
    <w:p>
      <w:pPr>
        <w:ind w:left="180"/>
        <w:spacing w:after="0"/>
        <w:rPr>
          <w:sz w:val="20"/>
          <w:szCs w:val="20"/>
          <w:color w:val="auto"/>
        </w:rPr>
      </w:pPr>
      <w:r>
        <w:rPr>
          <w:rFonts w:ascii="Arial" w:cs="Arial" w:eastAsia="Arial" w:hAnsi="Arial"/>
          <w:sz w:val="18"/>
          <w:szCs w:val="18"/>
          <w:color w:val="auto"/>
        </w:rPr>
        <w:t>form of organization or merging into, or transferring all or substantially all of its assets to, another Person so long as:</w:t>
      </w:r>
    </w:p>
    <w:p>
      <w:pPr>
        <w:spacing w:after="0" w:line="225" w:lineRule="exact"/>
        <w:rPr>
          <w:sz w:val="20"/>
          <w:szCs w:val="20"/>
          <w:color w:val="auto"/>
        </w:rPr>
      </w:pPr>
    </w:p>
    <w:p>
      <w:pPr>
        <w:ind w:left="1300" w:right="20" w:firstLine="653"/>
        <w:spacing w:after="0" w:line="288" w:lineRule="auto"/>
        <w:tabs>
          <w:tab w:leader="none" w:pos="220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w:t>
      </w:r>
    </w:p>
    <w:p>
      <w:pPr>
        <w:ind w:left="1300" w:right="100" w:firstLine="5"/>
        <w:spacing w:after="0" w:line="252" w:lineRule="auto"/>
        <w:tabs>
          <w:tab w:leader="none" w:pos="15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w:t>
      </w:r>
    </w:p>
    <w:p>
      <w:pPr>
        <w:spacing w:after="0" w:line="194" w:lineRule="exact"/>
        <w:rPr>
          <w:rFonts w:ascii="Arial" w:cs="Arial" w:eastAsia="Arial" w:hAnsi="Arial"/>
          <w:sz w:val="18"/>
          <w:szCs w:val="18"/>
          <w:color w:val="auto"/>
        </w:rPr>
      </w:pPr>
    </w:p>
    <w:p>
      <w:pPr>
        <w:ind w:left="2280" w:hanging="327"/>
        <w:spacing w:after="0"/>
        <w:tabs>
          <w:tab w:leader="none" w:pos="22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210" w:lineRule="exact"/>
        <w:rPr>
          <w:rFonts w:ascii="Arial" w:cs="Arial" w:eastAsia="Arial" w:hAnsi="Arial"/>
          <w:sz w:val="17"/>
          <w:szCs w:val="17"/>
          <w:color w:val="auto"/>
        </w:rPr>
      </w:pPr>
    </w:p>
    <w:p>
      <w:pPr>
        <w:ind w:left="1300" w:right="80" w:firstLine="653"/>
        <w:spacing w:after="0" w:line="277" w:lineRule="auto"/>
        <w:tabs>
          <w:tab w:leader="none" w:pos="23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Borrower or a Successor Corporation’s jurisdiction of organization shall be a state within in the United States of America or the District of Columbia.</w:t>
      </w:r>
    </w:p>
    <w:p>
      <w:pPr>
        <w:spacing w:after="0" w:line="170" w:lineRule="exact"/>
        <w:rPr>
          <w:sz w:val="20"/>
          <w:szCs w:val="20"/>
          <w:color w:val="auto"/>
        </w:rPr>
      </w:pPr>
    </w:p>
    <w:p>
      <w:pPr>
        <w:ind w:right="860" w:firstLine="1305"/>
        <w:spacing w:after="0" w:line="277" w:lineRule="auto"/>
        <w:tabs>
          <w:tab w:leader="none" w:pos="15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operate cable, media and other communications businesses as its primary lines of business.</w:t>
      </w:r>
    </w:p>
    <w:p>
      <w:pPr>
        <w:spacing w:after="0" w:line="170"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Notwithstanding anything to the contrary herein, for the avoidance of doubt, this Section 7.03 shall not apply to the Target Acquisition or any transactions undertaken to implement the Target Acquisition, in accordance with the Offer Documents or the Scheme Documents and the Target Acquisition shall be permitted hereunder.</w:t>
      </w:r>
    </w:p>
    <w:p>
      <w:pPr>
        <w:spacing w:after="0" w:line="18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w:t>
      </w:r>
    </w:p>
    <w:p>
      <w:pPr>
        <w:spacing w:after="0" w:line="46" w:lineRule="exact"/>
        <w:rPr>
          <w:sz w:val="20"/>
          <w:szCs w:val="20"/>
          <w:color w:val="auto"/>
        </w:rPr>
      </w:pPr>
    </w:p>
    <w:p>
      <w:pPr>
        <w:ind w:left="180" w:right="460" w:hanging="10"/>
        <w:spacing w:after="0" w:line="255" w:lineRule="auto"/>
        <w:tabs>
          <w:tab w:leader="none" w:pos="3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engage in any non-exempt “prohibited transaction” (as defined in Section 4975 of the Code) or (ii) fail to comply with ERISA or any other Laws applicable to a Plan or (b) the occurrence of any ERISA Event; which, with respect to each event described in clauses (a) or (b) above, has a Material Adverse Effect.</w:t>
      </w:r>
    </w:p>
    <w:p>
      <w:pPr>
        <w:spacing w:after="0" w:line="190" w:lineRule="exact"/>
        <w:rPr>
          <w:sz w:val="20"/>
          <w:szCs w:val="20"/>
          <w:color w:val="auto"/>
        </w:rPr>
      </w:pPr>
    </w:p>
    <w:p>
      <w:pPr>
        <w:ind w:left="180" w:firstLine="1296"/>
        <w:spacing w:after="0" w:line="293"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Borrower will not request any Borrowing or Letter of Credit, and Borrower shall not use, and shall not make available to its Subsidiaries and its or their respective directors, officers, employees and agents,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such activities, business or transaction are not prohibited by any Sanctions applicable to Borrower or any of its Subsidiaries, or (C) in any manner that would result in the violation of any Sanctions applicable to any party hereto.</w:t>
      </w:r>
    </w:p>
    <w:p>
      <w:pPr>
        <w:spacing w:after="0" w:line="16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Financial Covenant</w:t>
      </w:r>
      <w:r>
        <w:rPr>
          <w:rFonts w:ascii="Arial" w:cs="Arial" w:eastAsia="Arial" w:hAnsi="Arial"/>
          <w:sz w:val="16"/>
          <w:szCs w:val="16"/>
          <w:color w:val="auto"/>
        </w:rPr>
        <w:t>. Borrower shall not permit the Leverage Ratio as of the end of any fiscal quarter of Borrower to be greater than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5.75 to 1.00.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5" w:name="page106"/>
    <w:bookmarkEnd w:id="105"/>
    <w:p>
      <w:pPr>
        <w:jc w:val="center"/>
        <w:ind w:right="-99"/>
        <w:spacing w:after="0"/>
        <w:rPr>
          <w:sz w:val="20"/>
          <w:szCs w:val="20"/>
          <w:color w:val="auto"/>
        </w:rPr>
      </w:pPr>
      <w:r>
        <w:rPr>
          <w:rFonts w:ascii="Arial" w:cs="Arial" w:eastAsia="Arial" w:hAnsi="Arial"/>
          <w:sz w:val="18"/>
          <w:szCs w:val="18"/>
          <w:color w:val="auto"/>
        </w:rPr>
        <w:t>SECTION 8</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Subject to Section 4.05, any one or more of the following events shall constitute an Event of Default: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Borrower fails to pay any principal on any of its Outstanding Revolving Obligations or Competitive Loans (other than fees)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when due; or</w:t>
      </w:r>
    </w:p>
    <w:p>
      <w:pPr>
        <w:spacing w:after="0" w:line="211" w:lineRule="exact"/>
        <w:rPr>
          <w:sz w:val="20"/>
          <w:szCs w:val="20"/>
          <w:color w:val="auto"/>
        </w:rPr>
      </w:pPr>
    </w:p>
    <w:p>
      <w:pPr>
        <w:ind w:right="80" w:firstLine="1305"/>
        <w:spacing w:after="0" w:line="264" w:lineRule="auto"/>
        <w:tabs>
          <w:tab w:leader="none" w:pos="15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7.06; or</w:t>
      </w:r>
    </w:p>
    <w:p>
      <w:pPr>
        <w:spacing w:after="0" w:line="225" w:lineRule="exact"/>
        <w:rPr>
          <w:rFonts w:ascii="Arial" w:cs="Arial" w:eastAsia="Arial" w:hAnsi="Arial"/>
          <w:sz w:val="18"/>
          <w:szCs w:val="18"/>
          <w:color w:val="auto"/>
        </w:rPr>
      </w:pPr>
    </w:p>
    <w:p>
      <w:pPr>
        <w:jc w:val="both"/>
        <w:ind w:right="560" w:firstLine="1305"/>
        <w:spacing w:after="0" w:line="264" w:lineRule="auto"/>
        <w:tabs>
          <w:tab w:leader="none" w:pos="15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1" w:lineRule="exact"/>
        <w:rPr>
          <w:rFonts w:ascii="Arial" w:cs="Arial" w:eastAsia="Arial" w:hAnsi="Arial"/>
          <w:sz w:val="18"/>
          <w:szCs w:val="18"/>
          <w:color w:val="auto"/>
        </w:rPr>
      </w:pPr>
    </w:p>
    <w:p>
      <w:pPr>
        <w:ind w:right="200" w:firstLine="1305"/>
        <w:spacing w:after="0" w:line="277" w:lineRule="auto"/>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ind w:firstLine="1305"/>
        <w:spacing w:after="0" w:line="270" w:lineRule="auto"/>
        <w:tabs>
          <w:tab w:leader="none" w:pos="1566"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or</w:t>
      </w:r>
    </w:p>
    <w:p>
      <w:pPr>
        <w:spacing w:after="0" w:line="181" w:lineRule="exact"/>
        <w:rPr>
          <w:rFonts w:ascii="Arial" w:cs="Arial" w:eastAsia="Arial" w:hAnsi="Arial"/>
          <w:sz w:val="17"/>
          <w:szCs w:val="17"/>
          <w:color w:val="auto"/>
        </w:rPr>
      </w:pPr>
    </w:p>
    <w:p>
      <w:pPr>
        <w:ind w:right="360" w:firstLine="1305"/>
        <w:spacing w:after="0" w:line="302" w:lineRule="auto"/>
        <w:tabs>
          <w:tab w:leader="none" w:pos="15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a Guarantor denies in writing that it has any or further liability or obligation under the Guarantee Agreement, or purports to revoke, terminate or rescind the Guarantee Agreement in writing; or</w:t>
      </w:r>
    </w:p>
    <w:p>
      <w:pPr>
        <w:spacing w:after="0" w:line="154" w:lineRule="exact"/>
        <w:rPr>
          <w:rFonts w:ascii="Arial" w:cs="Arial" w:eastAsia="Arial" w:hAnsi="Arial"/>
          <w:sz w:val="16"/>
          <w:szCs w:val="16"/>
          <w:color w:val="auto"/>
        </w:rPr>
      </w:pPr>
    </w:p>
    <w:p>
      <w:pPr>
        <w:ind w:left="1600" w:hanging="295"/>
        <w:spacing w:after="0"/>
        <w:tabs>
          <w:tab w:leader="none" w:pos="1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final non-appealable judgment against Borrower or any of its Significant Subsidiaries is entered for the payment of money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(which is not covered by insurance) in excess of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06" w:name="page107"/>
    <w:bookmarkEnd w:id="106"/>
    <w:p>
      <w:pPr>
        <w:ind w:right="500"/>
        <w:spacing w:after="0" w:line="277" w:lineRule="auto"/>
        <w:rPr>
          <w:sz w:val="20"/>
          <w:szCs w:val="20"/>
          <w:color w:val="auto"/>
        </w:rPr>
      </w:pPr>
      <w:r>
        <w:rPr>
          <w:rFonts w:ascii="Arial" w:cs="Arial" w:eastAsia="Arial" w:hAnsi="Arial"/>
          <w:sz w:val="18"/>
          <w:szCs w:val="18"/>
          <w:color w:val="auto"/>
        </w:rPr>
        <w:t>Threshold Amount if such judgment remains unsatisfied without procurement of a stay of execution for 60 calendar days after the date of entry of such judgment; or</w:t>
      </w:r>
    </w:p>
    <w:p>
      <w:pPr>
        <w:spacing w:after="0" w:line="170" w:lineRule="exact"/>
        <w:rPr>
          <w:sz w:val="20"/>
          <w:szCs w:val="20"/>
          <w:color w:val="auto"/>
        </w:rPr>
      </w:pPr>
    </w:p>
    <w:p>
      <w:pPr>
        <w:ind w:firstLine="1305"/>
        <w:spacing w:after="0" w:line="273" w:lineRule="auto"/>
        <w:tabs>
          <w:tab w:leader="none" w:pos="1556" w:val="left"/>
        </w:tabs>
        <w:numPr>
          <w:ilvl w:val="0"/>
          <w:numId w:val="86"/>
        </w:numPr>
        <w:rPr>
          <w:rFonts w:ascii="Arial" w:cs="Arial" w:eastAsia="Arial" w:hAnsi="Arial"/>
          <w:sz w:val="17"/>
          <w:szCs w:val="17"/>
          <w:color w:val="auto"/>
        </w:rPr>
      </w:pPr>
      <w:r>
        <w:rPr>
          <w:rFonts w:ascii="Arial" w:cs="Arial" w:eastAsia="Arial" w:hAnsi="Arial"/>
          <w:sz w:val="17"/>
          <w:szCs w:val="17"/>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78" w:lineRule="exact"/>
        <w:rPr>
          <w:rFonts w:ascii="Arial" w:cs="Arial" w:eastAsia="Arial" w:hAnsi="Arial"/>
          <w:sz w:val="17"/>
          <w:szCs w:val="17"/>
          <w:color w:val="auto"/>
        </w:rPr>
      </w:pPr>
    </w:p>
    <w:p>
      <w:pPr>
        <w:ind w:left="1520" w:hanging="215"/>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jc w:val="both"/>
        <w:ind w:left="180" w:right="220" w:firstLine="1296"/>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Administrative Agent or Lenders provided for elsewhere in this Agreement, or the other Loan Documents, or by applicable Law, or in equity, or otherwise (but subject in all cases to the limitations set forth in Section 4.05):</w:t>
      </w:r>
    </w:p>
    <w:p>
      <w:pPr>
        <w:spacing w:after="0" w:line="181" w:lineRule="exact"/>
        <w:rPr>
          <w:sz w:val="20"/>
          <w:szCs w:val="20"/>
          <w:color w:val="auto"/>
        </w:rPr>
      </w:pPr>
    </w:p>
    <w:p>
      <w:pPr>
        <w:ind w:left="1540" w:hanging="235"/>
        <w:spacing w:after="0"/>
        <w:tabs>
          <w:tab w:leader="none" w:pos="1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any Event of Default (other than an Event of Default described in Section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8.01(i) that shall occur following the Certain Funds Termination Date):</w:t>
      </w:r>
    </w:p>
    <w:p>
      <w:pPr>
        <w:spacing w:after="0" w:line="210" w:lineRule="exact"/>
        <w:rPr>
          <w:rFonts w:ascii="Arial" w:cs="Arial" w:eastAsia="Arial" w:hAnsi="Arial"/>
          <w:sz w:val="17"/>
          <w:szCs w:val="17"/>
          <w:color w:val="auto"/>
        </w:rPr>
      </w:pPr>
    </w:p>
    <w:p>
      <w:pPr>
        <w:ind w:left="1300" w:firstLine="653"/>
        <w:spacing w:after="0" w:line="257" w:lineRule="auto"/>
        <w:tabs>
          <w:tab w:leader="none" w:pos="2208" w:val="left"/>
        </w:tabs>
        <w:numPr>
          <w:ilvl w:val="2"/>
          <w:numId w:val="87"/>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188" w:lineRule="exact"/>
        <w:rPr>
          <w:rFonts w:ascii="Arial" w:cs="Arial" w:eastAsia="Arial" w:hAnsi="Arial"/>
          <w:sz w:val="18"/>
          <w:szCs w:val="18"/>
          <w:color w:val="auto"/>
        </w:rPr>
      </w:pPr>
    </w:p>
    <w:p>
      <w:pPr>
        <w:ind w:left="1300" w:right="220" w:firstLine="653"/>
        <w:spacing w:after="0" w:line="264" w:lineRule="auto"/>
        <w:tabs>
          <w:tab w:leader="none" w:pos="2258" w:val="left"/>
        </w:tabs>
        <w:numPr>
          <w:ilvl w:val="2"/>
          <w:numId w:val="87"/>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demand immediate payment by Borrower of an amount equal to the aggregate amount of all outstanding Letter of Credit Usage to be held in a Letter of Credit Cash Collateral Account.</w:t>
      </w:r>
    </w:p>
    <w:p>
      <w:pPr>
        <w:spacing w:after="0" w:line="181" w:lineRule="exact"/>
        <w:rPr>
          <w:rFonts w:ascii="Arial" w:cs="Arial" w:eastAsia="Arial" w:hAnsi="Arial"/>
          <w:sz w:val="18"/>
          <w:szCs w:val="18"/>
          <w:color w:val="auto"/>
        </w:rPr>
      </w:pPr>
    </w:p>
    <w:p>
      <w:pPr>
        <w:ind w:left="260" w:right="220" w:firstLine="1288"/>
        <w:spacing w:after="0" w:line="277" w:lineRule="auto"/>
        <w:tabs>
          <w:tab w:leader="none" w:pos="18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(x) following the expiration of the Certain Funds Period, any Event of Default described in Section 8.01(i) occurs or (y) during the Certain Funds Period, an Event of Default described in Section 8.01(i) occurs that is a Major Event of Default, then:</w:t>
      </w:r>
    </w:p>
    <w:p>
      <w:pPr>
        <w:spacing w:after="0" w:line="170" w:lineRule="exact"/>
        <w:rPr>
          <w:rFonts w:ascii="Arial" w:cs="Arial" w:eastAsia="Arial" w:hAnsi="Arial"/>
          <w:sz w:val="18"/>
          <w:szCs w:val="18"/>
          <w:color w:val="auto"/>
        </w:rPr>
      </w:pPr>
    </w:p>
    <w:p>
      <w:pPr>
        <w:ind w:left="1300" w:right="480" w:firstLine="653"/>
        <w:spacing w:after="0" w:line="277" w:lineRule="auto"/>
        <w:tabs>
          <w:tab w:leader="none" w:pos="2208"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Borrower, which is expressly waived by Borrower;</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298"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7" w:name="page108"/>
    <w:bookmarkEnd w:id="107"/>
    <w:p>
      <w:pPr>
        <w:ind w:left="1300" w:right="520"/>
        <w:spacing w:after="0" w:line="277" w:lineRule="auto"/>
        <w:rPr>
          <w:sz w:val="20"/>
          <w:szCs w:val="20"/>
          <w:color w:val="auto"/>
        </w:rPr>
      </w:pPr>
      <w:r>
        <w:rPr>
          <w:rFonts w:ascii="Arial" w:cs="Arial" w:eastAsia="Arial" w:hAnsi="Arial"/>
          <w:sz w:val="18"/>
          <w:szCs w:val="18"/>
          <w:color w:val="auto"/>
        </w:rPr>
        <w:t>payable, without protest, presentment, notice of dishonor, demand or further notice of any kind, all of which are expressly waived by Borrower; and</w:t>
      </w:r>
    </w:p>
    <w:p>
      <w:pPr>
        <w:spacing w:after="0" w:line="170" w:lineRule="exact"/>
        <w:rPr>
          <w:sz w:val="20"/>
          <w:szCs w:val="20"/>
          <w:color w:val="auto"/>
        </w:rPr>
      </w:pPr>
    </w:p>
    <w:p>
      <w:pPr>
        <w:ind w:left="1300" w:right="100" w:firstLine="653"/>
        <w:spacing w:after="0" w:line="264" w:lineRule="auto"/>
        <w:tabs>
          <w:tab w:leader="none" w:pos="226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 of Credit Usage shall be immediately due and payable to Administrative Agent without notice to or demand upon Borrower, which is expressly waived by Borrower, to be held in a Letter of Credit Cash Collateral Account.</w:t>
      </w:r>
    </w:p>
    <w:p>
      <w:pPr>
        <w:spacing w:after="0" w:line="181" w:lineRule="exact"/>
        <w:rPr>
          <w:rFonts w:ascii="Arial" w:cs="Arial" w:eastAsia="Arial" w:hAnsi="Arial"/>
          <w:sz w:val="18"/>
          <w:szCs w:val="18"/>
          <w:color w:val="auto"/>
        </w:rPr>
      </w:pPr>
    </w:p>
    <w:p>
      <w:pPr>
        <w:ind w:right="80" w:firstLine="1305"/>
        <w:spacing w:after="0" w:line="286" w:lineRule="auto"/>
        <w:tabs>
          <w:tab w:leader="none" w:pos="1586"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65" w:lineRule="exact"/>
        <w:rPr>
          <w:rFonts w:ascii="Arial" w:cs="Arial" w:eastAsia="Arial" w:hAnsi="Arial"/>
          <w:sz w:val="17"/>
          <w:szCs w:val="17"/>
          <w:color w:val="auto"/>
        </w:rPr>
      </w:pPr>
    </w:p>
    <w:p>
      <w:pPr>
        <w:ind w:firstLine="1305"/>
        <w:spacing w:after="0" w:line="289" w:lineRule="auto"/>
        <w:tabs>
          <w:tab w:leader="none" w:pos="159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167" w:lineRule="exact"/>
        <w:rPr>
          <w:sz w:val="20"/>
          <w:szCs w:val="20"/>
          <w:color w:val="auto"/>
        </w:rPr>
      </w:pPr>
    </w:p>
    <w:p>
      <w:pPr>
        <w:ind w:left="180" w:right="300" w:firstLine="1296"/>
        <w:spacing w:after="0" w:line="279"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u w:val="single" w:color="auto"/>
          <w:color w:val="auto"/>
        </w:rPr>
        <w:t>Clean-Up Period</w:t>
      </w:r>
      <w:r>
        <w:rPr>
          <w:rFonts w:ascii="Arial" w:cs="Arial" w:eastAsia="Arial" w:hAnsi="Arial"/>
          <w:sz w:val="17"/>
          <w:szCs w:val="17"/>
          <w:color w:val="auto"/>
        </w:rPr>
        <w:t>. Notwithstanding anything in any Loan Document to the contrary, for a period commencing on the Amendment No. 1 Effective Date and ending on the Clean-Up Period Termination Date, any breach of covenants, misrepresentation or other Default or Event of Default (except as otherwise specified in Section 10.01(c)) which arises with respect to the Target Group only will be deemed not to be a breach of representation or warranty, a breach of covenant, a Default or an Event of Default, as the case may be, if:</w:t>
      </w:r>
    </w:p>
    <w:p>
      <w:pPr>
        <w:spacing w:after="0" w:line="171" w:lineRule="exact"/>
        <w:rPr>
          <w:sz w:val="20"/>
          <w:szCs w:val="20"/>
          <w:color w:val="auto"/>
        </w:rPr>
      </w:pPr>
    </w:p>
    <w:p>
      <w:pPr>
        <w:ind w:left="1840" w:hanging="292"/>
        <w:spacing w:after="0"/>
        <w:tabs>
          <w:tab w:leader="none" w:pos="1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it relates exclusively to the Target Group (or any obligation to procure or ensure any action in relation to the Target Group);</w:t>
      </w:r>
    </w:p>
    <w:p>
      <w:pPr>
        <w:spacing w:after="0" w:line="236" w:lineRule="exact"/>
        <w:rPr>
          <w:rFonts w:ascii="Arial" w:cs="Arial" w:eastAsia="Arial" w:hAnsi="Arial"/>
          <w:sz w:val="17"/>
          <w:szCs w:val="17"/>
          <w:color w:val="auto"/>
        </w:rPr>
      </w:pPr>
    </w:p>
    <w:p>
      <w:pPr>
        <w:ind w:left="1840" w:hanging="292"/>
        <w:spacing w:after="0"/>
        <w:tabs>
          <w:tab w:leader="none" w:pos="1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it is capable of remedy and reasonable steps (consistent with Borrower’s level of control of the Target) are being taken to remedy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260" w:right="280" w:firstLine="1288"/>
        <w:spacing w:after="0" w:line="277" w:lineRule="auto"/>
        <w:tabs>
          <w:tab w:leader="none" w:pos="18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circumstances giving rise to it have not been procured by or approved by Borrower or any of its Subsidiaries (other than a member of the Target Group); and</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not reasonably likely to have a Material Adverse Effect;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relevant circumstances are continuing on or after the Clean-Up Period Termination Date, there shall be a breach of representation or warranty, breach of covenant, Default or Event of Default, as the case may be, notwithstanding this Section 8.03.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67"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66"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9" w:name="page110"/>
    <w:bookmarkEnd w:id="109"/>
    <w:p>
      <w:pPr>
        <w:ind w:left="100" w:right="220"/>
        <w:spacing w:after="0" w:line="264" w:lineRule="auto"/>
        <w:rPr>
          <w:sz w:val="20"/>
          <w:szCs w:val="20"/>
          <w:color w:val="auto"/>
        </w:rPr>
      </w:pPr>
      <w:r>
        <w:rPr>
          <w:rFonts w:ascii="Arial" w:cs="Arial" w:eastAsia="Arial" w:hAnsi="Arial"/>
          <w:sz w:val="18"/>
          <w:szCs w:val="18"/>
          <w:color w:val="auto"/>
        </w:rPr>
        <w:t>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81" w:lineRule="exact"/>
        <w:rPr>
          <w:sz w:val="20"/>
          <w:szCs w:val="20"/>
          <w:color w:val="auto"/>
        </w:rPr>
      </w:pPr>
    </w:p>
    <w:p>
      <w:pPr>
        <w:ind w:left="-80" w:right="220" w:firstLine="1305"/>
        <w:spacing w:after="0" w:line="259" w:lineRule="auto"/>
        <w:tabs>
          <w:tab w:leader="none" w:pos="14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ind w:left="100" w:right="60" w:firstLine="1296"/>
        <w:spacing w:after="0" w:line="272"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78" w:lineRule="exact"/>
        <w:rPr>
          <w:sz w:val="20"/>
          <w:szCs w:val="20"/>
          <w:color w:val="auto"/>
        </w:rPr>
      </w:pPr>
    </w:p>
    <w:p>
      <w:pPr>
        <w:ind w:left="100" w:firstLine="1296"/>
        <w:spacing w:after="0" w:line="286"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72" w:lineRule="exact"/>
        <w:rPr>
          <w:sz w:val="20"/>
          <w:szCs w:val="20"/>
          <w:color w:val="auto"/>
        </w:rPr>
      </w:pPr>
    </w:p>
    <w:p>
      <w:pPr>
        <w:ind w:left="100" w:right="100" w:firstLine="1296"/>
        <w:spacing w:after="0" w:line="302"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Lenders agree to indemnify each Agent and Issuing Lender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110" w:name="page111"/>
    <w:bookmarkEnd w:id="110"/>
    <w:p>
      <w:pPr>
        <w:ind w:right="160"/>
        <w:spacing w:after="0" w:line="271" w:lineRule="auto"/>
        <w:rPr>
          <w:sz w:val="20"/>
          <w:szCs w:val="20"/>
          <w:color w:val="auto"/>
        </w:rPr>
      </w:pPr>
      <w:r>
        <w:rPr>
          <w:rFonts w:ascii="Arial" w:cs="Arial" w:eastAsia="Arial" w:hAnsi="Arial"/>
          <w:sz w:val="17"/>
          <w:szCs w:val="17"/>
          <w:color w:val="auto"/>
        </w:rPr>
        <w:t xml:space="preserve">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79"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right="360" w:firstLine="1297"/>
        <w:spacing w:after="0" w:line="288"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w:t>
      </w:r>
    </w:p>
    <w:p>
      <w:pPr>
        <w:ind w:right="40"/>
        <w:spacing w:after="0" w:line="251" w:lineRule="auto"/>
        <w:rPr>
          <w:sz w:val="20"/>
          <w:szCs w:val="20"/>
          <w:color w:val="auto"/>
        </w:rPr>
      </w:pPr>
      <w:r>
        <w:rPr>
          <w:rFonts w:ascii="Arial" w:cs="Arial" w:eastAsia="Arial" w:hAnsi="Arial"/>
          <w:sz w:val="18"/>
          <w:szCs w:val="18"/>
          <w:color w:val="auto"/>
        </w:rPr>
        <w:t>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8"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Co-Documentation Agents and Syndication Agent</w:t>
      </w:r>
      <w:r>
        <w:rPr>
          <w:rFonts w:ascii="Arial" w:cs="Arial" w:eastAsia="Arial" w:hAnsi="Arial"/>
          <w:sz w:val="17"/>
          <w:szCs w:val="17"/>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1" w:name="page112"/>
    <w:bookmarkEnd w:id="111"/>
    <w:p>
      <w:pPr>
        <w:ind w:left="116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ind w:left="-140" w:right="60" w:firstLine="1296"/>
        <w:spacing w:after="0" w:line="259" w:lineRule="auto"/>
        <w:tabs>
          <w:tab w:leader="none" w:pos="14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 at least one of the following is and will be true:</w:t>
      </w:r>
    </w:p>
    <w:p>
      <w:pPr>
        <w:spacing w:after="0" w:line="186" w:lineRule="exact"/>
        <w:rPr>
          <w:rFonts w:ascii="Arial" w:cs="Arial" w:eastAsia="Arial" w:hAnsi="Arial"/>
          <w:sz w:val="18"/>
          <w:szCs w:val="18"/>
          <w:color w:val="auto"/>
        </w:rPr>
      </w:pPr>
    </w:p>
    <w:p>
      <w:pPr>
        <w:ind w:left="1160" w:right="80" w:firstLine="653"/>
        <w:spacing w:after="0" w:line="277" w:lineRule="auto"/>
        <w:tabs>
          <w:tab w:leader="none" w:pos="2023"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ind w:left="1160" w:right="120" w:firstLine="653"/>
        <w:spacing w:after="0" w:line="293" w:lineRule="auto"/>
        <w:tabs>
          <w:tab w:leader="none" w:pos="2118"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rFonts w:ascii="Arial" w:cs="Arial" w:eastAsia="Arial" w:hAnsi="Arial"/>
          <w:sz w:val="16"/>
          <w:szCs w:val="16"/>
          <w:color w:val="auto"/>
        </w:rPr>
      </w:pPr>
    </w:p>
    <w:p>
      <w:pPr>
        <w:ind w:left="1160" w:firstLine="653"/>
        <w:spacing w:after="0" w:line="272" w:lineRule="auto"/>
        <w:tabs>
          <w:tab w:leader="none" w:pos="2168" w:val="left"/>
        </w:tabs>
        <w:numPr>
          <w:ilvl w:val="1"/>
          <w:numId w:val="93"/>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7" w:lineRule="exact"/>
        <w:rPr>
          <w:rFonts w:ascii="Arial" w:cs="Arial" w:eastAsia="Arial" w:hAnsi="Arial"/>
          <w:sz w:val="17"/>
          <w:szCs w:val="17"/>
          <w:color w:val="auto"/>
        </w:rPr>
      </w:pPr>
    </w:p>
    <w:p>
      <w:pPr>
        <w:ind w:left="1160" w:right="420" w:firstLine="653"/>
        <w:spacing w:after="0" w:line="277" w:lineRule="auto"/>
        <w:tabs>
          <w:tab w:leader="none" w:pos="21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Administrative Agent, in its sole discretion, and such Lender.</w:t>
      </w:r>
    </w:p>
    <w:p>
      <w:pPr>
        <w:spacing w:after="0" w:line="170" w:lineRule="exact"/>
        <w:rPr>
          <w:rFonts w:ascii="Arial" w:cs="Arial" w:eastAsia="Arial" w:hAnsi="Arial"/>
          <w:sz w:val="18"/>
          <w:szCs w:val="18"/>
          <w:color w:val="auto"/>
        </w:rPr>
      </w:pPr>
    </w:p>
    <w:p>
      <w:pPr>
        <w:ind w:left="-140" w:right="80" w:firstLine="1296"/>
        <w:spacing w:after="0" w:line="257" w:lineRule="auto"/>
        <w:tabs>
          <w:tab w:leader="none" w:pos="14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addition, unless Section 9.11(a)(i)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w:t>
      </w:r>
    </w:p>
    <w:p>
      <w:pPr>
        <w:spacing w:after="0" w:line="188" w:lineRule="exact"/>
        <w:rPr>
          <w:rFonts w:ascii="Arial" w:cs="Arial" w:eastAsia="Arial" w:hAnsi="Arial"/>
          <w:sz w:val="18"/>
          <w:szCs w:val="18"/>
          <w:color w:val="auto"/>
        </w:rPr>
      </w:pPr>
    </w:p>
    <w:p>
      <w:pPr>
        <w:ind w:left="1160" w:right="200" w:firstLine="653"/>
        <w:spacing w:after="0" w:line="264" w:lineRule="auto"/>
        <w:tabs>
          <w:tab w:leader="none" w:pos="20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none of Administrative Agent or any Arranger or any of their respective Affiliates is a fiduciary with respect to the assets of such Lender (including in connection with the reservation or exercise of any rights by Administrative Agent under this Agreement, any other Loan Document or any documents related to hereto or thereto),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7620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80" w:top="584" w:right="319" w:bottom="1440" w:gutter="0" w:footer="0" w:header="0"/>
        </w:sectPr>
      </w:pPr>
    </w:p>
    <w:bookmarkStart w:id="112" w:name="page113"/>
    <w:bookmarkEnd w:id="112"/>
    <w:p>
      <w:pPr>
        <w:ind w:left="1300" w:right="260" w:firstLine="653"/>
        <w:spacing w:after="0" w:line="302" w:lineRule="auto"/>
        <w:tabs>
          <w:tab w:leader="none" w:pos="225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54" w:lineRule="exact"/>
        <w:rPr>
          <w:rFonts w:ascii="Arial" w:cs="Arial" w:eastAsia="Arial" w:hAnsi="Arial"/>
          <w:sz w:val="16"/>
          <w:szCs w:val="16"/>
          <w:color w:val="auto"/>
        </w:rPr>
      </w:pPr>
    </w:p>
    <w:p>
      <w:pPr>
        <w:jc w:val="both"/>
        <w:ind w:left="1300" w:right="140" w:firstLine="653"/>
        <w:spacing w:after="0" w:line="259" w:lineRule="auto"/>
        <w:tabs>
          <w:tab w:leader="none" w:pos="230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86" w:lineRule="exact"/>
        <w:rPr>
          <w:rFonts w:ascii="Arial" w:cs="Arial" w:eastAsia="Arial" w:hAnsi="Arial"/>
          <w:sz w:val="18"/>
          <w:szCs w:val="18"/>
          <w:color w:val="auto"/>
        </w:rPr>
      </w:pPr>
    </w:p>
    <w:p>
      <w:pPr>
        <w:ind w:left="1300" w:right="100" w:firstLine="653"/>
        <w:spacing w:after="0" w:line="259" w:lineRule="auto"/>
        <w:tabs>
          <w:tab w:leader="none" w:pos="229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1300" w:right="140" w:firstLine="653"/>
        <w:spacing w:after="0" w:line="264" w:lineRule="auto"/>
        <w:tabs>
          <w:tab w:leader="none" w:pos="2248"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Administrative Agent or any Arranger or any their respective Affiliates for investment advice (as opposed to other services) in connection with the Loans, the Letters of Credit, the Commitments or this Agreement.</w:t>
      </w:r>
    </w:p>
    <w:p>
      <w:pPr>
        <w:spacing w:after="0" w:line="181" w:lineRule="exact"/>
        <w:rPr>
          <w:rFonts w:ascii="Arial" w:cs="Arial" w:eastAsia="Arial" w:hAnsi="Arial"/>
          <w:sz w:val="18"/>
          <w:szCs w:val="18"/>
          <w:color w:val="auto"/>
        </w:rPr>
      </w:pPr>
    </w:p>
    <w:p>
      <w:pPr>
        <w:ind w:left="100" w:firstLine="1286"/>
        <w:spacing w:after="0" w:line="270" w:lineRule="auto"/>
        <w:tabs>
          <w:tab w:leader="none" w:pos="167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or by the other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Amendments; Consents</w:t>
      </w:r>
      <w:r>
        <w:rPr>
          <w:rFonts w:ascii="Arial" w:cs="Arial" w:eastAsia="Arial" w:hAnsi="Arial"/>
          <w:sz w:val="17"/>
          <w:szCs w:val="17"/>
          <w:color w:val="auto"/>
        </w:rPr>
        <w:t xml:space="preserve">. </w:t>
      </w:r>
      <w:r>
        <w:rPr>
          <w:rFonts w:ascii="Arial" w:cs="Arial" w:eastAsia="Arial" w:hAnsi="Arial"/>
          <w:sz w:val="17"/>
          <w:szCs w:val="17"/>
          <w:color w:val="FF0000"/>
          <w:strike w:val="1"/>
        </w:rPr>
        <w:t>No</w:t>
      </w:r>
      <w:r>
        <w:rPr>
          <w:rFonts w:ascii="Arial" w:cs="Arial" w:eastAsia="Arial" w:hAnsi="Arial"/>
          <w:sz w:val="17"/>
          <w:szCs w:val="17"/>
          <w:u w:val="single" w:color="auto"/>
          <w:color w:val="0000FF"/>
        </w:rPr>
        <w:t>Subject to Section 3.03(b), no</w:t>
      </w:r>
      <w:r>
        <w:rPr>
          <w:rFonts w:ascii="Arial" w:cs="Arial" w:eastAsia="Arial" w:hAnsi="Arial"/>
          <w:sz w:val="17"/>
          <w:szCs w:val="17"/>
          <w:color w:val="auto"/>
        </w:rPr>
        <w:t xml:space="preserve">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ind w:right="580"/>
        <w:spacing w:after="0" w:line="277" w:lineRule="auto"/>
        <w:rPr>
          <w:sz w:val="20"/>
          <w:szCs w:val="20"/>
          <w:color w:val="auto"/>
        </w:rPr>
      </w:pPr>
      <w:r>
        <w:rPr>
          <w:rFonts w:ascii="Arial" w:cs="Arial" w:eastAsia="Arial" w:hAnsi="Arial"/>
          <w:sz w:val="18"/>
          <w:szCs w:val="18"/>
          <w:color w:val="auto"/>
        </w:rPr>
        <w:t>sentence, without the approval in writing of Borrower, Administrative Agent and each Lender directly and adversely affected thereby, no amendment, modification, supplement, termination, waiver, approval, or consent may be effective to:</w:t>
      </w:r>
    </w:p>
    <w:p>
      <w:pPr>
        <w:spacing w:after="0" w:line="170" w:lineRule="exact"/>
        <w:rPr>
          <w:sz w:val="20"/>
          <w:szCs w:val="20"/>
          <w:color w:val="auto"/>
        </w:rPr>
      </w:pPr>
    </w:p>
    <w:p>
      <w:pPr>
        <w:ind w:left="1600" w:hanging="295"/>
        <w:spacing w:after="0"/>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or Competitive Loans owed to such Lender;</w:t>
      </w:r>
    </w:p>
    <w:p>
      <w:pPr>
        <w:spacing w:after="0" w:line="225" w:lineRule="exact"/>
        <w:rPr>
          <w:rFonts w:ascii="Arial" w:cs="Arial" w:eastAsia="Arial" w:hAnsi="Arial"/>
          <w:sz w:val="18"/>
          <w:szCs w:val="18"/>
          <w:color w:val="auto"/>
        </w:rPr>
      </w:pPr>
    </w:p>
    <w:p>
      <w:pPr>
        <w:ind w:right="520" w:firstLine="1305"/>
        <w:spacing w:after="0" w:line="264" w:lineRule="auto"/>
        <w:tabs>
          <w:tab w:leader="none" w:pos="15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Revolving Obligations or Competitive Loans owed to such Lender or the amount or rate of any fee or other amount payable to such Lender under the Loan Documents, except that Required Lenders may waive or defer the imposition of the Default Rate;</w:t>
      </w:r>
    </w:p>
    <w:p>
      <w:pPr>
        <w:spacing w:after="0" w:line="181" w:lineRule="exact"/>
        <w:rPr>
          <w:rFonts w:ascii="Arial" w:cs="Arial" w:eastAsia="Arial" w:hAnsi="Arial"/>
          <w:sz w:val="18"/>
          <w:szCs w:val="18"/>
          <w:color w:val="auto"/>
        </w:rPr>
      </w:pPr>
    </w:p>
    <w:p>
      <w:pPr>
        <w:ind w:right="320" w:firstLine="1305"/>
        <w:spacing w:after="0" w:line="277" w:lineRule="auto"/>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170" w:lineRule="exact"/>
        <w:rPr>
          <w:rFonts w:ascii="Arial" w:cs="Arial" w:eastAsia="Arial" w:hAnsi="Arial"/>
          <w:sz w:val="18"/>
          <w:szCs w:val="18"/>
          <w:color w:val="auto"/>
        </w:rPr>
      </w:pPr>
    </w:p>
    <w:p>
      <w:pPr>
        <w:ind w:firstLine="1305"/>
        <w:spacing w:after="0" w:line="257" w:lineRule="auto"/>
        <w:tabs>
          <w:tab w:leader="none" w:pos="15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 (c) above shall require only the consent of Required Lenders) or modify such Lender’s share of the Revolving Commitments (except as contemplated hereby);</w:t>
      </w:r>
    </w:p>
    <w:p>
      <w:pPr>
        <w:spacing w:after="0" w:line="188" w:lineRule="exact"/>
        <w:rPr>
          <w:rFonts w:ascii="Arial" w:cs="Arial" w:eastAsia="Arial" w:hAnsi="Arial"/>
          <w:sz w:val="18"/>
          <w:szCs w:val="18"/>
          <w:color w:val="auto"/>
        </w:rPr>
      </w:pPr>
    </w:p>
    <w:p>
      <w:pPr>
        <w:ind w:left="1600" w:hanging="295"/>
        <w:spacing w:after="0"/>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 or waive the definition of “Required Lenders” or the provisions of this Section 10.01 or Section 10.06;</w:t>
      </w:r>
    </w:p>
    <w:p>
      <w:pPr>
        <w:spacing w:after="0" w:line="225" w:lineRule="exact"/>
        <w:rPr>
          <w:rFonts w:ascii="Arial" w:cs="Arial" w:eastAsia="Arial" w:hAnsi="Arial"/>
          <w:sz w:val="18"/>
          <w:szCs w:val="18"/>
          <w:color w:val="auto"/>
        </w:rPr>
      </w:pPr>
    </w:p>
    <w:p>
      <w:pPr>
        <w:ind w:left="1580" w:hanging="275"/>
        <w:spacing w:after="0"/>
        <w:tabs>
          <w:tab w:leader="none" w:pos="1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Borrower, Administrative Agent and the applicable Issuing Lender, (v) except as otherwise contemplated hereunder, without the written consent of all Lenders, no amendment, waiver or consent shall release all or substantially all of Guarantors from their obligations under the Guarantee Agreement and (vi) without the written consent of all Lenders, no amendment, waiver or consent shall add an Alternative Currency or change the currency of any Loan or other amount outstanding hereunder.</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4" w:name="page115"/>
    <w:bookmarkEnd w:id="114"/>
    <w:p>
      <w:pPr>
        <w:ind w:right="360"/>
        <w:spacing w:after="0" w:line="277" w:lineRule="auto"/>
        <w:rPr>
          <w:sz w:val="20"/>
          <w:szCs w:val="20"/>
          <w:color w:val="auto"/>
        </w:rPr>
      </w:pPr>
      <w:r>
        <w:rPr>
          <w:rFonts w:ascii="Arial" w:cs="Arial" w:eastAsia="Arial" w:hAnsi="Arial"/>
          <w:sz w:val="18"/>
          <w:szCs w:val="18"/>
          <w:color w:val="auto"/>
        </w:rPr>
        <w:t>Any amendment, modification, supplement, termination, waiver or consent pursuant to this Section shall apply equally to, and shall be binding upon, all Lenders and Administrative Agent.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avoidance of doubt, the Letter of Credit Commitment of any Issuing Lender may be amended with the consent of Borrower and such Issuing Lender without the need to obtain the consent of the other Lenders.</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Requisite Notice; Electronic Communications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57" w:lineRule="auto"/>
        <w:tabs>
          <w:tab w:leader="none" w:pos="158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(including email address) set forth in the case of Borrower, Administrative Agent and Issuing Lenders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Mode of Delivery</w:t>
            </w:r>
          </w:p>
        </w:tc>
        <w:tc>
          <w:tcPr>
            <w:tcW w:w="2620" w:type="dxa"/>
            <w:vAlign w:val="bottom"/>
          </w:tcPr>
          <w:p>
            <w:pPr>
              <w:spacing w:after="0"/>
              <w:rPr>
                <w:sz w:val="17"/>
                <w:szCs w:val="17"/>
                <w:color w:val="auto"/>
              </w:rPr>
            </w:pPr>
          </w:p>
        </w:tc>
        <w:tc>
          <w:tcPr>
            <w:tcW w:w="7380" w:type="dxa"/>
            <w:vAlign w:val="bottom"/>
          </w:tcPr>
          <w:p>
            <w:pPr>
              <w:spacing w:after="0"/>
              <w:rPr>
                <w:sz w:val="17"/>
                <w:szCs w:val="17"/>
                <w:color w:val="auto"/>
              </w:rPr>
            </w:pPr>
          </w:p>
        </w:tc>
      </w:tr>
      <w:tr>
        <w:trPr>
          <w:trHeight w:val="438"/>
        </w:trPr>
        <w:tc>
          <w:tcPr>
            <w:tcW w:w="3920" w:type="dxa"/>
            <w:vAlign w:val="bottom"/>
            <w:gridSpan w:val="2"/>
          </w:tcPr>
          <w:p>
            <w:pPr>
              <w:spacing w:after="0"/>
              <w:rPr>
                <w:sz w:val="20"/>
                <w:szCs w:val="20"/>
                <w:color w:val="auto"/>
              </w:rPr>
            </w:pPr>
            <w:r>
              <w:rPr>
                <w:rFonts w:ascii="Arial" w:cs="Arial" w:eastAsia="Arial" w:hAnsi="Arial"/>
                <w:sz w:val="18"/>
                <w:szCs w:val="18"/>
                <w:color w:val="auto"/>
              </w:rPr>
              <w:t>Mail</w:t>
            </w:r>
          </w:p>
        </w:tc>
        <w:tc>
          <w:tcPr>
            <w:tcW w:w="7380" w:type="dxa"/>
            <w:vAlign w:val="bottom"/>
          </w:tcPr>
          <w:p>
            <w:pPr>
              <w:ind w:left="2040"/>
              <w:spacing w:after="0"/>
              <w:rPr>
                <w:sz w:val="20"/>
                <w:szCs w:val="20"/>
                <w:color w:val="auto"/>
              </w:rPr>
            </w:pPr>
            <w:r>
              <w:rPr>
                <w:rFonts w:ascii="Arial" w:cs="Arial" w:eastAsia="Arial" w:hAnsi="Arial"/>
                <w:sz w:val="18"/>
                <w:szCs w:val="18"/>
                <w:color w:val="auto"/>
                <w:w w:val="90"/>
              </w:rPr>
              <w:t>Effective on earlier of actual receipt and fourth Business Day after deposit</w:t>
            </w:r>
          </w:p>
        </w:tc>
      </w:tr>
      <w:tr>
        <w:trPr>
          <w:trHeight w:val="230"/>
        </w:trPr>
        <w:tc>
          <w:tcPr>
            <w:tcW w:w="1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380" w:type="dxa"/>
            <w:vAlign w:val="bottom"/>
          </w:tcPr>
          <w:p>
            <w:pPr>
              <w:ind w:left="2040"/>
              <w:spacing w:after="0"/>
              <w:rPr>
                <w:sz w:val="20"/>
                <w:szCs w:val="20"/>
                <w:color w:val="auto"/>
              </w:rPr>
            </w:pPr>
            <w:r>
              <w:rPr>
                <w:rFonts w:ascii="Arial" w:cs="Arial" w:eastAsia="Arial" w:hAnsi="Arial"/>
                <w:sz w:val="18"/>
                <w:szCs w:val="18"/>
                <w:color w:val="auto"/>
              </w:rPr>
              <w:t>in U.S. Mail, first class postage pre-paid</w:t>
            </w: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380" w:type="dxa"/>
            <w:vAlign w:val="bottom"/>
          </w:tcPr>
          <w:p>
            <w:pPr>
              <w:ind w:left="2040"/>
              <w:spacing w:after="0"/>
              <w:rPr>
                <w:sz w:val="20"/>
                <w:szCs w:val="20"/>
                <w:color w:val="auto"/>
              </w:rPr>
            </w:pPr>
            <w:r>
              <w:rPr>
                <w:rFonts w:ascii="Arial" w:cs="Arial" w:eastAsia="Arial" w:hAnsi="Arial"/>
                <w:sz w:val="18"/>
                <w:szCs w:val="18"/>
                <w:color w:val="auto"/>
              </w:rPr>
              <w:t>When received</w:t>
            </w: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380" w:type="dxa"/>
            <w:vAlign w:val="bottom"/>
          </w:tcPr>
          <w:p>
            <w:pPr>
              <w:ind w:left="204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380" w:type="dxa"/>
            <w:vAlign w:val="bottom"/>
          </w:tcPr>
          <w:p>
            <w:pPr>
              <w:ind w:left="2040"/>
              <w:spacing w:after="0"/>
              <w:rPr>
                <w:sz w:val="20"/>
                <w:szCs w:val="20"/>
                <w:color w:val="auto"/>
              </w:rPr>
            </w:pPr>
            <w:r>
              <w:rPr>
                <w:rFonts w:ascii="Arial" w:cs="Arial" w:eastAsia="Arial" w:hAnsi="Arial"/>
                <w:sz w:val="18"/>
                <w:szCs w:val="18"/>
                <w:color w:val="auto"/>
                <w:w w:val="91"/>
              </w:rPr>
              <w:t>When sent (except that, if not given during normal business hours for the</w:t>
            </w:r>
          </w:p>
        </w:tc>
      </w:tr>
      <w:tr>
        <w:trPr>
          <w:trHeight w:val="216"/>
        </w:trPr>
        <w:tc>
          <w:tcPr>
            <w:tcW w:w="1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380" w:type="dxa"/>
            <w:vAlign w:val="bottom"/>
          </w:tcPr>
          <w:p>
            <w:pPr>
              <w:ind w:left="2040"/>
              <w:spacing w:after="0"/>
              <w:rPr>
                <w:sz w:val="20"/>
                <w:szCs w:val="20"/>
                <w:color w:val="auto"/>
              </w:rPr>
            </w:pPr>
            <w:r>
              <w:rPr>
                <w:rFonts w:ascii="Arial" w:cs="Arial" w:eastAsia="Arial" w:hAnsi="Arial"/>
                <w:sz w:val="18"/>
                <w:szCs w:val="18"/>
                <w:color w:val="auto"/>
                <w:w w:val="95"/>
              </w:rPr>
              <w:t>recipient, shall be deemed to be giving at opening of business on next</w:t>
            </w:r>
          </w:p>
        </w:tc>
      </w:tr>
      <w:tr>
        <w:trPr>
          <w:trHeight w:val="230"/>
        </w:trPr>
        <w:tc>
          <w:tcPr>
            <w:tcW w:w="1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380" w:type="dxa"/>
            <w:vAlign w:val="bottom"/>
          </w:tcPr>
          <w:p>
            <w:pPr>
              <w:ind w:left="2040"/>
              <w:spacing w:after="0"/>
              <w:rPr>
                <w:sz w:val="20"/>
                <w:szCs w:val="20"/>
                <w:color w:val="auto"/>
              </w:rPr>
            </w:pPr>
            <w:r>
              <w:rPr>
                <w:rFonts w:ascii="Arial" w:cs="Arial" w:eastAsia="Arial" w:hAnsi="Arial"/>
                <w:sz w:val="18"/>
                <w:szCs w:val="18"/>
                <w:color w:val="auto"/>
              </w:rPr>
              <w:t>Business Day for recipient)</w:t>
            </w: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380" w:type="dxa"/>
            <w:vAlign w:val="bottom"/>
          </w:tcPr>
          <w:p>
            <w:pPr>
              <w:ind w:left="2040"/>
              <w:spacing w:after="0"/>
              <w:rPr>
                <w:sz w:val="20"/>
                <w:szCs w:val="20"/>
                <w:color w:val="auto"/>
              </w:rPr>
            </w:pPr>
            <w:r>
              <w:rPr>
                <w:rFonts w:ascii="Arial" w:cs="Arial" w:eastAsia="Arial" w:hAnsi="Arial"/>
                <w:sz w:val="18"/>
                <w:szCs w:val="18"/>
                <w:color w:val="auto"/>
              </w:rPr>
              <w:t>When delivered (usage subject to subsection (b) below)</w:t>
            </w:r>
          </w:p>
        </w:tc>
      </w:tr>
    </w:tbl>
    <w:p>
      <w:pPr>
        <w:spacing w:after="0" w:line="202" w:lineRule="exact"/>
        <w:rPr>
          <w:sz w:val="20"/>
          <w:szCs w:val="20"/>
          <w:color w:val="auto"/>
        </w:rPr>
      </w:pPr>
    </w:p>
    <w:p>
      <w:pPr>
        <w:ind w:firstLine="1305"/>
        <w:spacing w:after="0" w:line="255" w:lineRule="auto"/>
        <w:tabs>
          <w:tab w:leader="none" w:pos="155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xml:space="preserve">. Notices and other communications to Administrative Agent, the Lenders and the Issuing Lender hereunder may be delivered or furnished by using Electronic Systems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if such Lender has notified Administrative Agent and Borrower that it is incapable of receiving notices under such Section by Electronic Communications.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w:t>
      </w: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15" w:name="page116"/>
    <w:bookmarkEnd w:id="115"/>
    <w:p>
      <w:pPr>
        <w:ind w:right="80"/>
        <w:spacing w:after="0" w:line="286" w:lineRule="auto"/>
        <w:rPr>
          <w:sz w:val="20"/>
          <w:szCs w:val="20"/>
          <w:color w:val="auto"/>
        </w:rPr>
      </w:pPr>
      <w:r>
        <w:rPr>
          <w:rFonts w:ascii="Arial" w:cs="Arial" w:eastAsia="Arial" w:hAnsi="Arial"/>
          <w:sz w:val="17"/>
          <w:szCs w:val="17"/>
          <w:color w:val="auto"/>
        </w:rPr>
        <w:t xml:space="preserve">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Any party hereto may change its address or telecopy number for notices and other communications hereunder by notice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11" w:lineRule="exact"/>
        <w:rPr>
          <w:sz w:val="20"/>
          <w:szCs w:val="20"/>
          <w:color w:val="auto"/>
        </w:rPr>
      </w:pPr>
    </w:p>
    <w:p>
      <w:pPr>
        <w:jc w:val="both"/>
        <w:ind w:right="180" w:firstLine="1305"/>
        <w:spacing w:after="0" w:line="276" w:lineRule="auto"/>
        <w:tabs>
          <w:tab w:leader="none" w:pos="159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72" w:lineRule="exact"/>
        <w:rPr>
          <w:rFonts w:ascii="Arial" w:cs="Arial" w:eastAsia="Arial" w:hAnsi="Arial"/>
          <w:sz w:val="17"/>
          <w:szCs w:val="17"/>
          <w:color w:val="auto"/>
        </w:rPr>
      </w:pPr>
    </w:p>
    <w:p>
      <w:pPr>
        <w:ind w:left="1540" w:hanging="235"/>
        <w:spacing w:after="0"/>
        <w:tabs>
          <w:tab w:leader="none" w:pos="15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right="240" w:firstLine="653"/>
        <w:spacing w:after="0" w:line="264" w:lineRule="auto"/>
        <w:tabs>
          <w:tab w:leader="none" w:pos="2208"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181" w:lineRule="exact"/>
        <w:rPr>
          <w:rFonts w:ascii="Arial" w:cs="Arial" w:eastAsia="Arial" w:hAnsi="Arial"/>
          <w:sz w:val="18"/>
          <w:szCs w:val="18"/>
          <w:color w:val="auto"/>
        </w:rPr>
      </w:pPr>
    </w:p>
    <w:p>
      <w:pPr>
        <w:ind w:left="1300" w:firstLine="653"/>
        <w:spacing w:after="0" w:line="269" w:lineRule="auto"/>
        <w:tabs>
          <w:tab w:leader="none" w:pos="2258"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provided that in no event shall any Agent Party be liable for any indirect, special, incidental or consequential damages, losses or expenses (whether in tort, contract or otherwise).</w:t>
      </w:r>
    </w:p>
    <w:p>
      <w:pPr>
        <w:spacing w:after="0" w:line="183" w:lineRule="exact"/>
        <w:rPr>
          <w:sz w:val="20"/>
          <w:szCs w:val="20"/>
          <w:color w:val="auto"/>
        </w:rPr>
      </w:pPr>
    </w:p>
    <w:p>
      <w:pPr>
        <w:ind w:left="180" w:right="380" w:firstLine="1296"/>
        <w:spacing w:after="0" w:line="255"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Attorney Costs and Expenses</w:t>
      </w:r>
      <w:r>
        <w:rPr>
          <w:rFonts w:ascii="Arial" w:cs="Arial" w:eastAsia="Arial" w:hAnsi="Arial"/>
          <w:sz w:val="18"/>
          <w:szCs w:val="18"/>
          <w:color w:val="auto"/>
        </w:rPr>
        <w:t>. Borrower agrees (a) to pay or reimburse Administrative Agent, each Issuing Lender and Syndication Agent for all reasonable and documented costs and expenses incurred in connection with the development, preparation, negotiation and execution of the Loan Documents, and to pay or reimburse Administrative Agent for all reasonable and documented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spacing w:after="0" w:line="289" w:lineRule="auto"/>
        <w:rPr>
          <w:sz w:val="20"/>
          <w:szCs w:val="20"/>
          <w:color w:val="auto"/>
        </w:rPr>
      </w:pPr>
      <w:r>
        <w:rPr>
          <w:rFonts w:ascii="Arial" w:cs="Arial" w:eastAsia="Arial" w:hAnsi="Arial"/>
          <w:sz w:val="16"/>
          <w:szCs w:val="16"/>
          <w:color w:val="auto"/>
        </w:rPr>
        <w:t>Attorney Costs of one counsel to Administrative Agent, each Issuing Lender and Syndication Agent and (b) to pay or reimburse Administrative Agent, each Issuing Lender and each Lender for all reasonable and documented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each Issuing Lender and each Lender (and, if representation of Administrative Agent, each Issuing Lender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71" w:lineRule="auto"/>
        <w:tabs>
          <w:tab w:leader="none" w:pos="158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78" w:lineRule="exact"/>
        <w:rPr>
          <w:rFonts w:ascii="Arial" w:cs="Arial" w:eastAsia="Arial" w:hAnsi="Arial"/>
          <w:sz w:val="17"/>
          <w:szCs w:val="17"/>
          <w:color w:val="auto"/>
        </w:rPr>
      </w:pPr>
    </w:p>
    <w:p>
      <w:pPr>
        <w:ind w:right="100" w:firstLine="1305"/>
        <w:spacing w:after="0" w:line="268" w:lineRule="auto"/>
        <w:tabs>
          <w:tab w:leader="none" w:pos="159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and Issuing Lenders (which consents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consent of Borrower shall not be required with respect to an assignment to another Lender unless such assignment, would result in the Revolving Commitment of such assignee and its Affiliates exceeding 15% of the aggregate Revolving Commitments, as applicable, then outstanding. No such assignment shall become effective unless and until a copy of a duly signed and completed Assignment and Assumption shall be delivered to Administrative Agent. Except in the case of an assignment (A) to another Lender or (B) of the entire remaining Revolving Commitment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18"/>
          <w:szCs w:val="18"/>
          <w:color w:val="auto"/>
        </w:rPr>
        <w:t>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87" w:lineRule="exact"/>
        <w:rPr>
          <w:sz w:val="20"/>
          <w:szCs w:val="20"/>
          <w:color w:val="auto"/>
        </w:rPr>
      </w:pPr>
    </w:p>
    <w:p>
      <w:pPr>
        <w:ind w:right="100" w:firstLine="1305"/>
        <w:spacing w:after="0" w:line="286" w:lineRule="auto"/>
        <w:tabs>
          <w:tab w:leader="none" w:pos="158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65" w:lineRule="exact"/>
        <w:rPr>
          <w:rFonts w:ascii="Arial" w:cs="Arial" w:eastAsia="Arial" w:hAnsi="Arial"/>
          <w:sz w:val="17"/>
          <w:szCs w:val="17"/>
          <w:color w:val="auto"/>
        </w:rPr>
      </w:pPr>
    </w:p>
    <w:p>
      <w:pPr>
        <w:ind w:right="80" w:firstLine="1305"/>
        <w:spacing w:after="0" w:line="288" w:lineRule="auto"/>
        <w:tabs>
          <w:tab w:leader="none" w:pos="159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Revolving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right="40" w:firstLine="8"/>
        <w:spacing w:after="0" w:line="284" w:lineRule="auto"/>
        <w:tabs>
          <w:tab w:leader="none" w:pos="2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74"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8" w:name="page119"/>
    <w:bookmarkEnd w:id="118"/>
    <w:p>
      <w:pPr>
        <w:ind w:right="260"/>
        <w:spacing w:after="0" w:line="257" w:lineRule="auto"/>
        <w:rPr>
          <w:sz w:val="20"/>
          <w:szCs w:val="20"/>
          <w:color w:val="auto"/>
        </w:rPr>
      </w:pPr>
      <w:r>
        <w:rPr>
          <w:rFonts w:ascii="Arial" w:cs="Arial" w:eastAsia="Arial" w:hAnsi="Arial"/>
          <w:sz w:val="18"/>
          <w:szCs w:val="18"/>
          <w:color w:val="auto"/>
        </w:rPr>
        <w:t>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8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Notwithstanding anything to the contrary in this Section 10.04, no assignment or participation shall be permitted during the Certain Funds Period without the written consent of Borrower (in its sole discretion) and any such attempted assignment or participation without such written consent of Borrower shall be null and void.</w:t>
      </w:r>
    </w:p>
    <w:p>
      <w:pPr>
        <w:spacing w:after="0" w:line="181" w:lineRule="exact"/>
        <w:rPr>
          <w:sz w:val="20"/>
          <w:szCs w:val="20"/>
          <w:color w:val="auto"/>
        </w:rPr>
      </w:pPr>
    </w:p>
    <w:p>
      <w:pPr>
        <w:ind w:left="180" w:firstLine="1296"/>
        <w:spacing w:after="0" w:line="270" w:lineRule="auto"/>
        <w:rPr>
          <w:sz w:val="20"/>
          <w:szCs w:val="20"/>
          <w:color w:val="auto"/>
        </w:rPr>
      </w:pPr>
      <w:r>
        <w:rPr>
          <w:rFonts w:ascii="Arial" w:cs="Arial" w:eastAsia="Arial" w:hAnsi="Arial"/>
          <w:sz w:val="17"/>
          <w:szCs w:val="17"/>
          <w:color w:val="auto"/>
        </w:rPr>
        <w:t xml:space="preserve">10.05 </w:t>
      </w:r>
      <w:r>
        <w:rPr>
          <w:rFonts w:ascii="Arial" w:cs="Arial" w:eastAsia="Arial" w:hAnsi="Arial"/>
          <w:sz w:val="17"/>
          <w:szCs w:val="17"/>
          <w:u w:val="single" w:color="auto"/>
          <w:color w:val="auto"/>
        </w:rPr>
        <w:t>Set-off</w:t>
      </w:r>
      <w:r>
        <w:rPr>
          <w:rFonts w:ascii="Arial" w:cs="Arial" w:eastAsia="Arial" w:hAnsi="Arial"/>
          <w:sz w:val="17"/>
          <w:szCs w:val="17"/>
          <w:color w:val="auto"/>
        </w:rPr>
        <w:t xml:space="preserve">. Without prejudice to and subject to Section 4.05,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such notice shall not affect the validity of such set-off and application.</w:t>
      </w:r>
    </w:p>
    <w:p>
      <w:pPr>
        <w:spacing w:after="0" w:line="182" w:lineRule="exact"/>
        <w:rPr>
          <w:sz w:val="20"/>
          <w:szCs w:val="20"/>
          <w:color w:val="auto"/>
        </w:rPr>
      </w:pPr>
    </w:p>
    <w:p>
      <w:pPr>
        <w:ind w:left="180" w:right="40" w:firstLine="1296"/>
        <w:spacing w:after="0" w:line="285"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9" w:name="page120"/>
    <w:bookmarkEnd w:id="119"/>
    <w:p>
      <w:pPr>
        <w:ind w:right="320"/>
        <w:spacing w:after="0" w:line="277" w:lineRule="auto"/>
        <w:rPr>
          <w:sz w:val="20"/>
          <w:szCs w:val="20"/>
          <w:color w:val="auto"/>
        </w:rPr>
      </w:pPr>
      <w:r>
        <w:rPr>
          <w:rFonts w:ascii="Arial" w:cs="Arial" w:eastAsia="Arial" w:hAnsi="Arial"/>
          <w:sz w:val="18"/>
          <w:szCs w:val="18"/>
          <w:color w:val="auto"/>
        </w:rPr>
        <w:t>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1305"/>
        <w:spacing w:after="0" w:line="286" w:lineRule="auto"/>
        <w:tabs>
          <w:tab w:leader="none" w:pos="158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65" w:lineRule="exact"/>
        <w:rPr>
          <w:rFonts w:ascii="Arial" w:cs="Arial" w:eastAsia="Arial" w:hAnsi="Arial"/>
          <w:sz w:val="17"/>
          <w:szCs w:val="17"/>
          <w:color w:val="auto"/>
        </w:rPr>
      </w:pPr>
    </w:p>
    <w:p>
      <w:pPr>
        <w:ind w:right="20" w:firstLine="1305"/>
        <w:spacing w:after="0" w:line="276" w:lineRule="auto"/>
        <w:tabs>
          <w:tab w:leader="none" w:pos="159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72" w:lineRule="exact"/>
        <w:rPr>
          <w:rFonts w:ascii="Arial" w:cs="Arial" w:eastAsia="Arial" w:hAnsi="Arial"/>
          <w:sz w:val="17"/>
          <w:szCs w:val="17"/>
          <w:color w:val="auto"/>
        </w:rPr>
      </w:pPr>
    </w:p>
    <w:p>
      <w:pPr>
        <w:ind w:left="1600" w:hanging="295"/>
        <w:spacing w:after="0"/>
        <w:tabs>
          <w:tab w:leader="none" w:pos="1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Except with respect to Section 9.09, the terms and conditions of Section 9 are for the sole benefit of the Agents and Lenders.</w:t>
      </w:r>
    </w:p>
    <w:p>
      <w:pPr>
        <w:spacing w:after="0" w:line="23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67"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an original executed counterpart of this Agreement.</w:t>
      </w:r>
    </w:p>
    <w:p>
      <w:pPr>
        <w:spacing w:after="0" w:line="187"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0" w:name="page121"/>
    <w:bookmarkEnd w:id="120"/>
    <w:p>
      <w:pPr>
        <w:ind w:right="220"/>
        <w:spacing w:after="0" w:line="264" w:lineRule="auto"/>
        <w:rPr>
          <w:sz w:val="20"/>
          <w:szCs w:val="20"/>
          <w:color w:val="auto"/>
        </w:rPr>
      </w:pPr>
      <w:r>
        <w:rPr>
          <w:rFonts w:ascii="Arial" w:cs="Arial" w:eastAsia="Arial" w:hAnsi="Arial"/>
          <w:sz w:val="18"/>
          <w:szCs w:val="18"/>
          <w:color w:val="auto"/>
        </w:rPr>
        <w:t>REPRESENT THE FINAL AGREEMENT BETWEEN THE PARTIES THERETO AND MAY NOT BE CONTRADICTED BY EVIDENCE OF PRIOR, CONTEMPORANEOUS, OR SUBSEQUENT ORAL AGREEMENTS BY SUCH PARTIES. THERE ARE NO UNWRITTEN ORAL AGREEMENTS BETWEEN SUCH PARTIES.</w:t>
      </w:r>
    </w:p>
    <w:p>
      <w:pPr>
        <w:spacing w:after="0" w:line="181" w:lineRule="exact"/>
        <w:rPr>
          <w:sz w:val="20"/>
          <w:szCs w:val="20"/>
          <w:color w:val="auto"/>
        </w:rPr>
      </w:pPr>
    </w:p>
    <w:p>
      <w:pPr>
        <w:ind w:right="360" w:firstLine="1297"/>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88"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1"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10.13 I</w:t>
      </w:r>
      <w:r>
        <w:rPr>
          <w:rFonts w:ascii="Arial" w:cs="Arial" w:eastAsia="Arial" w:hAnsi="Arial"/>
          <w:sz w:val="16"/>
          <w:szCs w:val="16"/>
          <w:u w:val="single" w:color="auto"/>
          <w:color w:val="auto"/>
        </w:rPr>
        <w:t>ndemnity by Borrower</w:t>
      </w:r>
      <w:r>
        <w:rPr>
          <w:rFonts w:ascii="Arial" w:cs="Arial" w:eastAsia="Arial" w:hAnsi="Arial"/>
          <w:sz w:val="16"/>
          <w:szCs w:val="16"/>
          <w:color w:val="auto"/>
        </w:rPr>
        <w:t xml:space="preserve">.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Indemnified Liability to the extent (i) it is found by a final, non-appealable judgment of a court of competent jurisdiction to arise from</w:t>
      </w:r>
    </w:p>
    <w:p>
      <w:pPr>
        <w:ind w:firstLine="8"/>
        <w:spacing w:after="0" w:line="271" w:lineRule="auto"/>
        <w:tabs>
          <w:tab w:leader="none" w:pos="2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ind w:right="60"/>
        <w:spacing w:after="0" w:line="259" w:lineRule="auto"/>
        <w:rPr>
          <w:sz w:val="20"/>
          <w:szCs w:val="20"/>
          <w:color w:val="auto"/>
        </w:rPr>
      </w:pPr>
      <w:r>
        <w:rPr>
          <w:rFonts w:ascii="Arial" w:cs="Arial" w:eastAsia="Arial" w:hAnsi="Arial"/>
          <w:sz w:val="18"/>
          <w:szCs w:val="18"/>
          <w:color w:val="auto"/>
        </w:rPr>
        <w:t>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Borrower acknowledges and agrees that:</w:t>
      </w:r>
    </w:p>
    <w:p>
      <w:pPr>
        <w:spacing w:after="0" w:line="225" w:lineRule="exact"/>
        <w:rPr>
          <w:sz w:val="20"/>
          <w:szCs w:val="20"/>
          <w:color w:val="auto"/>
        </w:rPr>
      </w:pPr>
    </w:p>
    <w:p>
      <w:pPr>
        <w:jc w:val="both"/>
        <w:ind w:right="240" w:firstLine="1305"/>
        <w:spacing w:after="0" w:line="264" w:lineRule="auto"/>
        <w:tabs>
          <w:tab w:leader="none" w:pos="168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1" w:lineRule="exact"/>
        <w:rPr>
          <w:rFonts w:ascii="Arial" w:cs="Arial" w:eastAsia="Arial" w:hAnsi="Arial"/>
          <w:sz w:val="18"/>
          <w:szCs w:val="18"/>
          <w:color w:val="auto"/>
        </w:rPr>
      </w:pPr>
    </w:p>
    <w:p>
      <w:pPr>
        <w:jc w:val="both"/>
        <w:ind w:right="40" w:firstLine="1305"/>
        <w:spacing w:after="0" w:line="259" w:lineRule="auto"/>
        <w:tabs>
          <w:tab w:leader="none" w:pos="159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6" w:lineRule="exact"/>
        <w:rPr>
          <w:rFonts w:ascii="Arial" w:cs="Arial" w:eastAsia="Arial" w:hAnsi="Arial"/>
          <w:sz w:val="18"/>
          <w:szCs w:val="18"/>
          <w:color w:val="auto"/>
        </w:rPr>
      </w:pPr>
    </w:p>
    <w:p>
      <w:pPr>
        <w:ind w:right="80" w:firstLine="1305"/>
        <w:spacing w:after="0" w:line="273" w:lineRule="auto"/>
        <w:tabs>
          <w:tab w:leader="none" w:pos="158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78" w:lineRule="exact"/>
        <w:rPr>
          <w:rFonts w:ascii="Arial" w:cs="Arial" w:eastAsia="Arial" w:hAnsi="Arial"/>
          <w:sz w:val="17"/>
          <w:szCs w:val="17"/>
          <w:color w:val="auto"/>
        </w:rPr>
      </w:pPr>
    </w:p>
    <w:p>
      <w:pPr>
        <w:jc w:val="both"/>
        <w:ind w:right="160" w:firstLine="1305"/>
        <w:spacing w:after="0" w:line="259" w:lineRule="auto"/>
        <w:tabs>
          <w:tab w:leader="none" w:pos="159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Neither Administrative Agent nor any Lender nor any Person identified on the cover page of this Agreement as a Joint Lead Arranger and Joint Bookrunner, Syndication Agent or Co-Documentation Agent shall be deemed to be in an advisory, fiduciary or agency relationship with Borrower and its Affiliates or have a fiduciary or other implied duty to Borrower and its Affiliates with respect to this Agreement and the transactions contemplated hereby;</w:t>
      </w:r>
    </w:p>
    <w:p>
      <w:pPr>
        <w:spacing w:after="0" w:line="186" w:lineRule="exact"/>
        <w:rPr>
          <w:rFonts w:ascii="Arial" w:cs="Arial" w:eastAsia="Arial" w:hAnsi="Arial"/>
          <w:sz w:val="18"/>
          <w:szCs w:val="18"/>
          <w:color w:val="auto"/>
        </w:rPr>
      </w:pPr>
    </w:p>
    <w:p>
      <w:pPr>
        <w:ind w:left="1640" w:hanging="335"/>
        <w:spacing w:after="0"/>
        <w:tabs>
          <w:tab w:leader="none" w:pos="1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Administrative Agent and Lenders, and their Affiliates, may have economic interests that conflict with those of Borrower and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 and</w:t>
      </w:r>
    </w:p>
    <w:p>
      <w:pPr>
        <w:spacing w:after="0" w:line="210" w:lineRule="exact"/>
        <w:rPr>
          <w:rFonts w:ascii="Arial" w:cs="Arial" w:eastAsia="Arial" w:hAnsi="Arial"/>
          <w:sz w:val="17"/>
          <w:szCs w:val="17"/>
          <w:color w:val="auto"/>
        </w:rPr>
      </w:pPr>
    </w:p>
    <w:p>
      <w:pPr>
        <w:jc w:val="both"/>
        <w:ind w:right="80" w:firstLine="1305"/>
        <w:spacing w:after="0" w:line="286" w:lineRule="auto"/>
        <w:tabs>
          <w:tab w:leader="none" w:pos="156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66"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assigns. Except as provided in Section 10.04, no other Person shall have any rights of any nature hereunder or by reason hereof.</w:t>
      </w:r>
    </w:p>
    <w:p>
      <w:pPr>
        <w:spacing w:after="0" w:line="225" w:lineRule="exact"/>
        <w:rPr>
          <w:sz w:val="20"/>
          <w:szCs w:val="20"/>
          <w:color w:val="auto"/>
        </w:rPr>
      </w:pPr>
    </w:p>
    <w:p>
      <w:pPr>
        <w:ind w:right="380" w:firstLine="1297"/>
        <w:spacing w:after="0" w:line="25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8" w:lineRule="exact"/>
        <w:rPr>
          <w:sz w:val="20"/>
          <w:szCs w:val="20"/>
          <w:color w:val="auto"/>
        </w:rPr>
      </w:pPr>
    </w:p>
    <w:p>
      <w:pPr>
        <w:ind w:firstLine="1297"/>
        <w:spacing w:after="0" w:line="282"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Confidentiality</w:t>
      </w:r>
      <w:r>
        <w:rPr>
          <w:rFonts w:ascii="Arial" w:cs="Arial" w:eastAsia="Arial" w:hAnsi="Arial"/>
          <w:sz w:val="16"/>
          <w:szCs w:val="16"/>
          <w:color w:val="auto"/>
        </w:rPr>
        <w:t>.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provided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w:t>
      </w:r>
    </w:p>
    <w:p>
      <w:pPr>
        <w:spacing w:after="0" w:line="12" w:lineRule="exact"/>
        <w:rPr>
          <w:sz w:val="20"/>
          <w:szCs w:val="20"/>
          <w:color w:val="auto"/>
        </w:rPr>
      </w:pPr>
    </w:p>
    <w:p>
      <w:pPr>
        <w:ind w:right="20" w:firstLine="8"/>
        <w:spacing w:after="0" w:line="252"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3" w:name="page124"/>
    <w:bookmarkEnd w:id="123"/>
    <w:p>
      <w:pPr>
        <w:ind w:right="160" w:firstLine="1297"/>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 and Administrative Agent</w:t>
      </w:r>
      <w:r>
        <w:rPr>
          <w:rFonts w:ascii="Arial" w:cs="Arial" w:eastAsia="Arial" w:hAnsi="Arial"/>
          <w:sz w:val="16"/>
          <w:szCs w:val="16"/>
          <w:color w:val="auto"/>
        </w:rPr>
        <w:t>. (a) (i) Each Lender that is a U.S. Person shall deliver to Borrower and Administrative Agent on or prior to the date on which such Lender becomes a party to this Agreement, and from time to time thereafter if requested in writing by Borrower or Administrative Agent,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(but only so long as such Lender remains lawfully able to do so)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provided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4" w:name="page125"/>
    <w:bookmarkEnd w:id="124"/>
    <w:p>
      <w:pPr>
        <w:ind w:left="80" w:right="160"/>
        <w:spacing w:after="0" w:line="259" w:lineRule="auto"/>
        <w:rPr>
          <w:sz w:val="20"/>
          <w:szCs w:val="20"/>
          <w:color w:val="auto"/>
        </w:rPr>
      </w:pPr>
      <w:r>
        <w:rPr>
          <w:rFonts w:ascii="Arial" w:cs="Arial" w:eastAsia="Arial" w:hAnsi="Arial"/>
          <w:sz w:val="18"/>
          <w:szCs w:val="18"/>
          <w:color w:val="auto"/>
        </w:rPr>
        <w:t>other amount from payments made in respect of such Person, such Person shall indemnify Administrative Agent therefor, including all penalties and interest, any taxes imposed by any jurisdiction on the amounts payable to Administrative Agent under this Section, and costs and expenses (including Attorney Costs) of Administrative Agent. The obligation of Lenders under this Section shall survive the payment of all Obligations and the resignation of Administrative Agent.</w:t>
      </w:r>
    </w:p>
    <w:p>
      <w:pPr>
        <w:spacing w:after="0" w:line="187" w:lineRule="exact"/>
        <w:rPr>
          <w:sz w:val="20"/>
          <w:szCs w:val="20"/>
          <w:color w:val="auto"/>
        </w:rPr>
      </w:pPr>
    </w:p>
    <w:p>
      <w:pPr>
        <w:ind w:left="-100" w:firstLine="1305"/>
        <w:spacing w:after="0" w:line="270" w:lineRule="auto"/>
        <w:tabs>
          <w:tab w:leader="none" w:pos="149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 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77" w:lineRule="exact"/>
        <w:rPr>
          <w:rFonts w:ascii="Arial" w:cs="Arial" w:eastAsia="Arial" w:hAnsi="Arial"/>
          <w:sz w:val="17"/>
          <w:szCs w:val="17"/>
          <w:color w:val="auto"/>
        </w:rPr>
      </w:pPr>
    </w:p>
    <w:p>
      <w:pPr>
        <w:ind w:left="-100" w:right="280" w:firstLine="1305"/>
        <w:spacing w:after="0" w:line="308" w:lineRule="auto"/>
        <w:tabs>
          <w:tab w:leader="none" w:pos="151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Administrative Agent shall deliver to Borrower two executed copies of IRS Form W-9. Administrative Agent agrees that if any form or certification it previously delivered expires or becomes obsolete or inaccurate in any respect, it shall update such form or certification.</w:t>
      </w:r>
    </w:p>
    <w:p>
      <w:pPr>
        <w:spacing w:after="0" w:line="14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Removal and Replacement of Lenders</w:t>
      </w:r>
      <w:r>
        <w:rPr>
          <w:rFonts w:ascii="Arial" w:cs="Arial" w:eastAsia="Arial" w:hAnsi="Arial"/>
          <w:sz w:val="18"/>
          <w:szCs w:val="18"/>
          <w:color w:val="auto"/>
        </w:rPr>
        <w:t>.</w:t>
      </w:r>
    </w:p>
    <w:p>
      <w:pPr>
        <w:spacing w:after="0" w:line="225" w:lineRule="exact"/>
        <w:rPr>
          <w:sz w:val="20"/>
          <w:szCs w:val="20"/>
          <w:color w:val="auto"/>
        </w:rPr>
      </w:pPr>
    </w:p>
    <w:p>
      <w:pPr>
        <w:ind w:left="-100" w:firstLine="1305"/>
        <w:spacing w:after="0" w:line="286" w:lineRule="auto"/>
        <w:tabs>
          <w:tab w:leader="none" w:pos="144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event that any Lender (i) requests compensation under Section 3.01 or 3.04, (ii) becomes a Defaulting Lender or (iii) (x) does not consent to any proposed amendment, supplement, modification, consent or waiver of any provision of this Agreement or any other Loan Document that requires the consent of each of the Lenders or each of the Lenders (including, for the avoidance of doubt, any extension permitted by Section 2.01(e) with the consent of each Lender) affected thereby or (y) does not agree to make Loans in any proposed Alternative Currency (in the case of this clause (iii), so long as the consent of the Required Lenders to such amendment, supplement, modification, consent, waiver or proposed Alternative Currency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provided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 (z) release such Lender from its obligations under the Loan Documents from and after the date of termination. Borrower shall, in the case of an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40" w:top="584" w:right="279" w:bottom="1440" w:gutter="0" w:footer="0" w:header="0"/>
        </w:sectPr>
      </w:pPr>
    </w:p>
    <w:bookmarkStart w:id="125" w:name="page126"/>
    <w:bookmarkEnd w:id="125"/>
    <w:p>
      <w:pPr>
        <w:ind w:right="300"/>
        <w:spacing w:after="0" w:line="257" w:lineRule="auto"/>
        <w:rPr>
          <w:sz w:val="20"/>
          <w:szCs w:val="20"/>
          <w:color w:val="auto"/>
        </w:rPr>
      </w:pPr>
      <w:r>
        <w:rPr>
          <w:rFonts w:ascii="Arial" w:cs="Arial" w:eastAsia="Arial" w:hAnsi="Arial"/>
          <w:sz w:val="18"/>
          <w:szCs w:val="18"/>
          <w:color w:val="auto"/>
        </w:rPr>
        <w:t>pursuant to clause (B) preceding, cause to be paid the assignment fee payable to Administrative Agent pursuant to Section 10.04(c). Any such Lender whose Revolving Commitment is being assigned shall, upon payment of (i) all amounts owed to it pursuant to the proviso in clause (B) 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188" w:lineRule="exact"/>
        <w:rPr>
          <w:sz w:val="20"/>
          <w:szCs w:val="20"/>
          <w:color w:val="auto"/>
        </w:rPr>
      </w:pPr>
    </w:p>
    <w:p>
      <w:pPr>
        <w:ind w:right="20" w:firstLine="1305"/>
        <w:spacing w:after="0" w:line="264" w:lineRule="auto"/>
        <w:tabs>
          <w:tab w:leader="none" w:pos="159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Revolving Commitments of a Defaulting Lender pursuant to Section 2.14(a), such fees shall not be paid to the non-Defaulting Lenders (or replacement Lenders in respect of any fees accruing prior to such replacement Lender becoming a Lender hereunder).</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right="460" w:firstLine="1305"/>
        <w:spacing w:after="0" w:line="308" w:lineRule="auto"/>
        <w:tabs>
          <w:tab w:leader="none" w:pos="158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THIS AGREEMENT AND THE RIGHTS AND OBLIGATIONS OF THE PARTIES UNDER THIS AGREEMENT SHALL BE GOVERNED BY, AND CONSTRUED AND INTERPRETED IN ACCORDANCE WITH, THE LAW OF THE STATE OF NEW YORK.</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sz w:val="20"/>
          <w:szCs w:val="20"/>
          <w:color w:val="auto"/>
        </w:rPr>
      </w:pPr>
    </w:p>
    <w:p>
      <w:pPr>
        <w:ind w:firstLine="1305"/>
        <w:spacing w:after="0" w:line="264" w:lineRule="auto"/>
        <w:tabs>
          <w:tab w:leader="none" w:pos="155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right="280" w:firstLine="1305"/>
        <w:spacing w:after="0" w:line="277" w:lineRule="auto"/>
        <w:tabs>
          <w:tab w:leader="none" w:pos="16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jc w:val="both"/>
        <w:ind w:right="20" w:firstLine="1305"/>
        <w:spacing w:after="0" w:line="264" w:lineRule="auto"/>
        <w:tabs>
          <w:tab w:leader="none" w:pos="165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20" w:firstLine="1305"/>
        <w:spacing w:after="0" w:line="277" w:lineRule="auto"/>
        <w:tabs>
          <w:tab w:leader="none" w:pos="1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240" w:firstLine="1305"/>
        <w:spacing w:after="0" w:line="264" w:lineRule="auto"/>
        <w:tabs>
          <w:tab w:leader="none" w:pos="16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10.22 any special, exemplary, punitive or consequential damages; provided the waiver set forth in this clause (vi) shall not affect any obligation of Borrower under Section 10.13.</w:t>
      </w:r>
    </w:p>
    <w:p>
      <w:pPr>
        <w:spacing w:after="0" w:line="181" w:lineRule="exact"/>
        <w:rPr>
          <w:sz w:val="20"/>
          <w:szCs w:val="20"/>
          <w:color w:val="auto"/>
        </w:rPr>
      </w:pPr>
    </w:p>
    <w:p>
      <w:pPr>
        <w:ind w:left="180" w:right="240" w:firstLine="1296"/>
        <w:spacing w:after="0" w:line="308"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6" w:name="page127"/>
    <w:bookmarkEnd w:id="126"/>
    <w:p>
      <w:pPr>
        <w:ind w:right="100"/>
        <w:spacing w:after="0" w:line="273" w:lineRule="auto"/>
        <w:rPr>
          <w:sz w:val="20"/>
          <w:szCs w:val="20"/>
          <w:color w:val="auto"/>
        </w:rPr>
      </w:pPr>
      <w:r>
        <w:rPr>
          <w:rFonts w:ascii="Arial" w:cs="Arial" w:eastAsia="Arial" w:hAnsi="Arial"/>
          <w:sz w:val="17"/>
          <w:szCs w:val="17"/>
          <w:color w:val="auto"/>
        </w:rPr>
        <w:t>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“PATRIOT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PATRIOT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79" w:lineRule="auto"/>
        <w:tabs>
          <w:tab w:leader="none" w:pos="158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ind w:firstLine="1305"/>
        <w:spacing w:after="0" w:line="272" w:lineRule="auto"/>
        <w:tabs>
          <w:tab w:leader="none" w:pos="159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78"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 xml:space="preserve">10.26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120" w:firstLine="1305"/>
        <w:spacing w:after="0" w:line="277" w:lineRule="auto"/>
        <w:tabs>
          <w:tab w:leader="none" w:pos="158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7" w:name="page128"/>
    <w:bookmarkEnd w:id="127"/>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right="440" w:firstLine="656"/>
        <w:spacing w:after="0" w:line="286" w:lineRule="auto"/>
        <w:tabs>
          <w:tab w:leader="none" w:pos="95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any EEA Resolution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Revolving Commitments as of the </w:t>
      </w:r>
      <w:r>
        <w:rPr>
          <w:rFonts w:ascii="Arial" w:cs="Arial" w:eastAsia="Arial" w:hAnsi="Arial"/>
          <w:sz w:val="18"/>
          <w:szCs w:val="18"/>
          <w:b w:val="1"/>
          <w:bCs w:val="1"/>
          <w:u w:val="single" w:color="auto"/>
          <w:color w:val="0000FF"/>
        </w:rPr>
        <w:t>Amendment No. 2</w:t>
      </w:r>
      <w:r>
        <w:rPr>
          <w:rFonts w:ascii="Arial" w:cs="Arial" w:eastAsia="Arial" w:hAnsi="Arial"/>
          <w:sz w:val="18"/>
          <w:szCs w:val="18"/>
          <w:b w:val="1"/>
          <w:bCs w:val="1"/>
          <w:u w:val="single" w:color="auto"/>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4081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408178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0" w:type="dxa"/>
            <w:vAlign w:val="bottom"/>
            <w:tcBorders>
              <w:bottom w:val="single" w:sz="8" w:color="auto"/>
            </w:tcBorders>
          </w:tcPr>
          <w:p>
            <w:pPr>
              <w:spacing w:after="0"/>
              <w:rPr>
                <w:sz w:val="21"/>
                <w:szCs w:val="21"/>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Institution</w:t>
            </w:r>
          </w:p>
        </w:tc>
        <w:tc>
          <w:tcPr>
            <w:tcW w:w="15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i w:val="1"/>
                <w:iCs w:val="1"/>
                <w:color w:val="auto"/>
                <w:w w:val="88"/>
              </w:rPr>
              <w:t>Revolving Commitment</w:t>
            </w:r>
          </w:p>
        </w:tc>
        <w:tc>
          <w:tcPr>
            <w:tcW w:w="80" w:type="dxa"/>
            <w:vAlign w:val="bottom"/>
            <w:tcBorders>
              <w:bottom w:val="single" w:sz="8" w:color="auto"/>
            </w:tcBorders>
          </w:tcPr>
          <w:p>
            <w:pPr>
              <w:spacing w:after="0"/>
              <w:rPr>
                <w:sz w:val="21"/>
                <w:szCs w:val="21"/>
                <w:color w:val="auto"/>
              </w:rPr>
            </w:pPr>
          </w:p>
        </w:tc>
      </w:tr>
      <w:tr>
        <w:trPr>
          <w:trHeight w:val="202"/>
        </w:trPr>
        <w:tc>
          <w:tcPr>
            <w:tcW w:w="80" w:type="dxa"/>
            <w:vAlign w:val="bottom"/>
          </w:tcPr>
          <w:p>
            <w:pPr>
              <w:spacing w:after="0"/>
              <w:rPr>
                <w:sz w:val="17"/>
                <w:szCs w:val="17"/>
                <w:color w:val="auto"/>
              </w:rPr>
            </w:pPr>
          </w:p>
        </w:tc>
        <w:tc>
          <w:tcPr>
            <w:tcW w:w="7900" w:type="dxa"/>
            <w:vAlign w:val="bottom"/>
            <w:gridSpan w:val="3"/>
          </w:tcPr>
          <w:p>
            <w:pPr>
              <w:spacing w:after="0" w:line="201" w:lineRule="exact"/>
              <w:rPr>
                <w:sz w:val="20"/>
                <w:szCs w:val="20"/>
                <w:color w:val="auto"/>
              </w:rPr>
            </w:pPr>
            <w:r>
              <w:rPr>
                <w:rFonts w:ascii="Arial" w:cs="Arial" w:eastAsia="Arial" w:hAnsi="Arial"/>
                <w:sz w:val="18"/>
                <w:szCs w:val="18"/>
                <w:color w:val="auto"/>
              </w:rPr>
              <w:t>JPMorgan Chase Bank, N.A.</w:t>
            </w:r>
          </w:p>
        </w:tc>
        <w:tc>
          <w:tcPr>
            <w:tcW w:w="336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$486,000,000</w:t>
            </w:r>
          </w:p>
        </w:tc>
        <w:tc>
          <w:tcPr>
            <w:tcW w:w="8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Citibank, N.A.</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$486,000,000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Morgan Stanley Bank, N.A.</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$243,000,000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MUFG Bank, Ltd. (f/k/a The Bank of Tokyo-Mitsubishi UFJ, Ltd.)</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$243,000,000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Wells Fargo Bank, National Association</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$486,000,000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Mizuho Bank, Ltd.</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$486,000,000</w:t>
            </w:r>
          </w:p>
        </w:tc>
        <w:tc>
          <w:tcPr>
            <w:tcW w:w="80" w:type="dxa"/>
            <w:vAlign w:val="bottom"/>
          </w:tcPr>
          <w:p>
            <w:pPr>
              <w:spacing w:after="0"/>
              <w:rPr>
                <w:sz w:val="18"/>
                <w:szCs w:val="18"/>
                <w:color w:val="auto"/>
              </w:rPr>
            </w:pPr>
          </w:p>
        </w:tc>
      </w:tr>
      <w:tr>
        <w:trPr>
          <w:trHeight w:val="190"/>
        </w:trPr>
        <w:tc>
          <w:tcPr>
            <w:tcW w:w="80" w:type="dxa"/>
            <w:vAlign w:val="bottom"/>
          </w:tcPr>
          <w:p>
            <w:pPr>
              <w:spacing w:after="0"/>
              <w:rPr>
                <w:sz w:val="16"/>
                <w:szCs w:val="16"/>
                <w:color w:val="auto"/>
              </w:rPr>
            </w:pPr>
          </w:p>
        </w:tc>
        <w:tc>
          <w:tcPr>
            <w:tcW w:w="7900" w:type="dxa"/>
            <w:vAlign w:val="bottom"/>
            <w:gridSpan w:val="3"/>
          </w:tcPr>
          <w:p>
            <w:pPr>
              <w:spacing w:after="0" w:line="190" w:lineRule="exact"/>
              <w:rPr>
                <w:sz w:val="20"/>
                <w:szCs w:val="20"/>
                <w:color w:val="auto"/>
              </w:rPr>
            </w:pPr>
            <w:r>
              <w:rPr>
                <w:rFonts w:ascii="Arial" w:cs="Arial" w:eastAsia="Arial" w:hAnsi="Arial"/>
                <w:sz w:val="18"/>
                <w:szCs w:val="18"/>
                <w:color w:val="auto"/>
              </w:rPr>
              <w:t>Bank of America, N.A.</w:t>
            </w:r>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w w:val="87"/>
              </w:rPr>
              <w:t>350,000,000</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0000FF"/>
                <w:w w:val="87"/>
              </w:rPr>
              <w:t>486,000,000</w:t>
            </w:r>
          </w:p>
        </w:tc>
        <w:tc>
          <w:tcPr>
            <w:tcW w:w="8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8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Barclays Bank PLC</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BNP Paribas</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Credit Suisse AG, Cayman Islands Branch</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Deutsche Bank AG, New York Branch</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20"/>
                <w:szCs w:val="20"/>
                <w:color w:val="auto"/>
              </w:rPr>
            </w:pPr>
          </w:p>
        </w:tc>
      </w:tr>
      <w:tr>
        <w:trPr>
          <w:trHeight w:val="216"/>
        </w:trPr>
        <w:tc>
          <w:tcPr>
            <w:tcW w:w="80" w:type="dxa"/>
            <w:vAlign w:val="bottom"/>
            <w:tcBorders>
              <w:right w:val="single" w:sz="8" w:color="FFDEAD"/>
            </w:tcBorders>
          </w:tcPr>
          <w:p>
            <w:pPr>
              <w:spacing w:after="0"/>
              <w:rPr>
                <w:sz w:val="18"/>
                <w:szCs w:val="18"/>
                <w:color w:val="auto"/>
              </w:rPr>
            </w:pPr>
          </w:p>
        </w:tc>
        <w:tc>
          <w:tcPr>
            <w:tcW w:w="1960" w:type="dxa"/>
            <w:vAlign w:val="bottom"/>
            <w:shd w:val="clear" w:color="auto" w:fill="FFDEAD"/>
          </w:tcPr>
          <w:p>
            <w:pPr>
              <w:spacing w:after="0"/>
              <w:rPr>
                <w:sz w:val="20"/>
                <w:szCs w:val="20"/>
                <w:color w:val="auto"/>
              </w:rPr>
            </w:pPr>
            <w:r>
              <w:rPr>
                <w:rFonts w:ascii="Arial" w:cs="Arial" w:eastAsia="Arial" w:hAnsi="Arial"/>
                <w:sz w:val="18"/>
                <w:szCs w:val="18"/>
                <w:color w:val="FF0000"/>
                <w:strike w:val="1"/>
                <w:w w:val="89"/>
              </w:rPr>
              <w:t>Goldman Sachs Bank USA</w:t>
            </w:r>
          </w:p>
        </w:tc>
        <w:tc>
          <w:tcPr>
            <w:tcW w:w="1060" w:type="dxa"/>
            <w:vAlign w:val="bottom"/>
            <w:shd w:val="clear" w:color="auto" w:fill="FFDEAD"/>
          </w:tcPr>
          <w:p>
            <w:pPr>
              <w:spacing w:after="0"/>
              <w:rPr>
                <w:sz w:val="18"/>
                <w:szCs w:val="18"/>
                <w:color w:val="auto"/>
              </w:rPr>
            </w:pPr>
          </w:p>
        </w:tc>
        <w:tc>
          <w:tcPr>
            <w:tcW w:w="4880" w:type="dxa"/>
            <w:vAlign w:val="bottom"/>
            <w:shd w:val="clear" w:color="auto" w:fill="FFDEAD"/>
          </w:tcPr>
          <w:p>
            <w:pPr>
              <w:spacing w:after="0"/>
              <w:rPr>
                <w:sz w:val="18"/>
                <w:szCs w:val="18"/>
                <w:color w:val="auto"/>
              </w:rPr>
            </w:pPr>
          </w:p>
        </w:tc>
        <w:tc>
          <w:tcPr>
            <w:tcW w:w="2380" w:type="dxa"/>
            <w:vAlign w:val="bottom"/>
            <w:gridSpan w:val="2"/>
            <w:shd w:val="clear" w:color="auto" w:fill="FFDEAD"/>
          </w:tcPr>
          <w:p>
            <w:pPr>
              <w:spacing w:after="0"/>
              <w:rPr>
                <w:sz w:val="18"/>
                <w:szCs w:val="18"/>
                <w:color w:val="auto"/>
              </w:rPr>
            </w:pPr>
          </w:p>
        </w:tc>
        <w:tc>
          <w:tcPr>
            <w:tcW w:w="980" w:type="dxa"/>
            <w:vAlign w:val="bottom"/>
            <w:gridSpan w:val="2"/>
            <w:shd w:val="clear" w:color="auto" w:fill="FFDEAD"/>
          </w:tcPr>
          <w:p>
            <w:pPr>
              <w:jc w:val="right"/>
              <w:spacing w:after="0"/>
              <w:rPr>
                <w:sz w:val="20"/>
                <w:szCs w:val="20"/>
                <w:color w:val="auto"/>
              </w:rPr>
            </w:pPr>
            <w:r>
              <w:rPr>
                <w:rFonts w:ascii="Arial" w:cs="Arial" w:eastAsia="Arial" w:hAnsi="Arial"/>
                <w:sz w:val="18"/>
                <w:szCs w:val="18"/>
                <w:color w:val="FF0000"/>
                <w:strike w:val="1"/>
                <w:w w:val="87"/>
              </w:rPr>
              <w:t>$350,000,000</w:t>
            </w:r>
          </w:p>
        </w:tc>
        <w:tc>
          <w:tcPr>
            <w:tcW w:w="80" w:type="dxa"/>
            <w:vAlign w:val="bottom"/>
            <w:tcBorders>
              <w:left w:val="single" w:sz="8" w:color="FFDEAD"/>
            </w:tcBorders>
          </w:tcPr>
          <w:p>
            <w:pPr>
              <w:spacing w:after="0"/>
              <w:rPr>
                <w:sz w:val="18"/>
                <w:szCs w:val="18"/>
                <w:color w:val="auto"/>
              </w:rPr>
            </w:pPr>
          </w:p>
        </w:tc>
      </w:tr>
      <w:tr>
        <w:trPr>
          <w:trHeight w:val="202"/>
        </w:trPr>
        <w:tc>
          <w:tcPr>
            <w:tcW w:w="80" w:type="dxa"/>
            <w:vAlign w:val="bottom"/>
          </w:tcPr>
          <w:p>
            <w:pPr>
              <w:spacing w:after="0"/>
              <w:rPr>
                <w:sz w:val="17"/>
                <w:szCs w:val="17"/>
                <w:color w:val="auto"/>
              </w:rPr>
            </w:pPr>
          </w:p>
        </w:tc>
        <w:tc>
          <w:tcPr>
            <w:tcW w:w="7900" w:type="dxa"/>
            <w:vAlign w:val="bottom"/>
            <w:gridSpan w:val="3"/>
          </w:tcPr>
          <w:p>
            <w:pPr>
              <w:spacing w:after="0" w:line="201" w:lineRule="exact"/>
              <w:rPr>
                <w:sz w:val="20"/>
                <w:szCs w:val="20"/>
                <w:color w:val="auto"/>
              </w:rPr>
            </w:pPr>
            <w:r>
              <w:rPr>
                <w:rFonts w:ascii="Arial" w:cs="Arial" w:eastAsia="Arial" w:hAnsi="Arial"/>
                <w:sz w:val="18"/>
                <w:szCs w:val="18"/>
                <w:color w:val="auto"/>
              </w:rPr>
              <w:t>Royal Bank of Canada</w:t>
            </w:r>
          </w:p>
        </w:tc>
        <w:tc>
          <w:tcPr>
            <w:tcW w:w="336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Sumitomo Mitsui Banking Corporation</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Toronto Dominion (Texas) LLC</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$350,000,000</w:t>
            </w:r>
          </w:p>
        </w:tc>
        <w:tc>
          <w:tcPr>
            <w:tcW w:w="80" w:type="dxa"/>
            <w:vAlign w:val="bottom"/>
          </w:tcPr>
          <w:p>
            <w:pPr>
              <w:spacing w:after="0"/>
              <w:rPr>
                <w:sz w:val="18"/>
                <w:szCs w:val="18"/>
                <w:color w:val="auto"/>
              </w:rPr>
            </w:pPr>
          </w:p>
        </w:tc>
      </w:tr>
      <w:tr>
        <w:trPr>
          <w:trHeight w:val="190"/>
        </w:trPr>
        <w:tc>
          <w:tcPr>
            <w:tcW w:w="80" w:type="dxa"/>
            <w:vAlign w:val="bottom"/>
          </w:tcPr>
          <w:p>
            <w:pPr>
              <w:spacing w:after="0"/>
              <w:rPr>
                <w:sz w:val="16"/>
                <w:szCs w:val="16"/>
                <w:color w:val="auto"/>
              </w:rPr>
            </w:pPr>
          </w:p>
        </w:tc>
        <w:tc>
          <w:tcPr>
            <w:tcW w:w="7900" w:type="dxa"/>
            <w:vAlign w:val="bottom"/>
            <w:gridSpan w:val="3"/>
          </w:tcPr>
          <w:p>
            <w:pPr>
              <w:spacing w:after="0" w:line="190" w:lineRule="exact"/>
              <w:rPr>
                <w:sz w:val="20"/>
                <w:szCs w:val="20"/>
                <w:color w:val="auto"/>
              </w:rPr>
            </w:pPr>
            <w:r>
              <w:rPr>
                <w:rFonts w:ascii="Arial" w:cs="Arial" w:eastAsia="Arial" w:hAnsi="Arial"/>
                <w:sz w:val="18"/>
                <w:szCs w:val="18"/>
                <w:color w:val="auto"/>
              </w:rPr>
              <w:t>Commerzbank AG, New York Branch</w:t>
            </w:r>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w w:val="87"/>
              </w:rPr>
              <w:t>225,000,000</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0000FF"/>
                <w:w w:val="87"/>
              </w:rPr>
              <w:t>350,000,000</w:t>
            </w:r>
          </w:p>
        </w:tc>
        <w:tc>
          <w:tcPr>
            <w:tcW w:w="80" w:type="dxa"/>
            <w:vAlign w:val="bottom"/>
          </w:tcPr>
          <w:p>
            <w:pPr>
              <w:spacing w:after="0"/>
              <w:rPr>
                <w:sz w:val="16"/>
                <w:szCs w:val="16"/>
                <w:color w:val="auto"/>
              </w:rPr>
            </w:pPr>
          </w:p>
        </w:tc>
      </w:tr>
      <w:tr>
        <w:trPr>
          <w:trHeight w:val="21"/>
        </w:trPr>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0" w:type="dxa"/>
            <w:vAlign w:val="bottom"/>
            <w:tcBorders>
              <w:right w:val="single" w:sz="8" w:color="E6E6FA"/>
            </w:tcBorders>
          </w:tcPr>
          <w:p>
            <w:pPr>
              <w:spacing w:after="0"/>
              <w:rPr>
                <w:sz w:val="15"/>
                <w:szCs w:val="15"/>
                <w:color w:val="auto"/>
              </w:rPr>
            </w:pPr>
          </w:p>
        </w:tc>
        <w:tc>
          <w:tcPr>
            <w:tcW w:w="7900" w:type="dxa"/>
            <w:vAlign w:val="bottom"/>
            <w:gridSpan w:val="3"/>
            <w:shd w:val="clear" w:color="auto" w:fill="E6E6FA"/>
          </w:tcPr>
          <w:p>
            <w:pPr>
              <w:spacing w:after="0" w:line="176" w:lineRule="exact"/>
              <w:rPr>
                <w:sz w:val="20"/>
                <w:szCs w:val="20"/>
                <w:color w:val="auto"/>
              </w:rPr>
            </w:pPr>
            <w:r>
              <w:rPr>
                <w:rFonts w:ascii="Arial" w:cs="Arial" w:eastAsia="Arial" w:hAnsi="Arial"/>
                <w:sz w:val="18"/>
                <w:szCs w:val="18"/>
                <w:color w:val="0000FF"/>
              </w:rPr>
              <w:t>Banco Santander, S.A., New York Branch</w:t>
            </w:r>
          </w:p>
        </w:tc>
        <w:tc>
          <w:tcPr>
            <w:tcW w:w="3360" w:type="dxa"/>
            <w:vAlign w:val="bottom"/>
            <w:gridSpan w:val="4"/>
            <w:shd w:val="clear" w:color="auto" w:fill="E6E6FA"/>
          </w:tcPr>
          <w:p>
            <w:pPr>
              <w:jc w:val="right"/>
              <w:spacing w:after="0" w:line="176" w:lineRule="exact"/>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350,000,000</w:t>
            </w:r>
          </w:p>
        </w:tc>
        <w:tc>
          <w:tcPr>
            <w:tcW w:w="80" w:type="dxa"/>
            <w:vAlign w:val="bottom"/>
            <w:tcBorders>
              <w:left w:val="single" w:sz="8" w:color="E6E6FA"/>
            </w:tcBorders>
          </w:tcPr>
          <w:p>
            <w:pPr>
              <w:spacing w:after="0"/>
              <w:rPr>
                <w:sz w:val="15"/>
                <w:szCs w:val="15"/>
                <w:color w:val="auto"/>
              </w:rPr>
            </w:pPr>
          </w:p>
        </w:tc>
      </w:tr>
      <w:tr>
        <w:trPr>
          <w:trHeight w:val="20"/>
        </w:trPr>
        <w:tc>
          <w:tcPr>
            <w:tcW w:w="80" w:type="dxa"/>
            <w:vAlign w:val="bottom"/>
            <w:tcBorders>
              <w:right w:val="single" w:sz="8" w:color="E6E6FA"/>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80" w:type="dxa"/>
            <w:vAlign w:val="bottom"/>
            <w:shd w:val="clear" w:color="auto" w:fill="E6E6FA"/>
          </w:tcPr>
          <w:p>
            <w:pPr>
              <w:spacing w:after="0" w:line="20" w:lineRule="exact"/>
              <w:rPr>
                <w:sz w:val="1"/>
                <w:szCs w:val="1"/>
                <w:color w:val="auto"/>
              </w:rPr>
            </w:pPr>
          </w:p>
        </w:tc>
        <w:tc>
          <w:tcPr>
            <w:tcW w:w="1560" w:type="dxa"/>
            <w:vAlign w:val="bottom"/>
            <w:shd w:val="clear" w:color="auto" w:fill="E6E6FA"/>
          </w:tcPr>
          <w:p>
            <w:pPr>
              <w:spacing w:after="0" w:line="20" w:lineRule="exact"/>
              <w:rPr>
                <w:sz w:val="1"/>
                <w:szCs w:val="1"/>
                <w:color w:val="auto"/>
              </w:rPr>
            </w:pPr>
          </w:p>
        </w:tc>
        <w:tc>
          <w:tcPr>
            <w:tcW w:w="820" w:type="dxa"/>
            <w:vAlign w:val="bottom"/>
            <w:shd w:val="clear" w:color="auto" w:fill="E6E6FA"/>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E6E6FA"/>
            </w:tcBorders>
          </w:tcPr>
          <w:p>
            <w:pPr>
              <w:spacing w:after="0" w:line="20" w:lineRule="exact"/>
              <w:rPr>
                <w:sz w:val="1"/>
                <w:szCs w:val="1"/>
                <w:color w:val="auto"/>
              </w:rPr>
            </w:pPr>
          </w:p>
        </w:tc>
      </w:tr>
      <w:tr>
        <w:trPr>
          <w:trHeight w:val="196"/>
        </w:trPr>
        <w:tc>
          <w:tcPr>
            <w:tcW w:w="80" w:type="dxa"/>
            <w:vAlign w:val="bottom"/>
            <w:tcBorders>
              <w:right w:val="single" w:sz="8" w:color="E6E6FA"/>
            </w:tcBorders>
          </w:tcPr>
          <w:p>
            <w:pPr>
              <w:spacing w:after="0"/>
              <w:rPr>
                <w:sz w:val="17"/>
                <w:szCs w:val="17"/>
                <w:color w:val="auto"/>
              </w:rPr>
            </w:pPr>
          </w:p>
        </w:tc>
        <w:tc>
          <w:tcPr>
            <w:tcW w:w="3020" w:type="dxa"/>
            <w:vAlign w:val="bottom"/>
            <w:gridSpan w:val="2"/>
            <w:shd w:val="clear" w:color="auto" w:fill="E6E6FA"/>
          </w:tcPr>
          <w:p>
            <w:pPr>
              <w:spacing w:after="0" w:line="196" w:lineRule="exact"/>
              <w:rPr>
                <w:sz w:val="20"/>
                <w:szCs w:val="20"/>
                <w:color w:val="auto"/>
              </w:rPr>
            </w:pPr>
            <w:r>
              <w:rPr>
                <w:rFonts w:ascii="Arial" w:cs="Arial" w:eastAsia="Arial" w:hAnsi="Arial"/>
                <w:sz w:val="18"/>
                <w:szCs w:val="18"/>
                <w:color w:val="0000FF"/>
              </w:rPr>
              <w:t>Goldman Sachs Bank USA</w:t>
            </w:r>
          </w:p>
        </w:tc>
        <w:tc>
          <w:tcPr>
            <w:tcW w:w="4880" w:type="dxa"/>
            <w:vAlign w:val="bottom"/>
            <w:shd w:val="clear" w:color="auto" w:fill="E6E6FA"/>
          </w:tcPr>
          <w:p>
            <w:pPr>
              <w:spacing w:after="0"/>
              <w:rPr>
                <w:sz w:val="17"/>
                <w:szCs w:val="17"/>
                <w:color w:val="auto"/>
              </w:rPr>
            </w:pPr>
          </w:p>
        </w:tc>
        <w:tc>
          <w:tcPr>
            <w:tcW w:w="3360" w:type="dxa"/>
            <w:vAlign w:val="bottom"/>
            <w:gridSpan w:val="4"/>
            <w:shd w:val="clear" w:color="auto" w:fill="E6E6FA"/>
          </w:tcPr>
          <w:p>
            <w:pPr>
              <w:jc w:val="right"/>
              <w:spacing w:after="0" w:line="196" w:lineRule="exact"/>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275,000,000</w:t>
            </w:r>
          </w:p>
        </w:tc>
        <w:tc>
          <w:tcPr>
            <w:tcW w:w="80" w:type="dxa"/>
            <w:vAlign w:val="bottom"/>
            <w:tcBorders>
              <w:left w:val="single" w:sz="8" w:color="E6E6FA"/>
            </w:tcBorders>
          </w:tcPr>
          <w:p>
            <w:pPr>
              <w:spacing w:after="0"/>
              <w:rPr>
                <w:sz w:val="17"/>
                <w:szCs w:val="17"/>
                <w:color w:val="auto"/>
              </w:rPr>
            </w:pPr>
          </w:p>
        </w:tc>
      </w:tr>
      <w:tr>
        <w:trPr>
          <w:trHeight w:val="21"/>
        </w:trPr>
        <w:tc>
          <w:tcPr>
            <w:tcW w:w="80" w:type="dxa"/>
            <w:vAlign w:val="bottom"/>
            <w:tcBorders>
              <w:right w:val="single" w:sz="8" w:color="E6E6FA"/>
            </w:tcBorders>
          </w:tcPr>
          <w:p>
            <w:pPr>
              <w:spacing w:after="0" w:line="20" w:lineRule="exact"/>
              <w:rPr>
                <w:sz w:val="1"/>
                <w:szCs w:val="1"/>
                <w:color w:val="auto"/>
              </w:rPr>
            </w:pPr>
          </w:p>
        </w:tc>
        <w:tc>
          <w:tcPr>
            <w:tcW w:w="1960" w:type="dxa"/>
            <w:vAlign w:val="bottom"/>
            <w:tcBorders>
              <w:top w:val="single" w:sz="8" w:color="0000FF"/>
            </w:tcBorders>
            <w:shd w:val="clear" w:color="auto" w:fill="E6E6FA"/>
          </w:tcPr>
          <w:p>
            <w:pPr>
              <w:spacing w:after="0" w:line="20" w:lineRule="exact"/>
              <w:rPr>
                <w:sz w:val="1"/>
                <w:szCs w:val="1"/>
                <w:color w:val="auto"/>
              </w:rPr>
            </w:pPr>
          </w:p>
        </w:tc>
        <w:tc>
          <w:tcPr>
            <w:tcW w:w="1060" w:type="dxa"/>
            <w:vAlign w:val="bottom"/>
            <w:tcBorders>
              <w:top w:val="single" w:sz="8" w:color="E6E6FA"/>
            </w:tcBorders>
            <w:shd w:val="clear" w:color="auto" w:fill="E6E6FA"/>
          </w:tcPr>
          <w:p>
            <w:pPr>
              <w:spacing w:after="0" w:line="20" w:lineRule="exact"/>
              <w:rPr>
                <w:sz w:val="1"/>
                <w:szCs w:val="1"/>
                <w:color w:val="auto"/>
              </w:rPr>
            </w:pPr>
          </w:p>
        </w:tc>
        <w:tc>
          <w:tcPr>
            <w:tcW w:w="4880" w:type="dxa"/>
            <w:vAlign w:val="bottom"/>
            <w:tcBorders>
              <w:top w:val="single" w:sz="8" w:color="E6E6FA"/>
            </w:tcBorders>
            <w:shd w:val="clear" w:color="auto" w:fill="E6E6FA"/>
          </w:tcPr>
          <w:p>
            <w:pPr>
              <w:spacing w:after="0" w:line="20" w:lineRule="exact"/>
              <w:rPr>
                <w:sz w:val="1"/>
                <w:szCs w:val="1"/>
                <w:color w:val="auto"/>
              </w:rPr>
            </w:pPr>
          </w:p>
        </w:tc>
        <w:tc>
          <w:tcPr>
            <w:tcW w:w="1560" w:type="dxa"/>
            <w:vAlign w:val="bottom"/>
            <w:tcBorders>
              <w:top w:val="single" w:sz="8" w:color="E6E6FA"/>
            </w:tcBorders>
            <w:shd w:val="clear" w:color="auto" w:fill="E6E6FA"/>
          </w:tcPr>
          <w:p>
            <w:pPr>
              <w:spacing w:after="0" w:line="20" w:lineRule="exact"/>
              <w:rPr>
                <w:sz w:val="1"/>
                <w:szCs w:val="1"/>
                <w:color w:val="auto"/>
              </w:rPr>
            </w:pPr>
          </w:p>
        </w:tc>
        <w:tc>
          <w:tcPr>
            <w:tcW w:w="820" w:type="dxa"/>
            <w:vAlign w:val="bottom"/>
            <w:tcBorders>
              <w:top w:val="single" w:sz="8" w:color="E6E6FA"/>
            </w:tcBorders>
            <w:shd w:val="clear" w:color="auto" w:fill="E6E6FA"/>
          </w:tcPr>
          <w:p>
            <w:pPr>
              <w:spacing w:after="0" w:line="20" w:lineRule="exact"/>
              <w:rPr>
                <w:sz w:val="1"/>
                <w:szCs w:val="1"/>
                <w:color w:val="auto"/>
              </w:rPr>
            </w:pPr>
          </w:p>
        </w:tc>
        <w:tc>
          <w:tcPr>
            <w:tcW w:w="80" w:type="dxa"/>
            <w:vAlign w:val="bottom"/>
            <w:tcBorders>
              <w:top w:val="single" w:sz="8" w:color="0000FF"/>
            </w:tcBorders>
            <w:shd w:val="clear" w:color="auto" w:fill="E6E6FA"/>
          </w:tcPr>
          <w:p>
            <w:pPr>
              <w:spacing w:after="0" w:line="20" w:lineRule="exact"/>
              <w:rPr>
                <w:sz w:val="1"/>
                <w:szCs w:val="1"/>
                <w:color w:val="auto"/>
              </w:rPr>
            </w:pPr>
          </w:p>
        </w:tc>
        <w:tc>
          <w:tcPr>
            <w:tcW w:w="900" w:type="dxa"/>
            <w:vAlign w:val="bottom"/>
            <w:tcBorders>
              <w:top w:val="single" w:sz="8" w:color="0000FF"/>
            </w:tcBorders>
            <w:shd w:val="clear" w:color="auto" w:fill="E6E6FA"/>
          </w:tcPr>
          <w:p>
            <w:pPr>
              <w:spacing w:after="0" w:line="20" w:lineRule="exact"/>
              <w:rPr>
                <w:sz w:val="1"/>
                <w:szCs w:val="1"/>
                <w:color w:val="auto"/>
              </w:rPr>
            </w:pPr>
          </w:p>
        </w:tc>
        <w:tc>
          <w:tcPr>
            <w:tcW w:w="80" w:type="dxa"/>
            <w:vAlign w:val="bottom"/>
            <w:tcBorders>
              <w:left w:val="single" w:sz="8" w:color="E6E6FA"/>
            </w:tcBorders>
          </w:tcPr>
          <w:p>
            <w:pPr>
              <w:spacing w:after="0" w:line="20" w:lineRule="exact"/>
              <w:rPr>
                <w:sz w:val="1"/>
                <w:szCs w:val="1"/>
                <w:color w:val="auto"/>
              </w:rPr>
            </w:pPr>
          </w:p>
        </w:tc>
      </w:tr>
      <w:tr>
        <w:trPr>
          <w:trHeight w:val="202"/>
        </w:trPr>
        <w:tc>
          <w:tcPr>
            <w:tcW w:w="8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DNB Capital LLC</w:t>
            </w:r>
          </w:p>
        </w:tc>
        <w:tc>
          <w:tcPr>
            <w:tcW w:w="5940" w:type="dxa"/>
            <w:vAlign w:val="bottom"/>
            <w:gridSpan w:val="2"/>
          </w:tcPr>
          <w:p>
            <w:pPr>
              <w:spacing w:after="0"/>
              <w:rPr>
                <w:sz w:val="17"/>
                <w:szCs w:val="17"/>
                <w:color w:val="auto"/>
              </w:rPr>
            </w:pPr>
          </w:p>
        </w:tc>
        <w:tc>
          <w:tcPr>
            <w:tcW w:w="336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$225,000,000</w:t>
            </w:r>
          </w:p>
        </w:tc>
        <w:tc>
          <w:tcPr>
            <w:tcW w:w="8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PNC Bank, National Association</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$225,000,000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U.S. Bank National Association</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$225,000,000</w:t>
            </w:r>
          </w:p>
        </w:tc>
        <w:tc>
          <w:tcPr>
            <w:tcW w:w="80" w:type="dxa"/>
            <w:vAlign w:val="bottom"/>
          </w:tcPr>
          <w:p>
            <w:pPr>
              <w:spacing w:after="0"/>
              <w:rPr>
                <w:sz w:val="18"/>
                <w:szCs w:val="18"/>
                <w:color w:val="auto"/>
              </w:rPr>
            </w:pPr>
          </w:p>
        </w:tc>
      </w:tr>
      <w:tr>
        <w:trPr>
          <w:trHeight w:val="190"/>
        </w:trPr>
        <w:tc>
          <w:tcPr>
            <w:tcW w:w="80" w:type="dxa"/>
            <w:vAlign w:val="bottom"/>
          </w:tcPr>
          <w:p>
            <w:pPr>
              <w:spacing w:after="0"/>
              <w:rPr>
                <w:sz w:val="16"/>
                <w:szCs w:val="16"/>
                <w:color w:val="auto"/>
              </w:rPr>
            </w:pPr>
          </w:p>
        </w:tc>
        <w:tc>
          <w:tcPr>
            <w:tcW w:w="7900" w:type="dxa"/>
            <w:vAlign w:val="bottom"/>
            <w:gridSpan w:val="3"/>
          </w:tcPr>
          <w:p>
            <w:pPr>
              <w:spacing w:after="0" w:line="190" w:lineRule="exact"/>
              <w:rPr>
                <w:sz w:val="20"/>
                <w:szCs w:val="20"/>
                <w:color w:val="auto"/>
              </w:rPr>
            </w:pPr>
            <w:r>
              <w:rPr>
                <w:rFonts w:ascii="Arial" w:cs="Arial" w:eastAsia="Arial" w:hAnsi="Arial"/>
                <w:sz w:val="18"/>
                <w:szCs w:val="18"/>
                <w:color w:val="auto"/>
              </w:rPr>
              <w:t>Industrial and Commercial Bank of China Ltd., New York Branch</w:t>
            </w:r>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w w:val="87"/>
              </w:rPr>
              <w:t>125,000,000</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0000FF"/>
                <w:w w:val="87"/>
              </w:rPr>
              <w:t>200,000,000</w:t>
            </w:r>
          </w:p>
        </w:tc>
        <w:tc>
          <w:tcPr>
            <w:tcW w:w="8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90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8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Societe Generale</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$125,000,000</w:t>
            </w:r>
          </w:p>
        </w:tc>
        <w:tc>
          <w:tcPr>
            <w:tcW w:w="8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The Bank of New York Mellon</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$125,000,000</w:t>
            </w: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Bank of China, New York Branch</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$85,000,000</w:t>
            </w:r>
          </w:p>
        </w:tc>
        <w:tc>
          <w:tcPr>
            <w:tcW w:w="8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Agricultural Bank of China Ltd., New York Branch</w:t>
            </w:r>
          </w:p>
        </w:tc>
        <w:tc>
          <w:tcPr>
            <w:tcW w:w="3360" w:type="dxa"/>
            <w:vAlign w:val="bottom"/>
            <w:gridSpan w:val="4"/>
          </w:tcPr>
          <w:p>
            <w:pPr>
              <w:jc w:val="right"/>
              <w:spacing w:after="0"/>
              <w:rPr>
                <w:sz w:val="20"/>
                <w:szCs w:val="20"/>
                <w:color w:val="auto"/>
              </w:rPr>
            </w:pPr>
            <w:r>
              <w:rPr>
                <w:rFonts w:ascii="Arial" w:cs="Arial" w:eastAsia="Arial" w:hAnsi="Arial"/>
                <w:sz w:val="18"/>
                <w:szCs w:val="18"/>
                <w:color w:val="auto"/>
              </w:rPr>
              <w:t>$60,000,000</w:t>
            </w:r>
          </w:p>
        </w:tc>
        <w:tc>
          <w:tcPr>
            <w:tcW w:w="80" w:type="dxa"/>
            <w:vAlign w:val="bottom"/>
          </w:tcPr>
          <w:p>
            <w:pPr>
              <w:spacing w:after="0"/>
              <w:rPr>
                <w:sz w:val="20"/>
                <w:szCs w:val="20"/>
                <w:color w:val="auto"/>
              </w:rPr>
            </w:pPr>
          </w:p>
        </w:tc>
      </w:tr>
    </w:tbl>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Total</w:t>
      </w:r>
    </w:p>
    <w:p>
      <w:pPr>
        <w:spacing w:after="0" w:line="27"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FF0000"/>
          <w:strike w:val="1"/>
        </w:rPr>
        <w:t>7,000,000,000</w:t>
      </w:r>
      <w:r>
        <w:rPr>
          <w:rFonts w:ascii="Arial" w:cs="Arial" w:eastAsia="Arial" w:hAnsi="Arial"/>
          <w:sz w:val="16"/>
          <w:szCs w:val="16"/>
          <w:b w:val="1"/>
          <w:bCs w:val="1"/>
          <w:u w:val="single" w:color="auto"/>
          <w:color w:val="0000FF"/>
        </w:rPr>
        <w:t>7,611,000,000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lowerLetter"/>
      <w:start w:val="4"/>
    </w:lvl>
  </w:abstractNum>
  <w:abstractNum w:abstractNumId="2">
    <w:nsid w:val="47398C89"/>
    <w:multiLevelType w:val="hybridMultilevel"/>
    <w:lvl w:ilvl="0">
      <w:lvlJc w:val="left"/>
      <w:lvlText w:val="%1."/>
      <w:numFmt w:val="decimal"/>
      <w:start w:val="1"/>
    </w:lvl>
    <w:lvl w:ilvl="1">
      <w:lvlJc w:val="left"/>
      <w:lvlText w:val="(%2)"/>
      <w:numFmt w:val="lowerLetter"/>
      <w:start w:val="1"/>
    </w:lvl>
  </w:abstractNum>
  <w:abstractNum w:abstractNumId="3">
    <w:nsid w:val="354FE9F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
    <w:nsid w:val="15B5AF5C"/>
    <w:multiLevelType w:val="hybridMultilevel"/>
    <w:lvl w:ilvl="0">
      <w:lvlJc w:val="left"/>
      <w:lvlText w:val="%1"/>
      <w:numFmt w:val="lowerLetter"/>
      <w:start w:val="1"/>
    </w:lvl>
    <w:lvl w:ilvl="1">
      <w:lvlJc w:val="left"/>
      <w:lvlText w:val="(%2)"/>
      <w:numFmt w:val="lowerRoman"/>
      <w:start w:val="3"/>
    </w:lvl>
  </w:abstractNum>
  <w:abstractNum w:abstractNumId="5">
    <w:nsid w:val="741226BB"/>
    <w:multiLevelType w:val="hybridMultilevel"/>
    <w:lvl w:ilvl="0">
      <w:lvlJc w:val="left"/>
      <w:lvlText w:val="(%1)"/>
      <w:numFmt w:val="lowerLetter"/>
      <w:start w:val="4"/>
    </w:lvl>
    <w:lvl w:ilvl="1">
      <w:lvlJc w:val="left"/>
      <w:lvlText w:val="%2"/>
      <w:numFmt w:val="lowerRoman"/>
      <w:start w:val="1"/>
    </w:lvl>
  </w:abstractNum>
  <w:abstractNum w:abstractNumId="6">
    <w:nsid w:val="D34B6A8"/>
    <w:multiLevelType w:val="hybridMultilevel"/>
    <w:lvl w:ilvl="0">
      <w:lvlJc w:val="left"/>
      <w:lvlText w:val="A"/>
      <w:numFmt w:val="bullet"/>
      <w:start w:val="1"/>
    </w:lvl>
  </w:abstractNum>
  <w:abstractNum w:abstractNumId="7">
    <w:nsid w:val="10233C99"/>
    <w:multiLevelType w:val="hybridMultilevel"/>
    <w:lvl w:ilvl="0">
      <w:lvlJc w:val="left"/>
      <w:lvlText w:val="B"/>
      <w:numFmt w:val="bullet"/>
      <w:start w:val="1"/>
    </w:lvl>
  </w:abstractNum>
  <w:abstractNum w:abstractNumId="8">
    <w:nsid w:val="3F6AB60F"/>
    <w:multiLevelType w:val="hybridMultilevel"/>
    <w:lvl w:ilvl="0">
      <w:lvlJc w:val="left"/>
      <w:lvlText w:val="A"/>
      <w:numFmt w:val="bullet"/>
      <w:start w:val="1"/>
    </w:lvl>
  </w:abstractNum>
  <w:abstractNum w:abstractNumId="9">
    <w:nsid w:val="61574095"/>
    <w:multiLevelType w:val="hybridMultilevel"/>
    <w:lvl w:ilvl="0">
      <w:lvlJc w:val="left"/>
      <w:lvlText w:val="(%1)"/>
      <w:numFmt w:val="lowerLetter"/>
      <w:start w:val="1"/>
    </w:lvl>
  </w:abstractNum>
  <w:abstractNum w:abstractNumId="10">
    <w:nsid w:val="7E0C57B1"/>
    <w:multiLevelType w:val="hybridMultilevel"/>
    <w:lvl w:ilvl="0">
      <w:lvlJc w:val="left"/>
      <w:lvlText w:val="(%1)"/>
      <w:numFmt w:val="lowerLetter"/>
      <w:start w:val="1"/>
    </w:lvl>
  </w:abstractNum>
  <w:abstractNum w:abstractNumId="11">
    <w:nsid w:val="77AE35EB"/>
    <w:multiLevelType w:val="hybridMultilevel"/>
    <w:lvl w:ilvl="0">
      <w:lvlJc w:val="left"/>
      <w:lvlText w:val="(%1)"/>
      <w:numFmt w:val="lowerLetter"/>
      <w:start w:val="25"/>
    </w:lvl>
    <w:lvl w:ilvl="1">
      <w:lvlJc w:val="left"/>
      <w:lvlText w:val="(%2)"/>
      <w:numFmt w:val="lowerLetter"/>
      <w:start w:val="1"/>
    </w:lvl>
  </w:abstractNum>
  <w:abstractNum w:abstractNumId="12">
    <w:nsid w:val="579BE4F1"/>
    <w:multiLevelType w:val="hybridMultilevel"/>
    <w:lvl w:ilvl="0">
      <w:lvlJc w:val="left"/>
      <w:lvlText w:val="(%1)"/>
      <w:numFmt w:val="lowerLetter"/>
      <w:start w:val="3"/>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lowerRoman"/>
      <w:start w:val="1"/>
    </w:lvl>
  </w:abstractNum>
  <w:abstractNum w:abstractNumId="15">
    <w:nsid w:val="2F305DEF"/>
    <w:multiLevelType w:val="hybridMultilevel"/>
    <w:lvl w:ilvl="0">
      <w:lvlJc w:val="left"/>
      <w:lvlText w:val="(%1)"/>
      <w:numFmt w:val="lowerLetter"/>
      <w:start w:val="1"/>
    </w:lvl>
  </w:abstractNum>
  <w:abstractNum w:abstractNumId="16">
    <w:nsid w:val="25A70BF7"/>
    <w:multiLevelType w:val="hybridMultilevel"/>
    <w:lvl w:ilvl="0">
      <w:lvlJc w:val="left"/>
      <w:lvlText w:val="(%1)"/>
      <w:numFmt w:val="lowerLetter"/>
      <w:start w:val="8"/>
    </w:lvl>
  </w:abstractNum>
  <w:abstractNum w:abstractNumId="17">
    <w:nsid w:val="1DBABF00"/>
    <w:multiLevelType w:val="hybridMultilevel"/>
    <w:lvl w:ilvl="0">
      <w:lvlJc w:val="left"/>
      <w:lvlText w:val="(%1)"/>
      <w:numFmt w:val="lowerRoman"/>
      <w:start w:val="1"/>
    </w:lvl>
  </w:abstractNum>
  <w:abstractNum w:abstractNumId="18">
    <w:nsid w:val="4AD084E9"/>
    <w:multiLevelType w:val="hybridMultilevel"/>
    <w:lvl w:ilvl="0">
      <w:lvlJc w:val="left"/>
      <w:lvlText w:val="(%1)"/>
      <w:numFmt w:val="lowerRoman"/>
      <w:start w:val="1"/>
    </w:lvl>
  </w:abstractNum>
  <w:abstractNum w:abstractNumId="19">
    <w:nsid w:val="1F48EAA1"/>
    <w:multiLevelType w:val="hybridMultilevel"/>
    <w:lvl w:ilvl="0">
      <w:lvlJc w:val="left"/>
      <w:lvlText w:val="(%1)"/>
      <w:numFmt w:val="lowerLetter"/>
      <w:start w:val="1"/>
    </w:lvl>
  </w:abstractNum>
  <w:abstractNum w:abstractNumId="20">
    <w:nsid w:val="1381823A"/>
    <w:multiLevelType w:val="hybridMultilevel"/>
    <w:lvl w:ilvl="0">
      <w:lvlJc w:val="left"/>
      <w:lvlText w:val="(%1)"/>
      <w:numFmt w:val="lowerLetter"/>
      <w:start w:val="3"/>
    </w:lvl>
  </w:abstractNum>
  <w:abstractNum w:abstractNumId="21">
    <w:nsid w:val="5DB70AE5"/>
    <w:multiLevelType w:val="hybridMultilevel"/>
    <w:lvl w:ilvl="0">
      <w:lvlJc w:val="left"/>
      <w:lvlText w:val="(%1)"/>
      <w:numFmt w:val="lowerLetter"/>
      <w:start w:val="1"/>
    </w:lvl>
  </w:abstractNum>
  <w:abstractNum w:abstractNumId="22">
    <w:nsid w:val="100F8FCA"/>
    <w:multiLevelType w:val="hybridMultilevel"/>
    <w:lvl w:ilvl="0">
      <w:lvlJc w:val="left"/>
      <w:lvlText w:val="(%1)"/>
      <w:numFmt w:val="lowerLetter"/>
      <w:start w:val="1"/>
    </w:lvl>
  </w:abstractNum>
  <w:abstractNum w:abstractNumId="23">
    <w:nsid w:val="6590700B"/>
    <w:multiLevelType w:val="hybridMultilevel"/>
    <w:lvl w:ilvl="0">
      <w:lvlJc w:val="left"/>
      <w:lvlText w:val="(%1)"/>
      <w:numFmt w:val="lowerLetter"/>
      <w:start w:val="2"/>
    </w:lvl>
  </w:abstractNum>
  <w:abstractNum w:abstractNumId="24">
    <w:nsid w:val="15014ACB"/>
    <w:multiLevelType w:val="hybridMultilevel"/>
    <w:lvl w:ilvl="0">
      <w:lvlJc w:val="left"/>
      <w:lvlText w:val="(%1)"/>
      <w:numFmt w:val="lowerLetter"/>
      <w:start w:val="5"/>
    </w:lvl>
  </w:abstractNum>
  <w:abstractNum w:abstractNumId="25">
    <w:nsid w:val="5F5E7FD0"/>
    <w:multiLevelType w:val="hybridMultilevel"/>
    <w:lvl w:ilvl="0">
      <w:lvlJc w:val="left"/>
      <w:lvlText w:val="(%1)"/>
      <w:numFmt w:val="lowerRoman"/>
      <w:start w:val="2"/>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3"/>
    </w:lvl>
  </w:abstractNum>
  <w:abstractNum w:abstractNumId="29">
    <w:nsid w:val="42C296BD"/>
    <w:multiLevelType w:val="hybridMultilevel"/>
    <w:lvl w:ilvl="0">
      <w:lvlJc w:val="left"/>
      <w:lvlText w:val="(%1)"/>
      <w:numFmt w:val="lowerLetter"/>
      <w:start w:val="6"/>
    </w:lvl>
    <w:lvl w:ilvl="1">
      <w:lvlJc w:val="left"/>
      <w:lvlText w:val="(%2)"/>
      <w:numFmt w:val="lowerRoman"/>
      <w:start w:val="1"/>
    </w:lvl>
  </w:abstractNum>
  <w:abstractNum w:abstractNumId="30">
    <w:nsid w:val="168E121F"/>
    <w:multiLevelType w:val="hybridMultilevel"/>
    <w:lvl w:ilvl="0">
      <w:lvlJc w:val="left"/>
      <w:lvlText w:val="(%1)"/>
      <w:numFmt w:val="lowerRoman"/>
      <w:start w:val="5"/>
    </w:lvl>
  </w:abstractNum>
  <w:abstractNum w:abstractNumId="31">
    <w:nsid w:val="1EBA5D23"/>
    <w:multiLevelType w:val="hybridMultilevel"/>
    <w:lvl w:ilvl="0">
      <w:lvlJc w:val="left"/>
      <w:lvlText w:val="(%1)"/>
      <w:numFmt w:val="lowerLetter"/>
      <w:start w:val="8"/>
    </w:lvl>
  </w:abstractNum>
  <w:abstractNum w:abstractNumId="32">
    <w:nsid w:val="661E3F1E"/>
    <w:multiLevelType w:val="hybridMultilevel"/>
    <w:lvl w:ilvl="0">
      <w:lvlJc w:val="left"/>
      <w:lvlText w:val="(%1)"/>
      <w:numFmt w:val="lowerLetter"/>
      <w:start w:val="9"/>
    </w:lvl>
  </w:abstractNum>
  <w:abstractNum w:abstractNumId="33">
    <w:nsid w:val="5DC79EA8"/>
    <w:multiLevelType w:val="hybridMultilevel"/>
    <w:lvl w:ilvl="0">
      <w:lvlJc w:val="left"/>
      <w:lvlText w:val="(%1)"/>
      <w:numFmt w:val="lowerRoman"/>
      <w:start w:val="1"/>
    </w:lvl>
  </w:abstractNum>
  <w:abstractNum w:abstractNumId="34">
    <w:nsid w:val="540A471C"/>
    <w:multiLevelType w:val="hybridMultilevel"/>
    <w:lvl w:ilvl="0">
      <w:lvlJc w:val="left"/>
      <w:lvlText w:val="%1"/>
      <w:numFmt w:val="lowerLetter"/>
      <w:start w:val="1"/>
    </w:lvl>
    <w:lvl w:ilvl="1">
      <w:lvlJc w:val="left"/>
      <w:lvlText w:val="(%2)"/>
      <w:numFmt w:val="lowerLetter"/>
      <w:start w:val="2"/>
    </w:lvl>
  </w:abstractNum>
  <w:abstractNum w:abstractNumId="35">
    <w:nsid w:val="7BD3EE7B"/>
    <w:multiLevelType w:val="hybridMultilevel"/>
    <w:lvl w:ilvl="0">
      <w:lvlJc w:val="left"/>
      <w:lvlText w:val="(%1)"/>
      <w:numFmt w:val="lowerLetter"/>
      <w:start w:val="9"/>
    </w:lvl>
    <w:lvl w:ilvl="1">
      <w:lvlJc w:val="left"/>
      <w:lvlText w:val="(%2)"/>
      <w:numFmt w:val="lowerLetter"/>
      <w:start w:val="3"/>
    </w:lvl>
  </w:abstractNum>
  <w:abstractNum w:abstractNumId="36">
    <w:nsid w:val="51D9C564"/>
    <w:multiLevelType w:val="hybridMultilevel"/>
    <w:lvl w:ilvl="0">
      <w:lvlJc w:val="left"/>
      <w:lvlText w:val="(%1)"/>
      <w:numFmt w:val="lowerLetter"/>
      <w:start w:val="5"/>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2"/>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lowerRoman"/>
      <w:start w:val="1"/>
    </w:lvl>
  </w:abstractNum>
  <w:abstractNum w:abstractNumId="43">
    <w:nsid w:val="1A32234B"/>
    <w:multiLevelType w:val="hybridMultilevel"/>
    <w:lvl w:ilvl="0">
      <w:lvlJc w:val="left"/>
      <w:lvlText w:val="(%1)"/>
      <w:numFmt w:val="lowerLetter"/>
      <w:start w:val="2"/>
    </w:lvl>
  </w:abstractNum>
  <w:abstractNum w:abstractNumId="44">
    <w:nsid w:val="3B0FD379"/>
    <w:multiLevelType w:val="hybridMultilevel"/>
    <w:lvl w:ilvl="0">
      <w:lvlJc w:val="left"/>
      <w:lvlText w:val="(%1)"/>
      <w:numFmt w:val="lowerLetter"/>
      <w:start w:val="3"/>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1)"/>
      <w:numFmt w:val="lowerLetter"/>
      <w:start w:val="1"/>
    </w:lvl>
  </w:abstractNum>
  <w:abstractNum w:abstractNumId="47">
    <w:nsid w:val="60B6DF70"/>
    <w:multiLevelType w:val="hybridMultilevel"/>
    <w:lvl w:ilvl="0">
      <w:lvlJc w:val="left"/>
      <w:lvlText w:val="(%1)"/>
      <w:numFmt w:val="lowerLetter"/>
      <w:start w:val="3"/>
    </w:lvl>
  </w:abstractNum>
  <w:abstractNum w:abstractNumId="48">
    <w:nsid w:val="6A5EE64"/>
    <w:multiLevelType w:val="hybridMultilevel"/>
    <w:lvl w:ilvl="0">
      <w:lvlJc w:val="left"/>
      <w:lvlText w:val="%1"/>
      <w:numFmt w:val="lowerLetter"/>
      <w:start w:val="1"/>
    </w:lvl>
    <w:lvl w:ilvl="1">
      <w:lvlJc w:val="left"/>
      <w:lvlText w:val="(%2)"/>
      <w:numFmt w:val="lowerRoman"/>
      <w:start w:val="1"/>
    </w:lvl>
  </w:abstractNum>
  <w:abstractNum w:abstractNumId="49">
    <w:nsid w:val="14330624"/>
    <w:multiLevelType w:val="hybridMultilevel"/>
    <w:lvl w:ilvl="0">
      <w:lvlJc w:val="left"/>
      <w:lvlText w:val="(%1)"/>
      <w:numFmt w:val="lowerLetter"/>
      <w:start w:val="5"/>
    </w:lvl>
    <w:lvl w:ilvl="1">
      <w:lvlJc w:val="left"/>
      <w:lvlText w:val="%2"/>
      <w:numFmt w:val="lowerRoman"/>
      <w:start w:val="1"/>
    </w:lvl>
  </w:abstractNum>
  <w:abstractNum w:abstractNumId="50">
    <w:nsid w:val="7FFFCA11"/>
    <w:multiLevelType w:val="hybridMultilevel"/>
    <w:lvl w:ilvl="0">
      <w:lvlJc w:val="left"/>
      <w:lvlText w:val="(%1)"/>
      <w:numFmt w:val="lowerLetter"/>
      <w:start w:val="1"/>
    </w:lvl>
    <w:lvl w:ilvl="1">
      <w:lvlJc w:val="left"/>
      <w:lvlText w:val="(%2)"/>
      <w:numFmt w:val="lowerRoman"/>
      <w:start w:val="1"/>
    </w:lvl>
  </w:abstractNum>
  <w:abstractNum w:abstractNumId="51">
    <w:nsid w:val="1A27709E"/>
    <w:multiLevelType w:val="hybridMultilevel"/>
    <w:lvl w:ilvl="0">
      <w:lvlJc w:val="left"/>
      <w:lvlText w:val="(%1)"/>
      <w:numFmt w:val="lowerRoman"/>
      <w:start w:val="5"/>
    </w:lvl>
  </w:abstractNum>
  <w:abstractNum w:abstractNumId="52">
    <w:nsid w:val="71EA1109"/>
    <w:multiLevelType w:val="hybridMultilevel"/>
    <w:lvl w:ilvl="0">
      <w:lvlJc w:val="left"/>
      <w:lvlText w:val="(%1)"/>
      <w:numFmt w:val="lowerLetter"/>
      <w:start w:val="5"/>
    </w:lvl>
  </w:abstractNum>
  <w:abstractNum w:abstractNumId="53">
    <w:nsid w:val="100F59DC"/>
    <w:multiLevelType w:val="hybridMultilevel"/>
    <w:lvl w:ilvl="0">
      <w:lvlJc w:val="left"/>
      <w:lvlText w:val="%1"/>
      <w:numFmt w:val="upperLetter"/>
      <w:start w:val="1"/>
    </w:lvl>
    <w:lvl w:ilvl="1">
      <w:lvlJc w:val="left"/>
      <w:lvlText w:val="(%2)"/>
      <w:numFmt w:val="lowerLetter"/>
      <w:start w:val="1"/>
    </w:lvl>
  </w:abstractNum>
  <w:abstractNum w:abstractNumId="54">
    <w:nsid w:val="7FB7E0AA"/>
    <w:multiLevelType w:val="hybridMultilevel"/>
    <w:lvl w:ilvl="0">
      <w:lvlJc w:val="left"/>
      <w:lvlText w:val="(%1)"/>
      <w:numFmt w:val="upperLetter"/>
      <w:start w:val="2"/>
    </w:lvl>
    <w:lvl w:ilvl="1">
      <w:lvlJc w:val="left"/>
      <w:lvlText w:val="%2"/>
      <w:numFmt w:val="lowerLetter"/>
      <w:start w:val="1"/>
    </w:lvl>
  </w:abstractNum>
  <w:abstractNum w:abstractNumId="55">
    <w:nsid w:val="6EB5BD4"/>
    <w:multiLevelType w:val="hybridMultilevel"/>
    <w:lvl w:ilvl="0">
      <w:lvlJc w:val="left"/>
      <w:lvlText w:val="(%1)"/>
      <w:numFmt w:val="upperLetter"/>
      <w:start w:val="2"/>
    </w:lvl>
    <w:lvl w:ilvl="1">
      <w:lvlJc w:val="left"/>
      <w:lvlText w:val="(%2)"/>
      <w:numFmt w:val="lowerLetter"/>
      <w:start w:val="2"/>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4"/>
    </w:lvl>
  </w:abstractNum>
  <w:abstractNum w:abstractNumId="58">
    <w:nsid w:val="885E1B"/>
    <w:multiLevelType w:val="hybridMultilevel"/>
    <w:lvl w:ilvl="0">
      <w:lvlJc w:val="left"/>
      <w:lvlText w:val="(%1)"/>
      <w:numFmt w:val="lowerLetter"/>
      <w:start w:val="1"/>
    </w:lvl>
    <w:lvl w:ilvl="1">
      <w:lvlJc w:val="left"/>
      <w:lvlText w:val="(%2)"/>
      <w:numFmt w:val="lowerRoman"/>
      <w:start w:val="1"/>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61">
    <w:nsid w:val="1716703B"/>
    <w:multiLevelType w:val="hybridMultilevel"/>
    <w:lvl w:ilvl="0">
      <w:lvlJc w:val="left"/>
      <w:lvlText w:val="(%1)"/>
      <w:numFmt w:val="lowerRoman"/>
      <w:start w:val="3"/>
    </w:lvl>
  </w:abstractNum>
  <w:abstractNum w:abstractNumId="62">
    <w:nsid w:val="14E17E33"/>
    <w:multiLevelType w:val="hybridMultilevel"/>
    <w:lvl w:ilvl="0">
      <w:lvlJc w:val="left"/>
      <w:lvlText w:val="(%1)"/>
      <w:numFmt w:val="lowerLetter"/>
      <w:start w:val="2"/>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1"/>
    </w:lvl>
    <w:lvl w:ilvl="1">
      <w:lvlJc w:val="left"/>
      <w:lvlText w:val="(%2)"/>
      <w:numFmt w:val="lowerLetter"/>
      <w:start w:val="9"/>
    </w:lvl>
  </w:abstractNum>
  <w:abstractNum w:abstractNumId="66">
    <w:nsid w:val="2DF6D648"/>
    <w:multiLevelType w:val="hybridMultilevel"/>
    <w:lvl w:ilvl="0">
      <w:lvlJc w:val="left"/>
      <w:lvlText w:val="%1"/>
      <w:numFmt w:val="lowerLetter"/>
      <w:start w:val="1"/>
    </w:lvl>
    <w:lvl w:ilvl="1">
      <w:lvlJc w:val="left"/>
      <w:lvlText w:val="(%2)"/>
      <w:numFmt w:val="lowerRoman"/>
      <w:start w:val="2"/>
    </w:lvl>
  </w:abstractNum>
  <w:abstractNum w:abstractNumId="67">
    <w:nsid w:val="46B7D447"/>
    <w:multiLevelType w:val="hybridMultilevel"/>
    <w:lvl w:ilvl="0">
      <w:lvlJc w:val="left"/>
      <w:lvlText w:val="(%1)"/>
      <w:numFmt w:val="lowerLetter"/>
      <w:start w:val="6"/>
    </w:lvl>
    <w:lvl w:ilvl="1">
      <w:lvlJc w:val="left"/>
      <w:lvlText w:val="(%2)"/>
      <w:numFmt w:val="lowerRoman"/>
      <w:start w:val="4"/>
    </w:lvl>
  </w:abstractNum>
  <w:abstractNum w:abstractNumId="68">
    <w:nsid w:val="4A2AC315"/>
    <w:multiLevelType w:val="hybridMultilevel"/>
    <w:lvl w:ilvl="0">
      <w:lvlJc w:val="left"/>
      <w:lvlText w:val="(%1)"/>
      <w:numFmt w:val="lowerLetter"/>
      <w:start w:val="2"/>
    </w:lvl>
  </w:abstractNum>
  <w:abstractNum w:abstractNumId="69">
    <w:nsid w:val="39EE015C"/>
    <w:multiLevelType w:val="hybridMultilevel"/>
    <w:lvl w:ilvl="0">
      <w:lvlJc w:val="left"/>
      <w:lvlText w:val="(%1)"/>
      <w:numFmt w:val="lowerLetter"/>
      <w:start w:val="5"/>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Letter"/>
      <w:start w:val="3"/>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6"/>
    </w:lvl>
  </w:abstractNum>
  <w:abstractNum w:abstractNumId="79">
    <w:nsid w:val="50801EE1"/>
    <w:multiLevelType w:val="hybridMultilevel"/>
    <w:lvl w:ilvl="0">
      <w:lvlJc w:val="left"/>
      <w:lvlText w:val="(%1)"/>
      <w:numFmt w:val="lowerLetter"/>
      <w:start w:val="1"/>
    </w:lvl>
  </w:abstractNum>
  <w:abstractNum w:abstractNumId="80">
    <w:nsid w:val="488AC1A"/>
    <w:multiLevelType w:val="hybridMultilevel"/>
    <w:lvl w:ilvl="0">
      <w:lvlJc w:val="left"/>
      <w:lvlText w:val="%1"/>
      <w:numFmt w:val="upperLetter"/>
      <w:start w:val="1"/>
    </w:lvl>
    <w:lvl w:ilvl="1">
      <w:lvlJc w:val="left"/>
      <w:lvlText w:val="(%2)"/>
      <w:numFmt w:val="lowerRoman"/>
      <w:start w:val="1"/>
    </w:lvl>
  </w:abstractNum>
  <w:abstractNum w:abstractNumId="81">
    <w:nsid w:val="5FB8011C"/>
    <w:multiLevelType w:val="hybridMultilevel"/>
    <w:lvl w:ilvl="0">
      <w:lvlJc w:val="left"/>
      <w:lvlText w:val="(%1)"/>
      <w:numFmt w:val="upperLetter"/>
      <w:start w:val="2"/>
    </w:lvl>
    <w:lvl w:ilvl="1">
      <w:lvlJc w:val="left"/>
      <w:lvlText w:val="(%2)"/>
      <w:numFmt w:val="lowerRoman"/>
      <w:start w:val="2"/>
    </w:lvl>
  </w:abstractNum>
  <w:abstractNum w:abstractNumId="82">
    <w:nsid w:val="6AA78F7F"/>
    <w:multiLevelType w:val="hybridMultilevel"/>
    <w:lvl w:ilvl="0">
      <w:lvlJc w:val="left"/>
      <w:lvlText w:val="(%1)"/>
      <w:numFmt w:val="lowerLetter"/>
      <w:start w:val="2"/>
    </w:lvl>
  </w:abstractNum>
  <w:abstractNum w:abstractNumId="83">
    <w:nsid w:val="7672BD23"/>
    <w:multiLevelType w:val="hybridMultilevel"/>
    <w:lvl w:ilvl="0">
      <w:lvlJc w:val="left"/>
      <w:lvlText w:val="(%1)"/>
      <w:numFmt w:val="lowerRoman"/>
      <w:start w:val="1"/>
    </w:lvl>
  </w:abstractNum>
  <w:abstractNum w:abstractNumId="84">
    <w:nsid w:val="6FC75AF8"/>
    <w:multiLevelType w:val="hybridMultilevel"/>
    <w:lvl w:ilvl="0">
      <w:lvlJc w:val="left"/>
      <w:lvlText w:val="(%1)"/>
      <w:numFmt w:val="lowerLetter"/>
      <w:start w:val="2"/>
    </w:lvl>
  </w:abstractNum>
  <w:abstractNum w:abstractNumId="85">
    <w:nsid w:val="6A5F7029"/>
    <w:multiLevelType w:val="hybridMultilevel"/>
    <w:lvl w:ilvl="0">
      <w:lvlJc w:val="left"/>
      <w:lvlText w:val="(%1)"/>
      <w:numFmt w:val="lowerLetter"/>
      <w:start w:val="9"/>
    </w:lvl>
  </w:abstractNum>
  <w:abstractNum w:abstractNumId="86">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7">
    <w:nsid w:val="5F3534A4"/>
    <w:multiLevelType w:val="hybridMultilevel"/>
    <w:lvl w:ilvl="0">
      <w:lvlJc w:val="left"/>
      <w:lvlText w:val="%1"/>
      <w:numFmt w:val="lowerLetter"/>
      <w:start w:val="1"/>
    </w:lvl>
    <w:lvl w:ilvl="1">
      <w:lvlJc w:val="left"/>
      <w:lvlText w:val="(%2)"/>
      <w:numFmt w:val="lowerLetter"/>
      <w:start w:val="61"/>
    </w:lvl>
  </w:abstractNum>
  <w:abstractNum w:abstractNumId="88">
    <w:nsid w:val="73A1821B"/>
    <w:multiLevelType w:val="hybridMultilevel"/>
    <w:lvl w:ilvl="0">
      <w:lvlJc w:val="left"/>
      <w:lvlText w:val="(%1)"/>
      <w:numFmt w:val="lowerLetter"/>
      <w:start w:val="3"/>
    </w:lvl>
    <w:lvl w:ilvl="1">
      <w:lvlJc w:val="left"/>
      <w:lvlText w:val="%2"/>
      <w:numFmt w:val="low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lowerLetter"/>
      <w:start w:val="1"/>
    </w:lvl>
    <w:lvl w:ilvl="1">
      <w:lvlJc w:val="left"/>
      <w:lvlText w:val="(%2)"/>
      <w:numFmt w:val="lowerRoman"/>
      <w:start w:val="1"/>
    </w:lvl>
  </w:abstractNum>
  <w:abstractNum w:abstractNumId="93">
    <w:nsid w:val="6A3DD3E8"/>
    <w:multiLevelType w:val="hybridMultilevel"/>
    <w:lvl w:ilvl="0">
      <w:lvlJc w:val="left"/>
      <w:lvlText w:val="%1"/>
      <w:numFmt w:val="lowerLetter"/>
      <w:start w:val="1"/>
    </w:lvl>
    <w:lvl w:ilvl="1">
      <w:lvlJc w:val="left"/>
      <w:lvlText w:val="(%2)"/>
      <w:numFmt w:val="lowerRoman"/>
      <w:start w:val="2"/>
    </w:lvl>
  </w:abstractNum>
  <w:abstractNum w:abstractNumId="94">
    <w:nsid w:val="71C91298"/>
    <w:multiLevelType w:val="hybridMultilevel"/>
    <w:lvl w:ilvl="0">
      <w:lvlJc w:val="left"/>
      <w:lvlText w:val="(%1)"/>
      <w:numFmt w:val="lowerLetter"/>
      <w:start w:val="3"/>
    </w:lvl>
    <w:lvl w:ilvl="1">
      <w:lvlJc w:val="left"/>
      <w:lvlText w:val="%2"/>
      <w:numFmt w:val="lowerRoman"/>
      <w:start w:val="1"/>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2"/>
    </w:lvl>
  </w:abstractNum>
  <w:abstractNum w:abstractNumId="98">
    <w:nsid w:val="5092CA79"/>
    <w:multiLevelType w:val="hybridMultilevel"/>
    <w:lvl w:ilvl="0">
      <w:lvlJc w:val="left"/>
      <w:lvlText w:val="(%1)"/>
      <w:numFmt w:val="lowerLetter"/>
      <w:start w:val="4"/>
    </w:lvl>
    <w:lvl w:ilvl="1">
      <w:lvlJc w:val="left"/>
      <w:lvlText w:val="(%2)"/>
      <w:numFmt w:val="lowerRoman"/>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1"/>
    </w:lvl>
    <w:lvl w:ilvl="1">
      <w:lvlJc w:val="left"/>
      <w:lvlText w:val="(%2)"/>
      <w:numFmt w:val="lowerLetter"/>
      <w:start w:val="3"/>
    </w:lvl>
  </w:abstractNum>
  <w:abstractNum w:abstractNumId="101">
    <w:nsid w:val="288F1A34"/>
    <w:multiLevelType w:val="hybridMultilevel"/>
    <w:lvl w:ilvl="0">
      <w:lvlJc w:val="left"/>
      <w:lvlText w:val="(%1)"/>
      <w:numFmt w:val="lowerLetter"/>
      <w:start w:val="9"/>
    </w:lvl>
    <w:lvl w:ilvl="1">
      <w:lvlJc w:val="left"/>
      <w:lvlText w:val="%2"/>
      <w:numFmt w:val="lowerLetter"/>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Roman"/>
      <w:start w:val="10"/>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Roman"/>
      <w:start w:val="10"/>
    </w:lvl>
  </w:abstractNum>
  <w:abstractNum w:abstractNumId="106">
    <w:nsid w:val="1CA0C5FA"/>
    <w:multiLevelType w:val="hybridMultilevel"/>
    <w:lvl w:ilvl="0">
      <w:lvlJc w:val="left"/>
      <w:lvlText w:val="(%1)"/>
      <w:numFmt w:val="lowerLetter"/>
      <w:start w:val="2"/>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2"/>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Roman"/>
      <w:start w:val="1"/>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2019-12-28T10:40:49Z</dcterms:created>
  <dcterms:modified xsi:type="dcterms:W3CDTF">2019-12-28T10:40:49Z</dcterms:modified>
</cp:coreProperties>
</file>