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340" w:right="700" w:hanging="8"/>
        <w:spacing w:after="0" w:line="280" w:lineRule="auto"/>
        <w:rPr>
          <w:sz w:val="20"/>
          <w:szCs w:val="20"/>
          <w:color w:val="auto"/>
        </w:rPr>
      </w:pPr>
      <w:r>
        <w:rPr>
          <w:rFonts w:ascii="Arial" w:cs="Arial" w:eastAsia="Arial" w:hAnsi="Arial"/>
          <w:sz w:val="21"/>
          <w:szCs w:val="21"/>
          <w:b w:val="1"/>
          <w:bCs w:val="1"/>
          <w:color w:val="auto"/>
        </w:rPr>
        <w:t>FOR ANNUAL REPORTS OF EMPLOYEE STOCK PURCHASE, SAVINGS AND SIMILAR PLANS PURSUANT TO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259715</wp:posOffset>
            </wp:positionV>
            <wp:extent cx="2821305"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SPECTACOR 401(k) PLAN</w:t>
      </w:r>
    </w:p>
    <w:p>
      <w:pPr>
        <w:spacing w:after="0" w:line="96" w:lineRule="exact"/>
        <w:rPr>
          <w:sz w:val="20"/>
          <w:szCs w:val="20"/>
          <w:color w:val="auto"/>
        </w:rPr>
      </w:pPr>
    </w:p>
    <w:p>
      <w:pPr>
        <w:ind w:right="3119"/>
        <w:spacing w:after="0" w:line="254" w:lineRule="auto"/>
        <w:rPr>
          <w:sz w:val="20"/>
          <w:szCs w:val="20"/>
          <w:color w:val="auto"/>
        </w:rPr>
      </w:pPr>
      <w:r>
        <w:rPr>
          <w:rFonts w:ascii="Arial" w:cs="Arial" w:eastAsia="Arial" w:hAnsi="Arial"/>
          <w:sz w:val="18"/>
          <w:szCs w:val="18"/>
          <w:color w:val="auto"/>
        </w:rPr>
        <w:t>Financial Statements as of December 31, 2008 and 2007 and for the Year Ended December 31, 2008; Supplemental Schedule as of December 31, 2008;</w:t>
      </w:r>
    </w:p>
    <w:p>
      <w:pPr>
        <w:spacing w:after="0"/>
        <w:rPr>
          <w:sz w:val="20"/>
          <w:szCs w:val="20"/>
          <w:color w:val="auto"/>
        </w:rPr>
      </w:pPr>
      <w:r>
        <w:rPr>
          <w:rFonts w:ascii="Arial" w:cs="Arial" w:eastAsia="Arial" w:hAnsi="Arial"/>
          <w:sz w:val="18"/>
          <w:szCs w:val="18"/>
          <w:color w:val="auto"/>
        </w:rPr>
        <w:t>and Report of Independent Registered Public 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4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56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Statements of Net Assets Available for Benefits at December 31, 2008 and 2007</w:t>
              </w:r>
            </w:hyperlink>
          </w:p>
        </w:tc>
        <w:tc>
          <w:tcPr>
            <w:tcW w:w="50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Statement of Changes in Net Assets Available for Benefits for the Year ended December 31, 2008</w:t>
              </w:r>
            </w:hyperlink>
          </w:p>
        </w:tc>
        <w:tc>
          <w:tcPr>
            <w:tcW w:w="38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61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Schedule H—Line 4i—Schedule of Assets (Held at End of Year) at December 31, 2008</w:t>
              </w:r>
            </w:hyperlink>
          </w:p>
        </w:tc>
        <w:tc>
          <w:tcPr>
            <w:tcW w:w="45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CONSENT OF INDEPENDENT REGISTERED PUBLIC ACCOUNTING FIRM</w:t>
              </w:r>
            </w:hyperlink>
          </w:p>
        </w:tc>
        <w:tc>
          <w:tcPr>
            <w:tcW w:w="532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11140" w:type="dxa"/>
            <w:vAlign w:val="bottom"/>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SIGNATURE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the Comcast Spectacor 401(k) Plan (the “Plan”) as of December 31, 2008 and 2007, and the related statement of changes in net assets available for benefits for the year ended December 31, 2008.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our audits provide a reasonable basis for our opinion.</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2008 and 2007, and the changes in net assets available for benefits for the year ended December 31, 2008 in conformity with accounting principles generally accepted in the United States.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audits were performed for the purpose of forming an opinion on the Plan’s financial statements taken as a whole. The accompanying supplemental schedule of assets (held at end of year) as of December 31, 2008 (Schedule H—Line 4i)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financial statements and, in our opinion, is fairly stated in all material respects, in relation to the financial statements taken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2008</w:t>
            </w:r>
          </w:p>
        </w:tc>
        <w:tc>
          <w:tcPr>
            <w:tcW w:w="114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$ 30,786,754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$ 37,333,415</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receivable from participants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754,251</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584,781</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$ 31,541,005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$ 37,918,196</w:t>
            </w:r>
          </w:p>
        </w:tc>
      </w:tr>
      <w:tr>
        <w:trPr>
          <w:trHeight w:val="20"/>
        </w:trPr>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Investment interest and 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1,754,919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ind w:left="860"/>
              <w:spacing w:after="0"/>
              <w:rPr>
                <w:sz w:val="20"/>
                <w:szCs w:val="20"/>
                <w:color w:val="auto"/>
              </w:rPr>
            </w:pPr>
            <w:r>
              <w:rPr>
                <w:rFonts w:ascii="Arial" w:cs="Arial" w:eastAsia="Arial" w:hAnsi="Arial"/>
                <w:sz w:val="18"/>
                <w:szCs w:val="18"/>
                <w:color w:val="auto"/>
              </w:rPr>
              <w:t>Participant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3,965,033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2,577,002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860"/>
              <w:spacing w:after="0"/>
              <w:rPr>
                <w:sz w:val="20"/>
                <w:szCs w:val="20"/>
                <w:color w:val="auto"/>
              </w:rPr>
            </w:pPr>
            <w:r>
              <w:rPr>
                <w:rFonts w:ascii="Arial" w:cs="Arial" w:eastAsia="Arial" w:hAnsi="Arial"/>
                <w:sz w:val="18"/>
                <w:szCs w:val="18"/>
                <w:color w:val="auto"/>
              </w:rPr>
              <w:t>Rollover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6,673,231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20" w:type="dxa"/>
            <w:vAlign w:val="bottom"/>
            <w:gridSpan w:val="2"/>
          </w:tcPr>
          <w:p>
            <w:pPr>
              <w:spacing w:after="0"/>
              <w:rPr>
                <w:sz w:val="20"/>
                <w:szCs w:val="20"/>
                <w:color w:val="auto"/>
              </w:rPr>
            </w:pPr>
            <w:r>
              <w:rPr>
                <w:rFonts w:ascii="Arial" w:cs="Arial" w:eastAsia="Arial" w:hAnsi="Arial"/>
                <w:sz w:val="18"/>
                <w:szCs w:val="18"/>
                <w:color w:val="auto"/>
              </w:rPr>
              <w:t>Total additions</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8,428,150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Net depreciation in fair value of investments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12,358,740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2,415,258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Administrative expenses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14,805,341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10420" w:type="dxa"/>
            <w:vAlign w:val="bottom"/>
            <w:gridSpan w:val="2"/>
          </w:tcPr>
          <w:p>
            <w:pPr>
              <w:spacing w:after="0"/>
              <w:rPr>
                <w:sz w:val="20"/>
                <w:szCs w:val="20"/>
                <w:color w:val="auto"/>
              </w:rPr>
            </w:pPr>
            <w:r>
              <w:rPr>
                <w:rFonts w:ascii="Arial" w:cs="Arial" w:eastAsia="Arial" w:hAnsi="Arial"/>
                <w:sz w:val="18"/>
                <w:szCs w:val="18"/>
                <w:color w:val="auto"/>
              </w:rPr>
              <w:t>Net decrease</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(6,377,191)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37,918,196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31,541,005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PLAN DESCRIPTION</w:t>
      </w:r>
    </w:p>
    <w:p>
      <w:pPr>
        <w:spacing w:after="0" w:line="96"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The following description of the Comcast Spectacor 401(k) Plan (the Plan) provides only general information. Participants should refer to the official Plan document for a complete description of the Plan’s provisions.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90" w:lineRule="exact"/>
        <w:rPr>
          <w:rFonts w:ascii="Arial" w:cs="Arial" w:eastAsia="Arial" w:hAnsi="Arial"/>
          <w:sz w:val="18"/>
          <w:szCs w:val="18"/>
          <w:color w:val="auto"/>
        </w:rPr>
      </w:pPr>
    </w:p>
    <w:p>
      <w:pPr>
        <w:ind w:left="460" w:right="160"/>
        <w:spacing w:after="0" w:line="306" w:lineRule="auto"/>
        <w:rPr>
          <w:rFonts w:ascii="Arial" w:cs="Arial" w:eastAsia="Arial" w:hAnsi="Arial"/>
          <w:sz w:val="18"/>
          <w:szCs w:val="18"/>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The Plan covers “eligible employees,” who have completed the requisite hours of service, as defined in the Plan document, and have attained age 21. The following entities participate in the Plan, referred to collectively as “the Company”:</w:t>
      </w:r>
    </w:p>
    <w:p>
      <w:pPr>
        <w:spacing w:after="0" w:line="25"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Spectacor, L.P. (Plan Sponsor or Plan Administrator)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76ers,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Phantoms,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Spectacor,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FPS Rink,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Disson Skating, LLC</w:t>
      </w:r>
    </w:p>
    <w:p>
      <w:pPr>
        <w:spacing w:after="0" w:line="90" w:lineRule="exact"/>
        <w:rPr>
          <w:sz w:val="20"/>
          <w:szCs w:val="20"/>
          <w:color w:val="auto"/>
        </w:rPr>
      </w:pPr>
    </w:p>
    <w:p>
      <w:pPr>
        <w:ind w:left="460" w:right="400"/>
        <w:spacing w:after="0" w:line="306" w:lineRule="auto"/>
        <w:rPr>
          <w:sz w:val="20"/>
          <w:szCs w:val="20"/>
          <w:color w:val="auto"/>
        </w:rPr>
      </w:pPr>
      <w:r>
        <w:rPr>
          <w:rFonts w:ascii="Arial" w:cs="Arial" w:eastAsia="Arial" w:hAnsi="Arial"/>
          <w:sz w:val="16"/>
          <w:szCs w:val="16"/>
          <w:color w:val="auto"/>
        </w:rPr>
        <w:t>Effective April 30, 2008, with the exception of Comcast Common Stock, the Trustee for the Plan (formerly Citigroup Institutional Trust Company), is Reliance Trust Company (the Trustee). The Trustee for the Comcast Common Stock under the Plan remains State Street. Effective July 1, 2008, the Record-keeper for the Plan (formerly CitiStreet Associates LLC), is ING Institutional Plan Services, LLC.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Contributions and Related Party Transactions</w:t>
      </w:r>
    </w:p>
    <w:p>
      <w:pPr>
        <w:spacing w:after="0" w:line="9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w:t>
      </w:r>
    </w:p>
    <w:p>
      <w:pPr>
        <w:spacing w:after="0" w:line="51"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also provides for discretionary profit sharing contributions.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Participant Accounts</w:t>
      </w:r>
    </w:p>
    <w:p>
      <w:pPr>
        <w:spacing w:after="0" w:line="90" w:lineRule="exact"/>
        <w:rPr>
          <w:sz w:val="20"/>
          <w:szCs w:val="20"/>
          <w:color w:val="auto"/>
        </w:rPr>
      </w:pPr>
    </w:p>
    <w:p>
      <w:pPr>
        <w:jc w:val="both"/>
        <w:ind w:left="460" w:right="340"/>
        <w:spacing w:after="0" w:line="256"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Upon enrollment, or as requested from the Plan Administrator, participants can receive a description of each investment fund in the Plan Enrollment Guide.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Participants are immediately vested in their elective deferral contributions plus actual earnings thereon. Participants shall have a fully (100%) vested and nonforfeitable interest in Company matching contributions for Plan years beginning on or after January 1, 2005. Matching contributions attributable to periods prior to January 1, 2005 will continue to vest according to their original schedule based on years of service. A participant is 100% vested after five years of credited service. Vesting can be accelerated under certain other conditions defined in the Plan document. In the event of whole or partial termination of the Plan, there will be full and immediate vesting of each affected employee’s account balance.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Loans to Participants</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Trustee may make loans from the Plan to participants in accordance with the Plan document. All loans to participants are considered investments of the participant’s account and accrue interest at the prime rate plus 2%. All loans are to be repaid within five years unless the loan is used to acquire a principal residence, in which case the term may be longer.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Income Tax Status</w:t>
      </w:r>
    </w:p>
    <w:p>
      <w:pPr>
        <w:spacing w:after="0" w:line="90"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color w:val="auto"/>
        </w:rPr>
        <w:t>The IRS issued a determination letter to the Plan, dated April 29, 2003, stating that the Plan was qualified under Section 401(a) of the Internal Revenue Code (the Code) and, therefore, is exempt from federal income tax under Section 501(a) of the Code. The Plan has been amended since receiving the determination letter and as such, the Plan applied for an updated determination letter on March 23, 2007. Although no decision has been received to date, the Plan Administrator and the Plan’s tax counsel believe that the Plan is designed and is currently being operated in compliance with the applicable requirements of the Code. Therefore, no provision for income taxes has been included in the Plan’s financial statements.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Forfeited Accounts</w:t>
      </w:r>
    </w:p>
    <w:p>
      <w:pPr>
        <w:spacing w:after="0" w:line="90"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Amounts contributed by the Company which are forfeited by participants as a result of the participants’ separation from service prior to becoming 100% vested may be used to pay Plan expenses including legal, consulting, education materials, etc. and/or to reduce the Company’s required contributions. Pending application of the forfeitures, the Company may direct the Trustee to hold the forfeitures in cash or under investment in a suspense account. Forfeitures applied to reduce Plan administrative expenses for the years ended December 31, 2008 and 2007 amounted to $63,715 and $3,100, respectively. Forfeitures pending application as of December 31, 2008 and 2007 were $205,960 and $250,064, respectively.</w:t>
      </w:r>
    </w:p>
    <w:p>
      <w:pPr>
        <w:spacing w:after="0" w:line="231" w:lineRule="exact"/>
        <w:rPr>
          <w:sz w:val="20"/>
          <w:szCs w:val="20"/>
          <w:color w:val="auto"/>
        </w:rPr>
      </w:pPr>
    </w:p>
    <w:p>
      <w:pPr>
        <w:ind w:left="460" w:right="6380" w:hanging="452"/>
        <w:spacing w:after="0" w:line="391"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u w:val="single" w:color="auto"/>
          <w:color w:val="auto"/>
        </w:rPr>
        <w:t>Valuation of Investments and Income Recognition</w:t>
      </w:r>
    </w:p>
    <w:p>
      <w:pPr>
        <w:ind w:left="460"/>
        <w:spacing w:after="0" w:line="306" w:lineRule="auto"/>
        <w:rPr>
          <w:rFonts w:ascii="Arial" w:cs="Arial" w:eastAsia="Arial" w:hAnsi="Arial"/>
          <w:sz w:val="16"/>
          <w:szCs w:val="16"/>
          <w:color w:val="auto"/>
        </w:rPr>
      </w:pPr>
      <w:r>
        <w:rPr>
          <w:rFonts w:ascii="Arial" w:cs="Arial" w:eastAsia="Arial" w:hAnsi="Arial"/>
          <w:sz w:val="16"/>
          <w:szCs w:val="16"/>
          <w:color w:val="auto"/>
        </w:rPr>
        <w:t>Plan assets are stated at fair value. The fair value of mutual funds is determined by quoted market price. The change in fair value of assets during the year is measured by the difference between the fair value at year-end and the fair value at the beginning of the year and the impact of any purchases and/or sales during the year and is reflected in the Statement of Changes in Net Assets Available for Benefits as net depreciation in fair value of investments.</w:t>
      </w:r>
    </w:p>
    <w:p>
      <w:pPr>
        <w:spacing w:after="0" w:line="25" w:lineRule="exact"/>
        <w:rPr>
          <w:rFonts w:ascii="Arial" w:cs="Arial" w:eastAsia="Arial" w:hAnsi="Arial"/>
          <w:sz w:val="16"/>
          <w:szCs w:val="16"/>
          <w:color w:val="auto"/>
        </w:rPr>
      </w:pPr>
    </w:p>
    <w:p>
      <w:pPr>
        <w:ind w:left="460" w:right="200"/>
        <w:spacing w:after="0" w:line="255" w:lineRule="auto"/>
        <w:rPr>
          <w:rFonts w:ascii="Arial" w:cs="Arial" w:eastAsia="Arial" w:hAnsi="Arial"/>
          <w:sz w:val="16"/>
          <w:szCs w:val="16"/>
          <w:color w:val="auto"/>
        </w:rPr>
      </w:pPr>
      <w:r>
        <w:rPr>
          <w:rFonts w:ascii="Arial" w:cs="Arial" w:eastAsia="Arial" w:hAnsi="Arial"/>
          <w:sz w:val="18"/>
          <w:szCs w:val="18"/>
          <w:color w:val="auto"/>
        </w:rPr>
        <w:t>Investment securities are exposed to various risks such as interest rate, market, and credit risks. During the year ended December 31, 2008, a significant decline in the fair value of investments occurred due to a significant amount of market volatility that was, in part, a result of a general decline in global economic conditions. Due to the level of risk associated with certain investment securities, it is at least reasonably possible that changes in the values of investment securities will occur in the near term and that such changes could materially affect participants’ account balances and amounts reported in the Statements of Net Assets Available for Benefits.</w:t>
      </w:r>
    </w:p>
    <w:p>
      <w:pPr>
        <w:spacing w:after="0" w:line="6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Participant loans are stated at their amortized cost, which approximates fair value.</w:t>
      </w:r>
    </w:p>
    <w:p>
      <w:pPr>
        <w:spacing w:after="0" w:line="90" w:lineRule="exact"/>
        <w:rPr>
          <w:rFonts w:ascii="Arial" w:cs="Arial" w:eastAsia="Arial" w:hAnsi="Arial"/>
          <w:sz w:val="16"/>
          <w:szCs w:val="16"/>
          <w:color w:val="auto"/>
        </w:rPr>
      </w:pPr>
    </w:p>
    <w:p>
      <w:pPr>
        <w:ind w:left="460" w:right="380"/>
        <w:spacing w:after="0" w:line="268" w:lineRule="auto"/>
        <w:rPr>
          <w:rFonts w:ascii="Arial" w:cs="Arial" w:eastAsia="Arial" w:hAnsi="Arial"/>
          <w:sz w:val="16"/>
          <w:szCs w:val="16"/>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2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Fair Value Measurements</w:t>
      </w:r>
    </w:p>
    <w:p>
      <w:pPr>
        <w:spacing w:after="0" w:line="90" w:lineRule="exact"/>
        <w:rPr>
          <w:rFonts w:ascii="Arial" w:cs="Arial" w:eastAsia="Arial" w:hAnsi="Arial"/>
          <w:sz w:val="16"/>
          <w:szCs w:val="16"/>
          <w:color w:val="auto"/>
        </w:rPr>
      </w:pPr>
    </w:p>
    <w:p>
      <w:pPr>
        <w:ind w:left="460" w:right="160"/>
        <w:spacing w:after="0" w:line="268" w:lineRule="auto"/>
        <w:rPr>
          <w:rFonts w:ascii="Arial" w:cs="Arial" w:eastAsia="Arial" w:hAnsi="Arial"/>
          <w:sz w:val="16"/>
          <w:szCs w:val="16"/>
          <w:color w:val="auto"/>
        </w:rPr>
      </w:pPr>
      <w:r>
        <w:rPr>
          <w:rFonts w:ascii="Arial" w:cs="Arial" w:eastAsia="Arial" w:hAnsi="Arial"/>
          <w:sz w:val="18"/>
          <w:szCs w:val="18"/>
          <w:color w:val="auto"/>
        </w:rPr>
        <w:t>Effective January 1, 2008, the Plan adopted the provisions of Statement of Financial Accounting Standards No. 157, “Fair Value Measurements,” (“SFAS No. 157”). See Note 4 for further details regarding the adoption of this standard.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left="460" w:right="300"/>
        <w:spacing w:after="0" w:line="335" w:lineRule="auto"/>
        <w:rPr>
          <w:sz w:val="20"/>
          <w:szCs w:val="20"/>
          <w:color w:val="auto"/>
        </w:rPr>
      </w:pPr>
      <w:r>
        <w:rPr>
          <w:rFonts w:ascii="Arial" w:cs="Arial" w:eastAsia="Arial" w:hAnsi="Arial"/>
          <w:sz w:val="15"/>
          <w:szCs w:val="15"/>
          <w:color w:val="auto"/>
        </w:rPr>
        <w:t>In preparing financial statements in conformity with accounting principles generally accepted in the United States, management is required to make estimates and assumptions that affect the reported amounts of assets and liabilities, the disclosure of contingent assets and liabilities at the date of the financial statements, and the reported amounts of additions and deductions during the reporting period. Actual results could differ from those estimates.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Benefits are recorded when paid.</w:t>
      </w:r>
    </w:p>
    <w:p>
      <w:pPr>
        <w:spacing w:after="0" w:line="28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Pr>
          <w:p>
            <w:pPr>
              <w:spacing w:after="0"/>
              <w:rPr>
                <w:sz w:val="12"/>
                <w:szCs w:val="12"/>
                <w:color w:val="auto"/>
              </w:rPr>
            </w:pPr>
          </w:p>
        </w:tc>
        <w:tc>
          <w:tcPr>
            <w:tcW w:w="8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Comcast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$ 3,306,799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$ 3,272,250</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EuroPacific Growth Fund—F Share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2,560,426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4,671,581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Washington Mutual Investors Fund—F Share</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4,105,145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4,990,267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Dreyfus Premier Emerging Markets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1,991,987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2,601,499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The Growth Fund of America—F Share</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4,575,523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6,845,784</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Baron Growth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1,670,217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2,290,741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Janus Balanced Fund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2,681,200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2,862,077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Wells Fargo Advantage Government Securities Fund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2,008,894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2,600,144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Western Asset Government Money Market Exchange Class 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2,904,909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Royce Total Return Fund</w:t>
            </w:r>
          </w:p>
        </w:tc>
        <w:tc>
          <w:tcPr>
            <w:tcW w:w="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1,928,246</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2008, the Plan’s investments, including investments purchased and sold, as well as held during the year, depreciated in fair value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Net Realized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Unrealized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(Depreciation)</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 Fair Value of</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Investments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6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(233,364)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Mutual Funds</w:t>
            </w: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(12,125,376)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(12,358,740)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280" w:type="dxa"/>
            <w:vAlign w:val="bottom"/>
            <w:vMerge w:val="restart"/>
          </w:tcPr>
          <w:p>
            <w:pPr>
              <w:jc w:val="right"/>
              <w:ind w:right="405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jc w:val="both"/>
        <w:ind w:left="460" w:right="160"/>
        <w:spacing w:after="0" w:line="306" w:lineRule="auto"/>
        <w:rPr>
          <w:sz w:val="20"/>
          <w:szCs w:val="20"/>
          <w:color w:val="auto"/>
        </w:rPr>
      </w:pPr>
      <w:r>
        <w:rPr>
          <w:rFonts w:ascii="Arial" w:cs="Arial" w:eastAsia="Arial" w:hAnsi="Arial"/>
          <w:sz w:val="16"/>
          <w:szCs w:val="16"/>
          <w:color w:val="auto"/>
        </w:rPr>
        <w:t>Effective January 1, 2008, the Plan adopted the provisions of SFAS No. 157. SFAS No. 157 defines fair value, establishes a framework for measuring fair value and expands disclosure about fair value measurements. SFAS No. 157 establishes a hierarchy that prioritizes fair value measurements based on the types of inputs used for the various valuation techniques. The levels of the hierarchy are described below:</w:t>
      </w:r>
    </w:p>
    <w:p>
      <w:pPr>
        <w:spacing w:after="0" w:line="26" w:lineRule="exact"/>
        <w:rPr>
          <w:sz w:val="20"/>
          <w:szCs w:val="20"/>
          <w:color w:val="auto"/>
        </w:rPr>
      </w:pPr>
    </w:p>
    <w:p>
      <w:pPr>
        <w:ind w:left="1760" w:right="1280" w:hanging="1052"/>
        <w:spacing w:after="0" w:line="268" w:lineRule="auto"/>
        <w:tabs>
          <w:tab w:leader="none" w:pos="17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Consists of financial instruments whose value is based on quoted market prices for identical financial instruments in an active market.</w:t>
      </w:r>
    </w:p>
    <w:p>
      <w:pPr>
        <w:spacing w:after="0" w:line="78" w:lineRule="exact"/>
        <w:rPr>
          <w:sz w:val="20"/>
          <w:szCs w:val="20"/>
          <w:color w:val="auto"/>
        </w:rPr>
      </w:pPr>
    </w:p>
    <w:p>
      <w:pPr>
        <w:ind w:left="1760" w:right="1120" w:hanging="1052"/>
        <w:spacing w:after="0" w:line="268" w:lineRule="auto"/>
        <w:tabs>
          <w:tab w:leader="none" w:pos="17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78" w:lineRule="exact"/>
        <w:rPr>
          <w:sz w:val="20"/>
          <w:szCs w:val="20"/>
          <w:color w:val="auto"/>
        </w:rPr>
      </w:pPr>
    </w:p>
    <w:p>
      <w:pPr>
        <w:ind w:left="2420" w:hanging="359"/>
        <w:spacing w:after="0"/>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2420" w:hanging="359"/>
        <w:spacing w:after="0"/>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17" w:lineRule="exact"/>
        <w:rPr>
          <w:rFonts w:ascii="Arial" w:cs="Arial" w:eastAsia="Arial" w:hAnsi="Arial"/>
          <w:sz w:val="18"/>
          <w:szCs w:val="18"/>
          <w:color w:val="auto"/>
        </w:rPr>
      </w:pPr>
    </w:p>
    <w:p>
      <w:pPr>
        <w:ind w:left="2420" w:hanging="359"/>
        <w:spacing w:after="0"/>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117" w:lineRule="exact"/>
        <w:rPr>
          <w:rFonts w:ascii="Arial" w:cs="Arial" w:eastAsia="Arial" w:hAnsi="Arial"/>
          <w:sz w:val="18"/>
          <w:szCs w:val="18"/>
          <w:color w:val="auto"/>
        </w:rPr>
      </w:pPr>
    </w:p>
    <w:p>
      <w:pPr>
        <w:ind w:left="2420" w:right="1360" w:hanging="359"/>
        <w:spacing w:after="0" w:line="268" w:lineRule="auto"/>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78" w:lineRule="exact"/>
        <w:rPr>
          <w:sz w:val="20"/>
          <w:szCs w:val="20"/>
          <w:color w:val="auto"/>
        </w:rPr>
      </w:pPr>
    </w:p>
    <w:p>
      <w:pPr>
        <w:ind w:left="1760" w:right="1140" w:hanging="1052"/>
        <w:spacing w:after="0" w:line="268" w:lineRule="auto"/>
        <w:tabs>
          <w:tab w:leader="none" w:pos="17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utilize significant inputs that are primarily unobservable and significant to the fair value measurement.</w:t>
      </w:r>
    </w:p>
    <w:p>
      <w:pPr>
        <w:spacing w:after="0" w:line="5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Mutual funds: Valued at the net asset value of shares held by the Plan at year end.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Common stock: Valued at the closing price reported on the active market on which the individual securities are traded.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Participant loans: Valued at amortized cost, which approximates fair value.</w:t>
      </w:r>
    </w:p>
    <w:p>
      <w:pPr>
        <w:spacing w:after="0" w:line="90" w:lineRule="exact"/>
        <w:rPr>
          <w:sz w:val="20"/>
          <w:szCs w:val="20"/>
          <w:color w:val="auto"/>
        </w:rPr>
      </w:pPr>
    </w:p>
    <w:p>
      <w:pPr>
        <w:ind w:left="460" w:right="20"/>
        <w:spacing w:after="0" w:line="335" w:lineRule="auto"/>
        <w:rPr>
          <w:sz w:val="20"/>
          <w:szCs w:val="20"/>
          <w:color w:val="auto"/>
        </w:rPr>
      </w:pPr>
      <w:r>
        <w:rPr>
          <w:rFonts w:ascii="Arial" w:cs="Arial" w:eastAsia="Arial" w:hAnsi="Arial"/>
          <w:sz w:val="15"/>
          <w:szCs w:val="15"/>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by level, within the fair value hierarchy, the Plan’s assets at fair value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Level 2</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5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$27,479,955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$27,479,955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Common stock</w:t>
            </w:r>
          </w:p>
        </w:tc>
        <w:tc>
          <w:tcPr>
            <w:tcW w:w="5080" w:type="dxa"/>
            <w:vAlign w:val="bottom"/>
            <w:gridSpan w:val="3"/>
          </w:tcPr>
          <w:p>
            <w:pPr>
              <w:jc w:val="right"/>
              <w:ind w:right="340"/>
              <w:spacing w:after="0"/>
              <w:rPr>
                <w:sz w:val="20"/>
                <w:szCs w:val="20"/>
                <w:color w:val="auto"/>
              </w:rPr>
            </w:pPr>
            <w:r>
              <w:rPr>
                <w:rFonts w:ascii="Arial" w:cs="Arial" w:eastAsia="Arial" w:hAnsi="Arial"/>
                <w:sz w:val="18"/>
                <w:szCs w:val="18"/>
                <w:color w:val="auto"/>
              </w:rPr>
              <w:t>3,306,799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3,306,799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38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508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30,786,754</w:t>
            </w:r>
          </w:p>
        </w:tc>
        <w:tc>
          <w:tcPr>
            <w:tcW w:w="4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754,251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31,541,005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860" w:type="dxa"/>
            <w:vAlign w:val="bottom"/>
            <w:vMerge w:val="restart"/>
          </w:tcPr>
          <w:p>
            <w:pPr>
              <w:jc w:val="right"/>
              <w:ind w:right="1692"/>
              <w:spacing w:after="0"/>
              <w:rPr>
                <w:sz w:val="20"/>
                <w:szCs w:val="20"/>
                <w:color w:val="auto"/>
              </w:rPr>
            </w:pPr>
            <w:r>
              <w:rPr>
                <w:rFonts w:ascii="Arial" w:cs="Arial" w:eastAsia="Arial" w:hAnsi="Arial"/>
                <w:sz w:val="18"/>
                <w:szCs w:val="18"/>
                <w:color w:val="auto"/>
              </w:rPr>
              <w:t>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summary of changes in the fair value of the Plan’s Level 3 assets for the year ended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Level 3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3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584,781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00" w:type="dxa"/>
            <w:vAlign w:val="bottom"/>
            <w:gridSpan w:val="2"/>
          </w:tcPr>
          <w:p>
            <w:pPr>
              <w:spacing w:after="0"/>
              <w:rPr>
                <w:sz w:val="20"/>
                <w:szCs w:val="20"/>
                <w:color w:val="auto"/>
              </w:rPr>
            </w:pPr>
            <w:r>
              <w:rPr>
                <w:rFonts w:ascii="Arial" w:cs="Arial" w:eastAsia="Arial" w:hAnsi="Arial"/>
                <w:sz w:val="18"/>
                <w:szCs w:val="18"/>
                <w:color w:val="auto"/>
              </w:rPr>
              <w:t>Realized gains/(losses)</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w:t>
            </w:r>
          </w:p>
        </w:tc>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00" w:type="dxa"/>
            <w:vAlign w:val="bottom"/>
            <w:gridSpan w:val="2"/>
          </w:tcPr>
          <w:p>
            <w:pPr>
              <w:spacing w:after="0"/>
              <w:rPr>
                <w:sz w:val="20"/>
                <w:szCs w:val="20"/>
                <w:color w:val="auto"/>
              </w:rPr>
            </w:pPr>
            <w:r>
              <w:rPr>
                <w:rFonts w:ascii="Arial" w:cs="Arial" w:eastAsia="Arial" w:hAnsi="Arial"/>
                <w:sz w:val="18"/>
                <w:szCs w:val="18"/>
                <w:color w:val="auto"/>
              </w:rPr>
              <w:t>Purchases, sales, issuances and settlements (net)</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169,470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9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3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754,251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TRUST AGREEMENT</w:t>
      </w:r>
    </w:p>
    <w:p>
      <w:pPr>
        <w:spacing w:after="0" w:line="96"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Comcast Spectacor, L.P., as Plan Sponsor, entered into a trust agreement with Reliance Trust Company effective April 30, 2008. This agreement replaced the trust agreement with Citigroup Institutional Trust Company (formerly known as Smith Barney Corporate Trust Company), a party-in-interest, which ended April 29, 2008. Under the terms of both agreements, the Trustee will hold, invest and reinvest the funds. Comcast Spectacor, L.P. has no right, title or interest in or to the trust fund maintained under this agreement.</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PLAN TERMINATION</w:t>
      </w:r>
    </w:p>
    <w:p>
      <w:pPr>
        <w:spacing w:after="0" w:line="96" w:lineRule="exact"/>
        <w:rPr>
          <w:rFonts w:ascii="Arial" w:cs="Arial" w:eastAsia="Arial" w:hAnsi="Arial"/>
          <w:sz w:val="18"/>
          <w:szCs w:val="18"/>
          <w:color w:val="auto"/>
        </w:rPr>
      </w:pPr>
    </w:p>
    <w:p>
      <w:pPr>
        <w:ind w:left="460" w:right="220"/>
        <w:spacing w:after="0" w:line="259" w:lineRule="auto"/>
        <w:rPr>
          <w:rFonts w:ascii="Arial" w:cs="Arial" w:eastAsia="Arial" w:hAnsi="Arial"/>
          <w:sz w:val="18"/>
          <w:szCs w:val="18"/>
          <w:color w:val="auto"/>
        </w:rPr>
      </w:pPr>
      <w:r>
        <w:rPr>
          <w:rFonts w:ascii="Arial" w:cs="Arial" w:eastAsia="Arial" w:hAnsi="Arial"/>
          <w:sz w:val="18"/>
          <w:szCs w:val="18"/>
          <w:color w:val="auto"/>
        </w:rPr>
        <w:t>Although no participating employer has expressed any intent to do so, each participating employer has the right under the Plan to discontinue its contributions and to terminate the Plan with the respect to its employees. Additionally, Comcast Spectacor, L.P. has the right to terminate the Plan. In the event of Plan termination, participants will become 100% vested in their accounts.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H—LINE 4i—SCHEDULE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9"/>
              </w:rPr>
              <w:t>EIN 23-2303756</w:t>
            </w:r>
          </w:p>
        </w:tc>
      </w:tr>
      <w:tr>
        <w:trPr>
          <w:trHeight w:val="228"/>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7"/>
              </w:rPr>
              <w:t>PLAN NO. 004</w:t>
            </w:r>
          </w:p>
        </w:tc>
      </w:tr>
      <w:tr>
        <w:trPr>
          <w:trHeight w:val="340"/>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(c) Description of Investment Including Maturity Date,</w:t>
            </w:r>
          </w:p>
        </w:tc>
      </w:tr>
      <w:tr>
        <w:trPr>
          <w:trHeight w:val="175"/>
        </w:trPr>
        <w:tc>
          <w:tcPr>
            <w:tcW w:w="220" w:type="dxa"/>
            <w:vAlign w:val="bottom"/>
          </w:tcPr>
          <w:p>
            <w:pP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300" w:type="dxa"/>
            <w:vAlign w:val="bottom"/>
          </w:tcPr>
          <w:p>
            <w:pPr>
              <w:ind w:left="114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120" w:type="dxa"/>
            <w:vAlign w:val="bottom"/>
          </w:tcPr>
          <w:p>
            <w:pPr>
              <w:spacing w:after="0"/>
              <w:rPr>
                <w:sz w:val="15"/>
                <w:szCs w:val="15"/>
                <w:color w:val="auto"/>
              </w:rPr>
            </w:pPr>
          </w:p>
        </w:tc>
        <w:tc>
          <w:tcPr>
            <w:tcW w:w="3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Rate of Interest, Collateral, Par, or Maturity Value</w:t>
            </w:r>
          </w:p>
        </w:tc>
      </w:tr>
      <w:tr>
        <w:trPr>
          <w:trHeight w:val="130"/>
        </w:trPr>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4"/>
              <w:spacing w:after="0" w:line="130" w:lineRule="exact"/>
              <w:rPr>
                <w:sz w:val="20"/>
                <w:szCs w:val="20"/>
                <w:color w:val="auto"/>
              </w:rPr>
            </w:pPr>
            <w:r>
              <w:rPr>
                <w:rFonts w:ascii="Arial" w:cs="Arial" w:eastAsia="Arial" w:hAnsi="Arial"/>
                <w:sz w:val="14"/>
                <w:szCs w:val="14"/>
                <w:b w:val="1"/>
                <w:bCs w:val="1"/>
                <w:color w:val="auto"/>
                <w:w w:val="92"/>
              </w:rPr>
              <w:t>(e) Current</w:t>
            </w:r>
          </w:p>
        </w:tc>
        <w:tc>
          <w:tcPr>
            <w:tcW w:w="20" w:type="dxa"/>
            <w:vAlign w:val="bottom"/>
          </w:tcPr>
          <w:p>
            <w:pPr>
              <w:spacing w:after="0"/>
              <w:rPr>
                <w:sz w:val="11"/>
                <w:szCs w:val="11"/>
                <w:color w:val="auto"/>
              </w:rPr>
            </w:pPr>
          </w:p>
        </w:tc>
      </w:tr>
      <w:tr>
        <w:trPr>
          <w:trHeight w:val="161"/>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10"/>
        </w:trPr>
        <w:tc>
          <w:tcPr>
            <w:tcW w:w="220" w:type="dxa"/>
            <w:vAlign w:val="bottom"/>
            <w:shd w:val="clear" w:color="auto" w:fill="CCEEFF"/>
          </w:tcPr>
          <w:p>
            <w:pPr>
              <w:spacing w:after="0"/>
              <w:rPr>
                <w:sz w:val="18"/>
                <w:szCs w:val="18"/>
                <w:color w:val="auto"/>
              </w:rPr>
            </w:pPr>
          </w:p>
        </w:tc>
        <w:tc>
          <w:tcPr>
            <w:tcW w:w="7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Mutual Funds (at fair value)</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EuroPacific Growth Fund - F Share</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2,560,426</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Washington Mutual Investors Fund - F Share</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4,105,145</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The Growth Fund of America - F Share</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4,575,523</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Baron Growth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1,670,217</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Cohen and Steers Realty Shares</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527,379</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Dreyfus Appreciation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393,058</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ING GNMA Income Fund</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644,555</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Dreyfus US Treasury Long Term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921,094</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Dreyfus Premier Emerging Markets Fund</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1,991,987</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Janus Balanced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2,681,200</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Wells Fargo Advantage Government Securities Fund</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2,008,894</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Royce Total Return Fund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1,558,528</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Western Asset Government Money Market Exchange Class A</w:t>
            </w:r>
          </w:p>
        </w:tc>
        <w:tc>
          <w:tcPr>
            <w:tcW w:w="120" w:type="dxa"/>
            <w:vAlign w:val="bottom"/>
          </w:tcPr>
          <w:p>
            <w:pPr>
              <w:spacing w:after="0"/>
              <w:rPr>
                <w:sz w:val="18"/>
                <w:szCs w:val="18"/>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2,904,909</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 Rowe Price International Bond Advisor</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537,669</w:t>
            </w:r>
          </w:p>
        </w:tc>
        <w:tc>
          <w:tcPr>
            <w:tcW w:w="20" w:type="dxa"/>
            <w:vAlign w:val="bottom"/>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40" w:type="dxa"/>
            <w:vAlign w:val="bottom"/>
            <w:gridSpan w:val="2"/>
          </w:tcPr>
          <w:p>
            <w:pPr>
              <w:ind w:left="440"/>
              <w:spacing w:after="0"/>
              <w:rPr>
                <w:sz w:val="20"/>
                <w:szCs w:val="20"/>
                <w:color w:val="auto"/>
              </w:rPr>
            </w:pPr>
            <w:r>
              <w:rPr>
                <w:rFonts w:ascii="Arial" w:cs="Arial" w:eastAsia="Arial" w:hAnsi="Arial"/>
                <w:sz w:val="18"/>
                <w:szCs w:val="18"/>
                <w:color w:val="auto"/>
              </w:rPr>
              <w:t>American Century Vista Advisors</w:t>
            </w:r>
          </w:p>
        </w:tc>
        <w:tc>
          <w:tcPr>
            <w:tcW w:w="120" w:type="dxa"/>
            <w:vAlign w:val="bottom"/>
          </w:tcPr>
          <w:p>
            <w:pPr>
              <w:spacing w:after="0"/>
              <w:rPr>
                <w:sz w:val="19"/>
                <w:szCs w:val="19"/>
                <w:color w:val="auto"/>
              </w:rPr>
            </w:pPr>
          </w:p>
        </w:tc>
        <w:tc>
          <w:tcPr>
            <w:tcW w:w="2640" w:type="dxa"/>
            <w:vAlign w:val="bottom"/>
          </w:tcPr>
          <w:p>
            <w:pPr>
              <w:jc w:val="center"/>
              <w:ind w:left="114"/>
              <w:spacing w:after="0"/>
              <w:rPr>
                <w:sz w:val="20"/>
                <w:szCs w:val="20"/>
                <w:color w:val="auto"/>
              </w:rPr>
            </w:pPr>
            <w:r>
              <w:rPr>
                <w:rFonts w:ascii="Arial" w:cs="Arial" w:eastAsia="Arial" w:hAnsi="Arial"/>
                <w:sz w:val="18"/>
                <w:szCs w:val="18"/>
                <w:color w:val="auto"/>
                <w:w w:val="93"/>
              </w:rPr>
              <w:t>Mutual fund</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399,371</w:t>
            </w:r>
          </w:p>
        </w:tc>
        <w:tc>
          <w:tcPr>
            <w:tcW w:w="20" w:type="dxa"/>
            <w:vAlign w:val="bottom"/>
          </w:tcPr>
          <w:p>
            <w:pPr>
              <w:spacing w:after="0"/>
              <w:rPr>
                <w:sz w:val="19"/>
                <w:szCs w:val="19"/>
                <w:color w:val="auto"/>
              </w:rPr>
            </w:pPr>
          </w:p>
        </w:tc>
      </w:tr>
      <w:tr>
        <w:trPr>
          <w:trHeight w:val="216"/>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27,479,955</w:t>
            </w:r>
          </w:p>
        </w:tc>
        <w:tc>
          <w:tcPr>
            <w:tcW w:w="20" w:type="dxa"/>
            <w:vAlign w:val="bottom"/>
          </w:tcPr>
          <w:p>
            <w:pPr>
              <w:spacing w:after="0"/>
              <w:rPr>
                <w:sz w:val="18"/>
                <w:szCs w:val="18"/>
                <w:color w:val="auto"/>
              </w:rPr>
            </w:pPr>
          </w:p>
        </w:tc>
      </w:tr>
      <w:tr>
        <w:trPr>
          <w:trHeight w:val="322"/>
        </w:trPr>
        <w:tc>
          <w:tcPr>
            <w:tcW w:w="7460" w:type="dxa"/>
            <w:vAlign w:val="bottom"/>
            <w:gridSpan w:val="4"/>
          </w:tcPr>
          <w:p>
            <w:pPr>
              <w:spacing w:after="0"/>
              <w:rPr>
                <w:sz w:val="20"/>
                <w:szCs w:val="20"/>
                <w:color w:val="auto"/>
              </w:rPr>
            </w:pPr>
            <w:r>
              <w:rPr>
                <w:rFonts w:ascii="Arial" w:cs="Arial" w:eastAsia="Arial" w:hAnsi="Arial"/>
                <w:sz w:val="18"/>
                <w:szCs w:val="18"/>
                <w:color w:val="auto"/>
              </w:rPr>
              <w:t>*   Comcast Corporation Common Stock (at fair value)</w:t>
            </w:r>
          </w:p>
        </w:tc>
        <w:tc>
          <w:tcPr>
            <w:tcW w:w="120" w:type="dxa"/>
            <w:vAlign w:val="bottom"/>
          </w:tcPr>
          <w:p>
            <w:pPr>
              <w:spacing w:after="0"/>
              <w:rPr>
                <w:sz w:val="24"/>
                <w:szCs w:val="24"/>
                <w:color w:val="auto"/>
              </w:rPr>
            </w:pPr>
          </w:p>
        </w:tc>
        <w:tc>
          <w:tcPr>
            <w:tcW w:w="2640" w:type="dxa"/>
            <w:vAlign w:val="bottom"/>
          </w:tcPr>
          <w:p>
            <w:pPr>
              <w:jc w:val="center"/>
              <w:ind w:left="94"/>
              <w:spacing w:after="0"/>
              <w:rPr>
                <w:sz w:val="20"/>
                <w:szCs w:val="20"/>
                <w:color w:val="auto"/>
              </w:rPr>
            </w:pPr>
            <w:r>
              <w:rPr>
                <w:rFonts w:ascii="Arial" w:cs="Arial" w:eastAsia="Arial" w:hAnsi="Arial"/>
                <w:sz w:val="18"/>
                <w:szCs w:val="18"/>
                <w:color w:val="auto"/>
                <w:w w:val="88"/>
              </w:rPr>
              <w:t>Common stock</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3,306,799</w:t>
            </w:r>
          </w:p>
        </w:tc>
        <w:tc>
          <w:tcPr>
            <w:tcW w:w="20" w:type="dxa"/>
            <w:vAlign w:val="bottom"/>
          </w:tcPr>
          <w:p>
            <w:pPr>
              <w:spacing w:after="0"/>
              <w:rPr>
                <w:sz w:val="24"/>
                <w:szCs w:val="24"/>
                <w:color w:val="auto"/>
              </w:rPr>
            </w:pPr>
          </w:p>
        </w:tc>
      </w:tr>
      <w:tr>
        <w:trPr>
          <w:trHeight w:val="110"/>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8"/>
        </w:trPr>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8"/>
              </w:rPr>
              <w:t>Interest rates from 5.25%-10.25%;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20" w:type="dxa"/>
            <w:vAlign w:val="bottom"/>
            <w:shd w:val="clear" w:color="auto" w:fill="CCEEFF"/>
          </w:tcPr>
          <w:p>
            <w:pPr>
              <w:spacing w:after="0"/>
              <w:rPr>
                <w:sz w:val="20"/>
                <w:szCs w:val="20"/>
                <w:color w:val="auto"/>
              </w:rPr>
            </w:pPr>
          </w:p>
        </w:tc>
        <w:tc>
          <w:tcPr>
            <w:tcW w:w="7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Participant loans (at cost, which approximates fair value)</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0"/>
              </w:rPr>
              <w:t>maturities from 2009-2038</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754,251</w:t>
            </w:r>
          </w:p>
        </w:tc>
        <w:tc>
          <w:tcPr>
            <w:tcW w:w="20" w:type="dxa"/>
            <w:vAlign w:val="bottom"/>
          </w:tcPr>
          <w:p>
            <w:pPr>
              <w:spacing w:after="0"/>
              <w:rPr>
                <w:sz w:val="20"/>
                <w:szCs w:val="20"/>
                <w:color w:val="auto"/>
              </w:rPr>
            </w:pPr>
          </w:p>
        </w:tc>
      </w:tr>
      <w:tr>
        <w:trPr>
          <w:trHeight w:val="223"/>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31,541,005</w:t>
            </w:r>
          </w:p>
        </w:tc>
        <w:tc>
          <w:tcPr>
            <w:tcW w:w="2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90"/>
        </w:trPr>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333-101295 of Comcast Corporation on Form S-8 of our report dated June 26, 2009, relating to the statements of net assets available for benefits as of December 31, 2008 and 2007, the related statement of changes in net assets available for benefits for the year ended December 31, 2008 and the related supplemental Schedule H—Line 4i—schedule of assets (held at end of year) as of December 31, 2008, which report appears in the December 31, 2008 Annual Report on Form 11-K of the Comcast Spectacor 401(k)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COMCAST SPECTACOR</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401(k) PLAN</w:t>
      </w:r>
    </w:p>
    <w:p>
      <w:pPr>
        <w:spacing w:after="0" w:line="23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6985</wp:posOffset>
            </wp:positionV>
            <wp:extent cx="275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Controller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2019-12-10T21:40:54Z</dcterms:created>
  <dcterms:modified xsi:type="dcterms:W3CDTF">2019-12-10T21:40:54Z</dcterms:modified>
</cp:coreProperties>
</file>