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720" w:type="dxa"/>
        <w:tblCellMar>
          <w:top w:w="0" w:type="dxa"/>
          <w:left w:w="0" w:type="dxa"/>
          <w:bottom w:w="0" w:type="dxa"/>
          <w:right w:w="0" w:type="dxa"/>
        </w:tblCellMar>
      </w:tblPr>
      <w:tr>
        <w:trPr>
          <w:trHeight w:val="525"/>
        </w:trPr>
        <w:tc>
          <w:tcPr>
            <w:tcW w:w="2720" w:type="dxa"/>
            <w:vAlign w:val="bottom"/>
          </w:tcPr>
          <w:p>
            <w:pPr>
              <w:spacing w:after="0"/>
              <w:rPr>
                <w:sz w:val="24"/>
                <w:szCs w:val="24"/>
                <w:color w:val="auto"/>
              </w:rPr>
            </w:pPr>
          </w:p>
        </w:tc>
        <w:tc>
          <w:tcPr>
            <w:tcW w:w="6720" w:type="dxa"/>
            <w:vAlign w:val="bottom"/>
            <w:gridSpan w:val="3"/>
          </w:tcPr>
          <w:p>
            <w:pPr>
              <w:jc w:val="center"/>
              <w:ind w:right="2108"/>
              <w:spacing w:after="0"/>
              <w:rPr>
                <w:sz w:val="20"/>
                <w:szCs w:val="20"/>
                <w:color w:val="auto"/>
              </w:rPr>
            </w:pPr>
            <w:r>
              <w:rPr>
                <w:rFonts w:ascii="Arial" w:cs="Arial" w:eastAsia="Arial" w:hAnsi="Arial"/>
                <w:sz w:val="43"/>
                <w:szCs w:val="43"/>
                <w:b w:val="1"/>
                <w:bCs w:val="1"/>
                <w:color w:val="auto"/>
                <w:w w:val="91"/>
              </w:rPr>
              <w:t>Comcast Corporation</w:t>
            </w:r>
          </w:p>
        </w:tc>
      </w:tr>
      <w:tr>
        <w:trPr>
          <w:trHeight w:val="234"/>
        </w:trPr>
        <w:tc>
          <w:tcPr>
            <w:tcW w:w="2720" w:type="dxa"/>
            <w:vAlign w:val="bottom"/>
          </w:tcPr>
          <w:p>
            <w:pPr>
              <w:spacing w:after="0"/>
              <w:rPr>
                <w:sz w:val="20"/>
                <w:szCs w:val="20"/>
                <w:color w:val="auto"/>
              </w:rPr>
            </w:pPr>
          </w:p>
        </w:tc>
        <w:tc>
          <w:tcPr>
            <w:tcW w:w="6720" w:type="dxa"/>
            <w:vAlign w:val="bottom"/>
            <w:gridSpan w:val="3"/>
          </w:tcPr>
          <w:p>
            <w:pPr>
              <w:jc w:val="center"/>
              <w:ind w:right="2088"/>
              <w:spacing w:after="0"/>
              <w:rPr>
                <w:sz w:val="20"/>
                <w:szCs w:val="20"/>
                <w:color w:val="auto"/>
              </w:rPr>
            </w:pPr>
            <w:r>
              <w:rPr>
                <w:rFonts w:ascii="Arial" w:cs="Arial" w:eastAsia="Arial" w:hAnsi="Arial"/>
                <w:sz w:val="18"/>
                <w:szCs w:val="18"/>
                <w:b w:val="1"/>
                <w:bCs w:val="1"/>
                <w:color w:val="auto"/>
                <w:w w:val="91"/>
              </w:rPr>
              <w:t>(Exact Name of Registrant as Specified in Charter)</w:t>
            </w:r>
          </w:p>
        </w:tc>
      </w:tr>
      <w:tr>
        <w:trPr>
          <w:trHeight w:val="365"/>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260" w:type="dxa"/>
            <w:vAlign w:val="bottom"/>
          </w:tcPr>
          <w:p>
            <w:pPr>
              <w:spacing w:after="0"/>
              <w:rPr>
                <w:sz w:val="24"/>
                <w:szCs w:val="24"/>
                <w:color w:val="auto"/>
              </w:rPr>
            </w:pPr>
          </w:p>
        </w:tc>
      </w:tr>
      <w:tr>
        <w:trPr>
          <w:trHeight w:val="403"/>
        </w:trPr>
        <w:tc>
          <w:tcPr>
            <w:tcW w:w="2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40" w:type="dxa"/>
            <w:vAlign w:val="bottom"/>
            <w:gridSpan w:val="2"/>
          </w:tcPr>
          <w:p>
            <w:pPr>
              <w:jc w:val="center"/>
              <w:ind w:right="3188"/>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720" w:type="dxa"/>
            <w:vAlign w:val="bottom"/>
          </w:tcPr>
          <w:p>
            <w:pPr>
              <w:spacing w:after="0"/>
              <w:rPr>
                <w:sz w:val="16"/>
                <w:szCs w:val="16"/>
                <w:color w:val="auto"/>
              </w:rPr>
            </w:pPr>
          </w:p>
        </w:tc>
        <w:tc>
          <w:tcPr>
            <w:tcW w:w="6720" w:type="dxa"/>
            <w:vAlign w:val="bottom"/>
            <w:gridSpan w:val="3"/>
          </w:tcPr>
          <w:p>
            <w:pPr>
              <w:jc w:val="center"/>
              <w:ind w:right="2108"/>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72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001-32871</w:t>
            </w:r>
          </w:p>
        </w:tc>
        <w:tc>
          <w:tcPr>
            <w:tcW w:w="6720" w:type="dxa"/>
            <w:vAlign w:val="bottom"/>
            <w:gridSpan w:val="3"/>
          </w:tcPr>
          <w:p>
            <w:pPr>
              <w:jc w:val="center"/>
              <w:ind w:left="5488"/>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7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2"/>
              </w:rPr>
              <w:t>(Commission</w:t>
            </w:r>
          </w:p>
        </w:tc>
        <w:tc>
          <w:tcPr>
            <w:tcW w:w="10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60" w:type="dxa"/>
            <w:vAlign w:val="bottom"/>
          </w:tcPr>
          <w:p>
            <w:pPr>
              <w:jc w:val="center"/>
              <w:ind w:left="20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File Number)</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60" w:type="dxa"/>
            <w:vAlign w:val="bottom"/>
          </w:tcPr>
          <w:p>
            <w:pPr>
              <w:jc w:val="center"/>
              <w:ind w:left="2068"/>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72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One Comcast Center</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25"/>
        </w:trPr>
        <w:tc>
          <w:tcPr>
            <w:tcW w:w="2720" w:type="dxa"/>
            <w:vAlign w:val="bottom"/>
          </w:tcPr>
          <w:p>
            <w:pPr>
              <w:jc w:val="center"/>
              <w:ind w:right="199"/>
              <w:spacing w:after="0"/>
              <w:rPr>
                <w:sz w:val="20"/>
                <w:szCs w:val="20"/>
                <w:color w:val="auto"/>
              </w:rPr>
            </w:pPr>
            <w:r>
              <w:rPr>
                <w:rFonts w:ascii="Arial" w:cs="Arial" w:eastAsia="Arial" w:hAnsi="Arial"/>
                <w:sz w:val="18"/>
                <w:szCs w:val="18"/>
                <w:b w:val="1"/>
                <w:bCs w:val="1"/>
                <w:color w:val="auto"/>
                <w:w w:val="90"/>
              </w:rPr>
              <w:t>Philadelphia, PA</w:t>
            </w:r>
          </w:p>
        </w:tc>
        <w:tc>
          <w:tcPr>
            <w:tcW w:w="6720" w:type="dxa"/>
            <w:vAlign w:val="bottom"/>
            <w:gridSpan w:val="3"/>
          </w:tcPr>
          <w:p>
            <w:pPr>
              <w:jc w:val="center"/>
              <w:ind w:left="5488"/>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720" w:type="dxa"/>
            <w:vAlign w:val="bottom"/>
          </w:tcPr>
          <w:p>
            <w:pPr>
              <w:jc w:val="center"/>
              <w:ind w:right="1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60" w:type="dxa"/>
            <w:vAlign w:val="bottom"/>
          </w:tcPr>
          <w:p>
            <w:pPr>
              <w:jc w:val="center"/>
              <w:ind w:left="2068"/>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34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ind w:left="460"/>
        <w:spacing w:after="0"/>
        <w:tabs>
          <w:tab w:leader="none" w:pos="1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On February 8, 2018 Comcast Corporation (“Comcast”) consummated the issuance and sale of $1,000,000,000 aggregate principal amount of its 3.550% Notes due 2028, $1,200,000,000 aggregate principal amount of its 3.900% Notes due 2038 and $1,000,000,000 aggregate principal amount of its</w:t>
      </w:r>
    </w:p>
    <w:p>
      <w:pPr>
        <w:ind w:right="120"/>
        <w:spacing w:after="0" w:line="290" w:lineRule="auto"/>
        <w:rPr>
          <w:sz w:val="20"/>
          <w:szCs w:val="20"/>
          <w:color w:val="auto"/>
        </w:rPr>
      </w:pPr>
      <w:r>
        <w:rPr>
          <w:rFonts w:ascii="Arial" w:cs="Arial" w:eastAsia="Arial" w:hAnsi="Arial"/>
          <w:sz w:val="16"/>
          <w:szCs w:val="16"/>
          <w:color w:val="auto"/>
        </w:rPr>
        <w:t>4.000% Notes due 2048 (collectively, the “Notes”), pursuant to an underwriting agreement dated February 1, 2018 among Comcast, the Guarantors (defined below) and Barclays Capital Inc., TD Securities (USA) LLC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spacing w:after="0" w:line="164" w:lineRule="exact"/>
        <w:rPr>
          <w:sz w:val="20"/>
          <w:szCs w:val="20"/>
          <w:color w:val="auto"/>
        </w:rPr>
      </w:pPr>
    </w:p>
    <w:p>
      <w:pPr>
        <w:ind w:right="320" w:firstLine="913"/>
        <w:spacing w:after="0" w:line="342" w:lineRule="auto"/>
        <w:rPr>
          <w:sz w:val="20"/>
          <w:szCs w:val="20"/>
          <w:color w:val="auto"/>
        </w:rPr>
      </w:pPr>
      <w:r>
        <w:rPr>
          <w:rFonts w:ascii="Arial" w:cs="Arial" w:eastAsia="Arial" w:hAnsi="Arial"/>
          <w:sz w:val="16"/>
          <w:szCs w:val="16"/>
          <w:color w:val="auto"/>
        </w:rPr>
        <w:t>The Notes were offered pursuant to Comcast’s Registration Statement on Form S-3 filed on July 28, 2016, as amended at the date of the underwriting agreement (Reg. No. 333-212719), including the prospectus contained therein, and a related prospectus supplement dated February 1, 2018.</w:t>
      </w:r>
    </w:p>
    <w:p>
      <w:pPr>
        <w:spacing w:after="0" w:line="124"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The material terms and conditions of the Notes are set forth in the Form of Officers’ Certificate filed herewith as Exhibit 4.1 and incorporated by reference herein and in the Base Indenture and First Supplemental Indenture, which are incorporated by reference as Exhibit 4.3 and Exhibit 4.4, respectively, to Comcast’s Registration Statement on Form S-3 filed on July 28, 2016, and incorporated by reference herein.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9.01(d)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80" w:type="dxa"/>
            <w:vAlign w:val="bottom"/>
            <w:gridSpan w:val="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2"/>
                <w:szCs w:val="22"/>
                <w:color w:val="auto"/>
              </w:rPr>
            </w:pPr>
          </w:p>
        </w:tc>
        <w:tc>
          <w:tcPr>
            <w:tcW w:w="4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Form of Officers’ Certificate setting forth the terms of the Notes</w:t>
              </w:r>
            </w:hyperlink>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24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Opinion of Arthur R. Block, Esq.</w:t>
              </w:r>
            </w:hyperlink>
          </w:p>
        </w:tc>
        <w:tc>
          <w:tcPr>
            <w:tcW w:w="2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29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Opinion of Davis Polk &amp; Wardwell LLP</w:t>
              </w:r>
            </w:hyperlink>
          </w:p>
        </w:tc>
        <w:tc>
          <w:tcPr>
            <w:tcW w:w="1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4800" w:type="dxa"/>
            <w:vAlign w:val="bottom"/>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Consent of Arthur R. Block, Esq. (contained in Exhibit 5.1)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560" w:type="dxa"/>
            <w:vAlign w:val="bottom"/>
          </w:tcPr>
          <w:p>
            <w:pPr>
              <w:spacing w:after="0"/>
              <w:rPr>
                <w:sz w:val="24"/>
                <w:szCs w:val="24"/>
                <w:color w:val="auto"/>
              </w:rPr>
            </w:pPr>
          </w:p>
        </w:tc>
        <w:tc>
          <w:tcPr>
            <w:tcW w:w="48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Consent of Davis Polk &amp; Wardwell LLP (contained in Exhibit 5.2)</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February 8, 2018</w:t>
      </w:r>
      <w:r>
        <w:rPr>
          <w:sz w:val="20"/>
          <w:szCs w:val="20"/>
          <w:color w:val="auto"/>
        </w:rPr>
        <w:tab/>
      </w:r>
      <w:r>
        <w:rPr>
          <w:rFonts w:ascii="Arial" w:cs="Arial" w:eastAsia="Arial" w:hAnsi="Arial"/>
          <w:sz w:val="17"/>
          <w:szCs w:val="17"/>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Executive Vice President, General Counsel and Secretary</w:t>
      </w:r>
    </w:p>
    <w:p>
      <w:pPr>
        <w:sectPr>
          <w:pgSz w:w="11900" w:h="16838" w:orient="portrait"/>
          <w:cols w:equalWidth="0" w:num="1">
            <w:col w:w="11200"/>
          </w:cols>
          <w:pgMar w:left="240" w:top="27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8,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Section 2.03 of the Indenture dated as of September 18, 2013,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guarantors named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November 17,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amended, the “</w:t>
      </w:r>
      <w:r>
        <w:rPr>
          <w:rFonts w:ascii="Arial" w:cs="Arial" w:eastAsia="Arial" w:hAnsi="Arial"/>
          <w:sz w:val="17"/>
          <w:szCs w:val="17"/>
          <w:b w:val="1"/>
          <w:bCs w:val="1"/>
          <w:color w:val="auto"/>
        </w:rPr>
        <w:t>Indenture</w:t>
      </w:r>
      <w:r>
        <w:rPr>
          <w:rFonts w:ascii="Arial" w:cs="Arial" w:eastAsia="Arial" w:hAnsi="Arial"/>
          <w:sz w:val="17"/>
          <w:szCs w:val="17"/>
          <w:color w:val="auto"/>
        </w:rPr>
        <w:t>”), by and among the Company, the guarantors named therein and the Trustee, and guaranteed on an unsecured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unsubordinated basis by Comcast Cable Communications, LLC and NBCUniversal Media, LLC, the undersigned officers of the Company do hereby certify,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issuance of the Company’s $1,000,000,000 aggregate principal amount of 3.550% Notes Due 2028 (the “</w:t>
      </w:r>
      <w:r>
        <w:rPr>
          <w:rFonts w:ascii="Arial" w:cs="Arial" w:eastAsia="Arial" w:hAnsi="Arial"/>
          <w:sz w:val="18"/>
          <w:szCs w:val="18"/>
          <w:b w:val="1"/>
          <w:bCs w:val="1"/>
          <w:color w:val="auto"/>
        </w:rPr>
        <w:t>2028 Notes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$1,200,000,000 aggregate principal amount of 3.900% Notes Due 2038 (the “</w:t>
      </w:r>
      <w:r>
        <w:rPr>
          <w:rFonts w:ascii="Arial" w:cs="Arial" w:eastAsia="Arial" w:hAnsi="Arial"/>
          <w:sz w:val="16"/>
          <w:szCs w:val="16"/>
          <w:b w:val="1"/>
          <w:bCs w:val="1"/>
          <w:color w:val="auto"/>
        </w:rPr>
        <w:t>2038 Notes</w:t>
      </w:r>
      <w:r>
        <w:rPr>
          <w:rFonts w:ascii="Arial" w:cs="Arial" w:eastAsia="Arial" w:hAnsi="Arial"/>
          <w:sz w:val="16"/>
          <w:szCs w:val="16"/>
          <w:color w:val="auto"/>
        </w:rPr>
        <w:t>”) and $1,000,000,000 aggregate principal amount of 4.000%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2048 (the “</w:t>
      </w:r>
      <w:r>
        <w:rPr>
          <w:rFonts w:ascii="Arial" w:cs="Arial" w:eastAsia="Arial" w:hAnsi="Arial"/>
          <w:sz w:val="18"/>
          <w:szCs w:val="18"/>
          <w:b w:val="1"/>
          <w:bCs w:val="1"/>
          <w:color w:val="auto"/>
        </w:rPr>
        <w:t>2048 Notes</w:t>
      </w:r>
      <w:r>
        <w:rPr>
          <w:rFonts w:ascii="Arial" w:cs="Arial" w:eastAsia="Arial" w:hAnsi="Arial"/>
          <w:sz w:val="18"/>
          <w:szCs w:val="18"/>
          <w:color w:val="auto"/>
        </w:rPr>
        <w:t>,” and together with the 2028 Notes and 2038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550%</w:t>
            </w:r>
            <w:r>
              <w:rPr>
                <w:rFonts w:ascii="Arial" w:cs="Arial" w:eastAsia="Arial" w:hAnsi="Arial"/>
                <w:sz w:val="18"/>
                <w:szCs w:val="18"/>
                <w:b w:val="1"/>
                <w:bCs w:val="1"/>
                <w:color w:val="auto"/>
              </w:rPr>
              <w:t xml:space="preserve"> Notes Due 2028</w:t>
            </w:r>
          </w:p>
        </w:tc>
      </w:tr>
      <w:tr>
        <w:trPr>
          <w:trHeight w:val="20"/>
        </w:trPr>
        <w:tc>
          <w:tcPr>
            <w:tcW w:w="3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453"/>
        </w:trPr>
        <w:tc>
          <w:tcPr>
            <w:tcW w:w="36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rPr>
              <w:t>3.550% Notes Due 2028</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940" w:type="dxa"/>
            <w:vAlign w:val="bottom"/>
            <w:gridSpan w:val="2"/>
          </w:tcPr>
          <w:p>
            <w:pPr>
              <w:ind w:left="680"/>
              <w:spacing w:after="0"/>
              <w:rPr>
                <w:sz w:val="20"/>
                <w:szCs w:val="20"/>
                <w:color w:val="auto"/>
              </w:rPr>
            </w:pPr>
            <w:r>
              <w:rPr>
                <w:rFonts w:ascii="Arial" w:cs="Arial" w:eastAsia="Arial" w:hAnsi="Arial"/>
                <w:sz w:val="18"/>
                <w:szCs w:val="18"/>
                <w:color w:val="auto"/>
              </w:rPr>
              <w:t>$1,000,000,000</w:t>
            </w:r>
          </w:p>
        </w:tc>
        <w:tc>
          <w:tcPr>
            <w:tcW w:w="4780" w:type="dxa"/>
            <w:vAlign w:val="bottom"/>
          </w:tcPr>
          <w:p>
            <w:pPr>
              <w:spacing w:after="0"/>
              <w:rPr>
                <w:sz w:val="24"/>
                <w:szCs w:val="24"/>
                <w:color w:val="auto"/>
              </w:rPr>
            </w:pP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rPr>
              <w:t>May 1, 2028</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940" w:type="dxa"/>
            <w:vAlign w:val="bottom"/>
            <w:gridSpan w:val="2"/>
          </w:tcPr>
          <w:p>
            <w:pPr>
              <w:ind w:left="680"/>
              <w:spacing w:after="0"/>
              <w:rPr>
                <w:sz w:val="20"/>
                <w:szCs w:val="20"/>
                <w:color w:val="auto"/>
              </w:rPr>
            </w:pPr>
            <w:r>
              <w:rPr>
                <w:rFonts w:ascii="Arial" w:cs="Arial" w:eastAsia="Arial" w:hAnsi="Arial"/>
                <w:sz w:val="18"/>
                <w:szCs w:val="18"/>
                <w:color w:val="auto"/>
              </w:rPr>
              <w:t>3.550%</w:t>
            </w:r>
          </w:p>
        </w:tc>
        <w:tc>
          <w:tcPr>
            <w:tcW w:w="4780" w:type="dxa"/>
            <w:vAlign w:val="bottom"/>
          </w:tcPr>
          <w:p>
            <w:pPr>
              <w:spacing w:after="0"/>
              <w:rPr>
                <w:sz w:val="24"/>
                <w:szCs w:val="24"/>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3"/>
              </w:rPr>
              <w:t>The Company may at its option redeem the 2028 Notes in whole or in part, at any time or from</w:t>
            </w:r>
          </w:p>
        </w:tc>
      </w:tr>
      <w:tr>
        <w:trPr>
          <w:trHeight w:val="216"/>
        </w:trPr>
        <w:tc>
          <w:tcPr>
            <w:tcW w:w="3680" w:type="dxa"/>
            <w:vAlign w:val="bottom"/>
          </w:tcPr>
          <w:p>
            <w:pPr>
              <w:spacing w:after="0"/>
              <w:rPr>
                <w:sz w:val="18"/>
                <w:szCs w:val="18"/>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4"/>
              </w:rPr>
              <w:t>time to time prior to their maturity, on at least 15 days, but not more than 30 days, prior notice</w:t>
            </w:r>
          </w:p>
        </w:tc>
      </w:tr>
      <w:tr>
        <w:trPr>
          <w:trHeight w:val="216"/>
        </w:trPr>
        <w:tc>
          <w:tcPr>
            <w:tcW w:w="3680" w:type="dxa"/>
            <w:vAlign w:val="bottom"/>
          </w:tcPr>
          <w:p>
            <w:pPr>
              <w:spacing w:after="0"/>
              <w:rPr>
                <w:sz w:val="18"/>
                <w:szCs w:val="18"/>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2"/>
              </w:rPr>
              <w:t>delivered electronically or mailed to the registered address of each holder of the 2028 Notes, at</w:t>
            </w:r>
          </w:p>
        </w:tc>
      </w:tr>
      <w:tr>
        <w:trPr>
          <w:trHeight w:val="216"/>
        </w:trPr>
        <w:tc>
          <w:tcPr>
            <w:tcW w:w="3680" w:type="dxa"/>
            <w:vAlign w:val="bottom"/>
          </w:tcPr>
          <w:p>
            <w:pPr>
              <w:spacing w:after="0"/>
              <w:rPr>
                <w:sz w:val="18"/>
                <w:szCs w:val="18"/>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3"/>
              </w:rPr>
              <w:t>the “Redemption Price.” The Company will calculate the Redemption Price in connnection with</w:t>
            </w:r>
          </w:p>
        </w:tc>
      </w:tr>
      <w:tr>
        <w:trPr>
          <w:trHeight w:val="216"/>
        </w:trPr>
        <w:tc>
          <w:tcPr>
            <w:tcW w:w="3680" w:type="dxa"/>
            <w:vAlign w:val="bottom"/>
          </w:tcPr>
          <w:p>
            <w:pPr>
              <w:spacing w:after="0"/>
              <w:rPr>
                <w:sz w:val="18"/>
                <w:szCs w:val="18"/>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3"/>
              </w:rPr>
              <w:t>any redemption hereunder. Prior to February 1, 2028 (three months prior to the maturity of the</w:t>
            </w:r>
          </w:p>
        </w:tc>
      </w:tr>
      <w:tr>
        <w:trPr>
          <w:trHeight w:val="216"/>
        </w:trPr>
        <w:tc>
          <w:tcPr>
            <w:tcW w:w="3680" w:type="dxa"/>
            <w:vAlign w:val="bottom"/>
          </w:tcPr>
          <w:p>
            <w:pPr>
              <w:spacing w:after="0"/>
              <w:rPr>
                <w:sz w:val="18"/>
                <w:szCs w:val="18"/>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4"/>
              </w:rPr>
              <w:t>2028 Notes) (the “2028 Par Call Date”), the Redemption Price is the greater of (i) 100% of the</w:t>
            </w:r>
          </w:p>
        </w:tc>
      </w:tr>
      <w:tr>
        <w:trPr>
          <w:trHeight w:val="216"/>
        </w:trPr>
        <w:tc>
          <w:tcPr>
            <w:tcW w:w="3680" w:type="dxa"/>
            <w:vAlign w:val="bottom"/>
          </w:tcPr>
          <w:p>
            <w:pPr>
              <w:spacing w:after="0"/>
              <w:rPr>
                <w:sz w:val="18"/>
                <w:szCs w:val="18"/>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w w:val="90"/>
              </w:rPr>
              <w:t>principal amount of the 2028 Notes, and (ii) the sum of the present values of the principal amount</w:t>
            </w:r>
          </w:p>
        </w:tc>
      </w:tr>
      <w:tr>
        <w:trPr>
          <w:trHeight w:val="230"/>
        </w:trPr>
        <w:tc>
          <w:tcPr>
            <w:tcW w:w="3680" w:type="dxa"/>
            <w:vAlign w:val="bottom"/>
          </w:tcPr>
          <w:p>
            <w:pPr>
              <w:spacing w:after="0"/>
              <w:rPr>
                <w:sz w:val="20"/>
                <w:szCs w:val="20"/>
                <w:color w:val="auto"/>
              </w:rPr>
            </w:pPr>
          </w:p>
        </w:tc>
        <w:tc>
          <w:tcPr>
            <w:tcW w:w="7720" w:type="dxa"/>
            <w:vAlign w:val="bottom"/>
            <w:gridSpan w:val="3"/>
          </w:tcPr>
          <w:p>
            <w:pPr>
              <w:ind w:left="680"/>
              <w:spacing w:after="0"/>
              <w:rPr>
                <w:sz w:val="20"/>
                <w:szCs w:val="20"/>
                <w:color w:val="auto"/>
              </w:rPr>
            </w:pPr>
            <w:r>
              <w:rPr>
                <w:rFonts w:ascii="Arial" w:cs="Arial" w:eastAsia="Arial" w:hAnsi="Arial"/>
                <w:sz w:val="18"/>
                <w:szCs w:val="18"/>
                <w:color w:val="auto"/>
              </w:rPr>
              <w:t>of such notes and the scheduled</w:t>
            </w: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3"/>
              </w:rPr>
              <w:t>payments of interest thereon (exclusive of interest accrued to the date of redemption) from the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1"/>
              </w:rPr>
              <w:t>redemption date to the 2028 Par Call Date, in each case discounted to the redemption date on a</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1"/>
              </w:rPr>
              <w:t>semiannual basis (assuming a 360-day year consisting of twelve 30-day months) at the Treasury</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0"/>
              </w:rPr>
              <w:t>Rate (as defined in the 2028 Notes) plus 15 basis points. On and after the 2028 Par Call Date, the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1"/>
              </w:rPr>
              <w:t>Redemption Price will equal 100% of the principal amount of such notes. In each case described</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3"/>
              </w:rPr>
              <w:t>in this paragraph, the Redemption Price will include accrued and unpaid interest thereon to the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89"/>
              </w:rPr>
              <w:t>date of redemption, and in each case described in this paragraph, subject to the further description</w:t>
            </w:r>
          </w:p>
        </w:tc>
      </w:tr>
      <w:tr>
        <w:trPr>
          <w:trHeight w:val="230"/>
        </w:trPr>
        <w:tc>
          <w:tcPr>
            <w:tcW w:w="3680" w:type="dxa"/>
            <w:vAlign w:val="bottom"/>
          </w:tcPr>
          <w:p>
            <w:pPr>
              <w:spacing w:after="0"/>
              <w:rPr>
                <w:sz w:val="20"/>
                <w:szCs w:val="20"/>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in the Prospectus Supplement dated February 1, 2018.</w:t>
            </w:r>
          </w:p>
        </w:tc>
      </w:tr>
      <w:tr>
        <w:trPr>
          <w:trHeight w:val="310"/>
        </w:trPr>
        <w:tc>
          <w:tcPr>
            <w:tcW w:w="36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89"/>
              </w:rPr>
              <w:t>The 2028 Notes need not be issued at the same time and the series may be reopened for issuance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6"/>
              </w:rPr>
              <w:t>of an unlimited principal amount of additional 2028 Notes under this series. Additional 2028</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4"/>
              </w:rPr>
              <w:t>Notes of this series may be consolidated with, and form a single series with, 2028 Notes then</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0"/>
              </w:rPr>
              <w:t>outstanding, including for purposes of determining whether the required percentage of the holders</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5"/>
              </w:rPr>
              <w:t>of record has given approval or consent to an amendment or waiver or joined in directing the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6"/>
              </w:rPr>
              <w:t>Trustee to take certain actions on behalf of all holders; provided that if such additional 2028</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Notes are not fungible with the 2028 Notes then outstanding for U.S. federal income tax</w:t>
            </w:r>
          </w:p>
        </w:tc>
      </w:tr>
      <w:tr>
        <w:trPr>
          <w:trHeight w:val="230"/>
        </w:trPr>
        <w:tc>
          <w:tcPr>
            <w:tcW w:w="3680" w:type="dxa"/>
            <w:vAlign w:val="bottom"/>
          </w:tcPr>
          <w:p>
            <w:pPr>
              <w:spacing w:after="0"/>
              <w:rPr>
                <w:sz w:val="20"/>
                <w:szCs w:val="20"/>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purposes, such additional 2028 Notes will have one or more separate CUSIP numbers.</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None</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None</w:t>
            </w:r>
          </w:p>
        </w:tc>
      </w:tr>
      <w:tr>
        <w:trPr>
          <w:trHeight w:val="306"/>
        </w:trPr>
        <w:tc>
          <w:tcPr>
            <w:tcW w:w="36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2"/>
              </w:rPr>
              <w:t>The terms of the 2028 Notes shall include such other terms as are set forth in the Form of Note</w:t>
            </w:r>
          </w:p>
        </w:tc>
      </w:tr>
      <w:tr>
        <w:trPr>
          <w:trHeight w:val="194"/>
        </w:trPr>
        <w:tc>
          <w:tcPr>
            <w:tcW w:w="3680" w:type="dxa"/>
            <w:vAlign w:val="bottom"/>
          </w:tcPr>
          <w:p>
            <w:pPr>
              <w:spacing w:after="0"/>
              <w:rPr>
                <w:sz w:val="16"/>
                <w:szCs w:val="16"/>
                <w:color w:val="auto"/>
              </w:rPr>
            </w:pPr>
          </w:p>
        </w:tc>
        <w:tc>
          <w:tcPr>
            <w:tcW w:w="7720" w:type="dxa"/>
            <w:vAlign w:val="bottom"/>
            <w:gridSpan w:val="5"/>
          </w:tcPr>
          <w:p>
            <w:pPr>
              <w:ind w:left="680"/>
              <w:spacing w:after="0" w:line="194" w:lineRule="exact"/>
              <w:rPr>
                <w:sz w:val="20"/>
                <w:szCs w:val="20"/>
                <w:color w:val="auto"/>
              </w:rPr>
            </w:pPr>
            <w:r>
              <w:rPr>
                <w:rFonts w:ascii="Arial" w:cs="Arial" w:eastAsia="Arial" w:hAnsi="Arial"/>
                <w:sz w:val="18"/>
                <w:szCs w:val="18"/>
                <w:color w:val="auto"/>
              </w:rPr>
              <w:t xml:space="preserve">Due 2028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628"/>
        </w:trPr>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900%</w:t>
            </w:r>
            <w:r>
              <w:rPr>
                <w:rFonts w:ascii="Arial" w:cs="Arial" w:eastAsia="Arial" w:hAnsi="Arial"/>
                <w:sz w:val="18"/>
                <w:szCs w:val="18"/>
                <w:b w:val="1"/>
                <w:bCs w:val="1"/>
                <w:color w:val="auto"/>
              </w:rPr>
              <w:t xml:space="preserve"> Notes Due 2038</w:t>
            </w:r>
          </w:p>
        </w:tc>
      </w:tr>
      <w:tr>
        <w:trPr>
          <w:trHeight w:val="20"/>
        </w:trPr>
        <w:tc>
          <w:tcPr>
            <w:tcW w:w="3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453"/>
        </w:trPr>
        <w:tc>
          <w:tcPr>
            <w:tcW w:w="36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3.900% Notes Due 2038</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760" w:type="dxa"/>
            <w:vAlign w:val="bottom"/>
            <w:gridSpan w:val="2"/>
          </w:tcPr>
          <w:p>
            <w:pPr>
              <w:ind w:left="680"/>
              <w:spacing w:after="0"/>
              <w:rPr>
                <w:sz w:val="20"/>
                <w:szCs w:val="20"/>
                <w:color w:val="auto"/>
              </w:rPr>
            </w:pPr>
            <w:r>
              <w:rPr>
                <w:rFonts w:ascii="Arial" w:cs="Arial" w:eastAsia="Arial" w:hAnsi="Arial"/>
                <w:sz w:val="18"/>
                <w:szCs w:val="18"/>
                <w:color w:val="auto"/>
              </w:rPr>
              <w:t>$1,200,000,000</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March 1,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-201295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640" w:space="720"/>
            <w:col w:w="7040"/>
          </w:cols>
          <w:pgMar w:left="240" w:top="274" w:right="259" w:bottom="1440" w:gutter="0" w:footer="0" w:header="0"/>
        </w:sectPr>
      </w:pPr>
    </w:p>
    <w:p>
      <w:pPr>
        <w:spacing w:after="0"/>
        <w:rPr>
          <w:sz w:val="20"/>
          <w:szCs w:val="20"/>
          <w:color w:val="auto"/>
        </w:rPr>
      </w:pPr>
      <w:r>
        <w:rPr>
          <w:rFonts w:ascii="Arial" w:cs="Arial" w:eastAsia="Arial" w:hAnsi="Arial"/>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3.900%</w:t>
      </w:r>
    </w:p>
    <w:p>
      <w:pPr>
        <w:spacing w:after="0" w:line="140" w:lineRule="exact"/>
        <w:rPr>
          <w:sz w:val="20"/>
          <w:szCs w:val="20"/>
          <w:color w:val="auto"/>
        </w:rPr>
      </w:pPr>
    </w:p>
    <w:p>
      <w:pPr>
        <w:sectPr>
          <w:pgSz w:w="11900" w:h="16838" w:orient="portrait"/>
          <w:cols w:equalWidth="0" w:num="2">
            <w:col w:w="3640" w:space="720"/>
            <w:col w:w="70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The Company may at its option redeem the 2038 Notes in whole or in part, at any time or from time to time prior to their maturity, on at least 15 days, but not more than 30 days, prior notice delivered electronically or mailed to the registered address of each holder of the 2038 Notes, at the “Redemption Price.” The Company will calculate the Redemption Price in connnection with any redemption hereunder. Prior to September 1, 2037 (six months prior to the maturity of the 2038 Notes) (the “2038 Par Call Date”), the Redemption Price is the greater of (i) 100% of the principal amount of the 2038 Notes, and (ii) the sum of the present values of the principal amount of such notes and the scheduled payments of interest thereon (exclusive of interest accrued to the date of redemption) from the redemption date to the 2038 Par Call Date, in each case discounted to the redemption date on a semiannual basis (assuming a 360-day year consisting of twelve 30-day months) at the Treasury Rate (as defined in the 2038 Notes) plus 15 basis points. On and after the 2038 Par Call Date, the Redemption Price will equal 100% of the principal amount of such notes. In each case described in this paragraph, the Redemption Price will include accrued and unpaid interest thereon to the date of redemption, and in each case described in this paragraph, subject to the further description in the Prospectus Supplement dated February 1, 2018.</w:t>
      </w:r>
    </w:p>
    <w:p>
      <w:pPr>
        <w:spacing w:after="0" w:line="73" w:lineRule="exact"/>
        <w:rPr>
          <w:sz w:val="20"/>
          <w:szCs w:val="20"/>
          <w:color w:val="auto"/>
        </w:rPr>
      </w:pPr>
    </w:p>
    <w:p>
      <w:pPr>
        <w:sectPr>
          <w:pgSz w:w="11900" w:h="16838" w:orient="portrait"/>
          <w:cols w:equalWidth="0" w:num="2">
            <w:col w:w="3640" w:space="720"/>
            <w:col w:w="704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2038 Notes need not be issued at the same time and the series may be reopened for issuance of an unlimited principal amount of additional 2038 Notes under this series. Additional 2038 Notes of this series may be consolidated with, and form a single series with, 2038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2038 Notes are not fungible with the 2038 Notes then outstanding for U.S. federal income tax purposes, such additional 2038 Notes will have one or more separate CUSIP numbers.</w:t>
      </w:r>
    </w:p>
    <w:p>
      <w:pPr>
        <w:sectPr>
          <w:pgSz w:w="11900" w:h="16838" w:orient="portrait"/>
          <w:cols w:equalWidth="0" w:num="2">
            <w:col w:w="3640" w:space="720"/>
            <w:col w:w="7040"/>
          </w:cols>
          <w:pgMar w:left="240" w:top="274"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None</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None</w:t>
            </w:r>
          </w:p>
        </w:tc>
      </w:tr>
      <w:tr>
        <w:trPr>
          <w:trHeight w:val="306"/>
        </w:trPr>
        <w:tc>
          <w:tcPr>
            <w:tcW w:w="36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2"/>
              </w:rPr>
              <w:t>The terms of the 2038 Notes shall include such other terms as are set forth in the Form of Note</w:t>
            </w:r>
          </w:p>
        </w:tc>
      </w:tr>
      <w:tr>
        <w:trPr>
          <w:trHeight w:val="194"/>
        </w:trPr>
        <w:tc>
          <w:tcPr>
            <w:tcW w:w="3680" w:type="dxa"/>
            <w:vAlign w:val="bottom"/>
          </w:tcPr>
          <w:p>
            <w:pPr>
              <w:spacing w:after="0"/>
              <w:rPr>
                <w:sz w:val="16"/>
                <w:szCs w:val="16"/>
                <w:color w:val="auto"/>
              </w:rPr>
            </w:pPr>
          </w:p>
        </w:tc>
        <w:tc>
          <w:tcPr>
            <w:tcW w:w="7720" w:type="dxa"/>
            <w:vAlign w:val="bottom"/>
            <w:gridSpan w:val="5"/>
          </w:tcPr>
          <w:p>
            <w:pPr>
              <w:ind w:left="680"/>
              <w:spacing w:after="0" w:line="194" w:lineRule="exact"/>
              <w:rPr>
                <w:sz w:val="20"/>
                <w:szCs w:val="20"/>
                <w:color w:val="auto"/>
              </w:rPr>
            </w:pPr>
            <w:r>
              <w:rPr>
                <w:rFonts w:ascii="Arial" w:cs="Arial" w:eastAsia="Arial" w:hAnsi="Arial"/>
                <w:sz w:val="18"/>
                <w:szCs w:val="18"/>
                <w:color w:val="auto"/>
              </w:rPr>
              <w:t xml:space="preserve">Due 2038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628"/>
        </w:trPr>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000%</w:t>
            </w:r>
            <w:r>
              <w:rPr>
                <w:rFonts w:ascii="Arial" w:cs="Arial" w:eastAsia="Arial" w:hAnsi="Arial"/>
                <w:sz w:val="18"/>
                <w:szCs w:val="18"/>
                <w:b w:val="1"/>
                <w:bCs w:val="1"/>
                <w:color w:val="auto"/>
              </w:rPr>
              <w:t xml:space="preserve"> Notes Due 2048</w:t>
            </w:r>
          </w:p>
        </w:tc>
      </w:tr>
      <w:tr>
        <w:trPr>
          <w:trHeight w:val="20"/>
        </w:trPr>
        <w:tc>
          <w:tcPr>
            <w:tcW w:w="3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453"/>
        </w:trPr>
        <w:tc>
          <w:tcPr>
            <w:tcW w:w="368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4.000% Notes Due 2048</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760" w:type="dxa"/>
            <w:vAlign w:val="bottom"/>
            <w:gridSpan w:val="2"/>
          </w:tcPr>
          <w:p>
            <w:pPr>
              <w:ind w:left="680"/>
              <w:spacing w:after="0"/>
              <w:rPr>
                <w:sz w:val="20"/>
                <w:szCs w:val="20"/>
                <w:color w:val="auto"/>
              </w:rPr>
            </w:pPr>
            <w:r>
              <w:rPr>
                <w:rFonts w:ascii="Arial" w:cs="Arial" w:eastAsia="Arial" w:hAnsi="Arial"/>
                <w:sz w:val="18"/>
                <w:szCs w:val="18"/>
                <w:color w:val="auto"/>
              </w:rPr>
              <w:t>$1,000,000,000</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rPr>
              <w:t>March 1, 2048</w:t>
            </w:r>
          </w:p>
        </w:tc>
      </w:tr>
      <w:tr>
        <w:trPr>
          <w:trHeight w:val="324"/>
        </w:trPr>
        <w:tc>
          <w:tcPr>
            <w:tcW w:w="368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60" w:type="dxa"/>
            <w:vAlign w:val="bottom"/>
            <w:gridSpan w:val="2"/>
          </w:tcPr>
          <w:p>
            <w:pPr>
              <w:ind w:left="68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3"/>
              </w:rPr>
              <w:t>The Company may at its option redeem the 2048 Notes in whole or in part, at any time or from</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4"/>
              </w:rPr>
              <w:t>time to time prior to their maturity, on at least 15 days, but not more than 30 days, prior notice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2"/>
              </w:rPr>
              <w:t>delivered electronically or mailed to the registered address of each holder of the 2048 Notes, at</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3"/>
              </w:rPr>
              <w:t>the “Redemption Price.” The Company will calculate the Redemption Price in connnection with</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4"/>
              </w:rPr>
              <w:t>any redemption hereunder. Prior to September 1, 2047 (six months prior to the maturity of the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4"/>
              </w:rPr>
              <w:t>2048 Notes) (the “2048 Par Call Date”), the Redemption Price is the greater of (i) 100% of the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0"/>
              </w:rPr>
              <w:t>principal amount of the 2048 Notes, and (ii) the sum of the present values of the principal amount</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89"/>
              </w:rPr>
              <w:t>of such notes and the scheduled payments of interest thereon (exclusive of interest accrued to the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0"/>
              </w:rPr>
              <w:t>date of redemption) from the redemption date to the 2048 Par Call Date, in each case discounted</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5"/>
              </w:rPr>
              <w:t>to the redemption date on a semiannual basis (assuming a 360-day year consisting of twelve</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0"/>
              </w:rPr>
              <w:t>30-day months) at the Treasury Rate (as defined in the 2048 Notes) plus 20 basis points. On and</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4"/>
              </w:rPr>
              <w:t>after the 2048 Par Call Date, the Redemption Price will equal 100% of the principal amount of</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1"/>
              </w:rPr>
              <w:t>such notes. In each case described in this paragraph, the Redemption Price will include accrued</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9"/>
              </w:rPr>
              <w:t>and unpaid interest thereon to the date of redemption, and in each case described in this</w:t>
            </w:r>
          </w:p>
        </w:tc>
      </w:tr>
      <w:tr>
        <w:trPr>
          <w:trHeight w:val="216"/>
        </w:trPr>
        <w:tc>
          <w:tcPr>
            <w:tcW w:w="3680" w:type="dxa"/>
            <w:vAlign w:val="bottom"/>
          </w:tcPr>
          <w:p>
            <w:pPr>
              <w:spacing w:after="0"/>
              <w:rPr>
                <w:sz w:val="18"/>
                <w:szCs w:val="18"/>
                <w:color w:val="auto"/>
              </w:rPr>
            </w:pPr>
          </w:p>
        </w:tc>
        <w:tc>
          <w:tcPr>
            <w:tcW w:w="7720" w:type="dxa"/>
            <w:vAlign w:val="bottom"/>
            <w:gridSpan w:val="5"/>
          </w:tcPr>
          <w:p>
            <w:pPr>
              <w:ind w:left="680"/>
              <w:spacing w:after="0"/>
              <w:rPr>
                <w:sz w:val="20"/>
                <w:szCs w:val="20"/>
                <w:color w:val="auto"/>
              </w:rPr>
            </w:pPr>
            <w:r>
              <w:rPr>
                <w:rFonts w:ascii="Arial" w:cs="Arial" w:eastAsia="Arial" w:hAnsi="Arial"/>
                <w:sz w:val="18"/>
                <w:szCs w:val="18"/>
                <w:color w:val="auto"/>
                <w:w w:val="94"/>
              </w:rPr>
              <w:t>paragraph, subject to the further description in the Prospectus Supplement dated February 1,</w:t>
            </w:r>
          </w:p>
        </w:tc>
      </w:tr>
      <w:tr>
        <w:trPr>
          <w:trHeight w:val="230"/>
        </w:trPr>
        <w:tc>
          <w:tcPr>
            <w:tcW w:w="3680" w:type="dxa"/>
            <w:vAlign w:val="bottom"/>
          </w:tcPr>
          <w:p>
            <w:pPr>
              <w:spacing w:after="0"/>
              <w:rPr>
                <w:sz w:val="20"/>
                <w:szCs w:val="20"/>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w w:val="93"/>
              </w:rPr>
              <w:t>2018.</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00"/>
          </w:cols>
          <w:pgMar w:left="240" w:top="274"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w w:val="89"/>
              </w:rPr>
              <w:t>The 2048 Notes need not be issued at the same time and the series may be reopened for issuance</w:t>
            </w:r>
          </w:p>
        </w:tc>
      </w:tr>
      <w:tr>
        <w:trPr>
          <w:trHeight w:val="216"/>
        </w:trPr>
        <w:tc>
          <w:tcPr>
            <w:tcW w:w="2960" w:type="dxa"/>
            <w:vAlign w:val="bottom"/>
          </w:tcPr>
          <w:p>
            <w:pPr>
              <w:spacing w:after="0"/>
              <w:rPr>
                <w:sz w:val="18"/>
                <w:szCs w:val="18"/>
                <w:color w:val="auto"/>
              </w:rPr>
            </w:pP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w w:val="96"/>
              </w:rPr>
              <w:t>of an unlimited principal amount of additional 2048 Notes under this series. Additional 2048</w:t>
            </w:r>
          </w:p>
        </w:tc>
      </w:tr>
      <w:tr>
        <w:trPr>
          <w:trHeight w:val="216"/>
        </w:trPr>
        <w:tc>
          <w:tcPr>
            <w:tcW w:w="2960" w:type="dxa"/>
            <w:vAlign w:val="bottom"/>
          </w:tcPr>
          <w:p>
            <w:pPr>
              <w:spacing w:after="0"/>
              <w:rPr>
                <w:sz w:val="18"/>
                <w:szCs w:val="18"/>
                <w:color w:val="auto"/>
              </w:rPr>
            </w:pP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w w:val="94"/>
              </w:rPr>
              <w:t>Notes of this series may be consolidated with, and form a single series with, 2048 Notes then</w:t>
            </w:r>
          </w:p>
        </w:tc>
      </w:tr>
      <w:tr>
        <w:trPr>
          <w:trHeight w:val="216"/>
        </w:trPr>
        <w:tc>
          <w:tcPr>
            <w:tcW w:w="2960" w:type="dxa"/>
            <w:vAlign w:val="bottom"/>
          </w:tcPr>
          <w:p>
            <w:pPr>
              <w:spacing w:after="0"/>
              <w:rPr>
                <w:sz w:val="18"/>
                <w:szCs w:val="18"/>
                <w:color w:val="auto"/>
              </w:rPr>
            </w:pP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w w:val="90"/>
              </w:rPr>
              <w:t>outstanding, including for purposes of determining whether the required percentage of the holders</w:t>
            </w:r>
          </w:p>
        </w:tc>
      </w:tr>
      <w:tr>
        <w:trPr>
          <w:trHeight w:val="216"/>
        </w:trPr>
        <w:tc>
          <w:tcPr>
            <w:tcW w:w="2960" w:type="dxa"/>
            <w:vAlign w:val="bottom"/>
          </w:tcPr>
          <w:p>
            <w:pPr>
              <w:spacing w:after="0"/>
              <w:rPr>
                <w:sz w:val="18"/>
                <w:szCs w:val="18"/>
                <w:color w:val="auto"/>
              </w:rPr>
            </w:pP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w w:val="95"/>
              </w:rPr>
              <w:t>of record has given approval or consent to an amendment or waiver or joined in directing the</w:t>
            </w:r>
          </w:p>
        </w:tc>
      </w:tr>
      <w:tr>
        <w:trPr>
          <w:trHeight w:val="216"/>
        </w:trPr>
        <w:tc>
          <w:tcPr>
            <w:tcW w:w="2960" w:type="dxa"/>
            <w:vAlign w:val="bottom"/>
          </w:tcPr>
          <w:p>
            <w:pPr>
              <w:spacing w:after="0"/>
              <w:rPr>
                <w:sz w:val="18"/>
                <w:szCs w:val="18"/>
                <w:color w:val="auto"/>
              </w:rPr>
            </w:pP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w w:val="96"/>
              </w:rPr>
              <w:t>Trustee to take certain actions on behalf of all holders; provided that if such additional 2048</w:t>
            </w:r>
          </w:p>
        </w:tc>
      </w:tr>
      <w:tr>
        <w:trPr>
          <w:trHeight w:val="216"/>
        </w:trPr>
        <w:tc>
          <w:tcPr>
            <w:tcW w:w="2960" w:type="dxa"/>
            <w:vAlign w:val="bottom"/>
          </w:tcPr>
          <w:p>
            <w:pPr>
              <w:spacing w:after="0"/>
              <w:rPr>
                <w:sz w:val="18"/>
                <w:szCs w:val="18"/>
                <w:color w:val="auto"/>
              </w:rPr>
            </w:pP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rPr>
              <w:t>Notes are not fungible with the 2048 Notes then outstanding for U.S. federal income tax</w:t>
            </w:r>
          </w:p>
        </w:tc>
      </w:tr>
      <w:tr>
        <w:trPr>
          <w:trHeight w:val="230"/>
        </w:trPr>
        <w:tc>
          <w:tcPr>
            <w:tcW w:w="2960" w:type="dxa"/>
            <w:vAlign w:val="bottom"/>
          </w:tcPr>
          <w:p>
            <w:pPr>
              <w:spacing w:after="0"/>
              <w:rPr>
                <w:sz w:val="20"/>
                <w:szCs w:val="20"/>
                <w:color w:val="auto"/>
              </w:rPr>
            </w:pP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rPr>
              <w:t>purposes, such additional 2048 Notes will have one or more separate CUSIP numbers.</w:t>
            </w:r>
          </w:p>
        </w:tc>
      </w:tr>
      <w:tr>
        <w:trPr>
          <w:trHeight w:val="324"/>
        </w:trPr>
        <w:tc>
          <w:tcPr>
            <w:tcW w:w="29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rPr>
              <w:t>None</w:t>
            </w:r>
          </w:p>
        </w:tc>
      </w:tr>
      <w:tr>
        <w:trPr>
          <w:trHeight w:val="324"/>
        </w:trPr>
        <w:tc>
          <w:tcPr>
            <w:tcW w:w="29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rPr>
              <w:t>None</w:t>
            </w:r>
          </w:p>
        </w:tc>
      </w:tr>
      <w:tr>
        <w:trPr>
          <w:trHeight w:val="306"/>
        </w:trPr>
        <w:tc>
          <w:tcPr>
            <w:tcW w:w="29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440" w:type="dxa"/>
            <w:vAlign w:val="bottom"/>
            <w:gridSpan w:val="3"/>
          </w:tcPr>
          <w:p>
            <w:pPr>
              <w:ind w:left="1400"/>
              <w:spacing w:after="0"/>
              <w:rPr>
                <w:sz w:val="20"/>
                <w:szCs w:val="20"/>
                <w:color w:val="auto"/>
              </w:rPr>
            </w:pPr>
            <w:r>
              <w:rPr>
                <w:rFonts w:ascii="Arial" w:cs="Arial" w:eastAsia="Arial" w:hAnsi="Arial"/>
                <w:sz w:val="18"/>
                <w:szCs w:val="18"/>
                <w:color w:val="auto"/>
                <w:w w:val="92"/>
              </w:rPr>
              <w:t>The terms of the 2048 Notes shall include such other terms as are set forth in the Form of Note</w:t>
            </w:r>
          </w:p>
        </w:tc>
      </w:tr>
      <w:tr>
        <w:trPr>
          <w:trHeight w:val="194"/>
        </w:trPr>
        <w:tc>
          <w:tcPr>
            <w:tcW w:w="2960" w:type="dxa"/>
            <w:vAlign w:val="bottom"/>
          </w:tcPr>
          <w:p>
            <w:pPr>
              <w:spacing w:after="0"/>
              <w:rPr>
                <w:sz w:val="16"/>
                <w:szCs w:val="16"/>
                <w:color w:val="auto"/>
              </w:rPr>
            </w:pPr>
          </w:p>
        </w:tc>
        <w:tc>
          <w:tcPr>
            <w:tcW w:w="8440" w:type="dxa"/>
            <w:vAlign w:val="bottom"/>
            <w:gridSpan w:val="3"/>
          </w:tcPr>
          <w:p>
            <w:pPr>
              <w:ind w:left="1400"/>
              <w:spacing w:after="0" w:line="194" w:lineRule="exact"/>
              <w:rPr>
                <w:sz w:val="20"/>
                <w:szCs w:val="20"/>
                <w:color w:val="auto"/>
              </w:rPr>
            </w:pPr>
            <w:r>
              <w:rPr>
                <w:rFonts w:ascii="Arial" w:cs="Arial" w:eastAsia="Arial" w:hAnsi="Arial"/>
                <w:sz w:val="18"/>
                <w:szCs w:val="18"/>
                <w:color w:val="auto"/>
              </w:rPr>
              <w:t xml:space="preserve">Due 2048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40"/>
        <w:spacing w:after="0" w:line="257"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400" w:type="dxa"/>
        <w:tblCellMar>
          <w:top w:w="0" w:type="dxa"/>
          <w:left w:w="0" w:type="dxa"/>
          <w:bottom w:w="0" w:type="dxa"/>
          <w:right w:w="0" w:type="dxa"/>
        </w:tblCellMar>
      </w:tblPr>
      <w:tr>
        <w:trPr>
          <w:trHeight w:val="209"/>
        </w:trPr>
        <w:tc>
          <w:tcPr>
            <w:tcW w:w="4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William E. Dordelman</w:t>
            </w:r>
          </w:p>
        </w:tc>
      </w:tr>
      <w:tr>
        <w:trPr>
          <w:trHeight w:val="230"/>
        </w:trPr>
        <w:tc>
          <w:tcPr>
            <w:tcW w:w="4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rPr>
                <w:sz w:val="20"/>
                <w:szCs w:val="20"/>
                <w:color w:val="auto"/>
              </w:rPr>
            </w:pPr>
            <w:r>
              <w:rPr>
                <w:rFonts w:ascii="Arial" w:cs="Arial" w:eastAsia="Arial" w:hAnsi="Arial"/>
                <w:sz w:val="18"/>
                <w:szCs w:val="18"/>
                <w:color w:val="auto"/>
              </w:rPr>
              <w:t>Senior Vice President and Treasurer</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4"/>
                <w:szCs w:val="24"/>
                <w:color w:val="auto"/>
              </w:rPr>
            </w:pPr>
          </w:p>
        </w:tc>
      </w:tr>
      <w:tr>
        <w:trPr>
          <w:trHeight w:val="209"/>
        </w:trPr>
        <w:tc>
          <w:tcPr>
            <w:tcW w:w="4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Arthur R. Block</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ind w:left="100"/>
              <w:spacing w:after="0"/>
              <w:rPr>
                <w:sz w:val="20"/>
                <w:szCs w:val="20"/>
                <w:color w:val="auto"/>
              </w:rPr>
            </w:pPr>
            <w:r>
              <w:rPr>
                <w:rFonts w:ascii="Arial" w:cs="Arial" w:eastAsia="Arial" w:hAnsi="Arial"/>
                <w:sz w:val="18"/>
                <w:szCs w:val="18"/>
                <w:color w:val="auto"/>
                <w:w w:val="90"/>
              </w:rPr>
              <w:t>Executive Vice President, General Counsel and</w:t>
            </w:r>
          </w:p>
        </w:tc>
      </w:tr>
      <w:tr>
        <w:trPr>
          <w:trHeight w:val="230"/>
        </w:trPr>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60" w:type="dxa"/>
            <w:vAlign w:val="bottom"/>
          </w:tcPr>
          <w:p>
            <w:pPr>
              <w:ind w:left="100"/>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10960"/>
          </w:cols>
          <w:pgMar w:left="70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2028]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3.550% Note Due 2028</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CH2</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US20030NCH26</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May 1, 2028.</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May 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10" w:name="page11"/>
    <w:bookmarkEnd w:id="1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2028 Note</w:t>
      </w:r>
      <w:r>
        <w:rPr>
          <w:rFonts w:ascii="Arial" w:cs="Arial" w:eastAsia="Arial" w:hAnsi="Arial"/>
          <w:sz w:val="18"/>
          <w:szCs w:val="18"/>
          <w:color w:val="auto"/>
        </w:rPr>
        <w:t>]</w:t>
      </w:r>
    </w:p>
    <w:p>
      <w:pPr>
        <w:sectPr>
          <w:pgSz w:w="11900" w:h="16838" w:orient="portrait"/>
          <w:cols w:equalWidth="0" w:num="1">
            <w:col w:w="11220"/>
          </w:cols>
          <w:pgMar w:left="240" w:top="274" w:right="4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2028 Note</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3.550% Note Due 2028</w:t>
      </w:r>
    </w:p>
    <w:p>
      <w:pPr>
        <w:spacing w:after="0" w:line="2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8, 2018. The Issuer will pay interest semi-annually in arrears on each Interest Payment Date, commencing May 1, 2018.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13" w:name="page14"/>
    <w:bookmarkEnd w:id="13"/>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4" w:name="page15"/>
    <w:bookmarkEnd w:id="14"/>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February 1, 2028 (three months prior to the maturity of the Securities) (the “Par Call Date”), the greater of (i) 100% of the principal amount of such Securities and (ii) the sum of the present values of the principal amount of such Securities and the scheduled payments of interest thereon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5" w:name="page16"/>
    <w:bookmarkEnd w:id="1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8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Barclays Capital Inc., TD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5"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7" w:name="page18"/>
    <w:bookmarkEnd w:id="17"/>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60" w:type="dxa"/>
            <w:vAlign w:val="bottom"/>
            <w:gridSpan w:val="7"/>
          </w:tcPr>
          <w:p>
            <w:pPr>
              <w:jc w:val="center"/>
              <w:ind w:right="174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297"/>
        </w:trPr>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60" w:type="dxa"/>
            <w:vAlign w:val="bottom"/>
            <w:gridSpan w:val="7"/>
          </w:tcPr>
          <w:p>
            <w:pPr>
              <w:jc w:val="center"/>
              <w:ind w:right="176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2"/>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1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920" w:type="dxa"/>
            <w:vAlign w:val="bottom"/>
            <w:gridSpan w:val="4"/>
          </w:tcPr>
          <w:p>
            <w:pPr>
              <w:ind w:left="60"/>
              <w:spacing w:after="0"/>
              <w:rPr>
                <w:sz w:val="20"/>
                <w:szCs w:val="20"/>
                <w:color w:val="auto"/>
              </w:rPr>
            </w:pPr>
            <w:r>
              <w:rPr>
                <w:rFonts w:ascii="Arial" w:cs="Arial" w:eastAsia="Arial" w:hAnsi="Arial"/>
                <w:sz w:val="18"/>
                <w:szCs w:val="18"/>
                <w:color w:val="auto"/>
                <w:w w:val="91"/>
              </w:rPr>
              <w:t>agent to transfer this Security on the books of the Issuer. The agent may substitute another to</w:t>
            </w: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act for him.</w:t>
            </w: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635"/>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ind w:left="760"/>
              <w:spacing w:after="0"/>
              <w:rPr>
                <w:sz w:val="20"/>
                <w:szCs w:val="20"/>
                <w:color w:val="auto"/>
              </w:rPr>
            </w:pPr>
            <w:r>
              <w:rPr>
                <w:rFonts w:ascii="Arial" w:cs="Arial" w:eastAsia="Arial" w:hAnsi="Arial"/>
                <w:sz w:val="18"/>
                <w:szCs w:val="18"/>
                <w:color w:val="auto"/>
                <w:w w:val="94"/>
              </w:rPr>
              <w:t>Signed:</w:t>
            </w:r>
          </w:p>
        </w:tc>
        <w:tc>
          <w:tcPr>
            <w:tcW w:w="2960" w:type="dxa"/>
            <w:vAlign w:val="bottom"/>
            <w:tcBorders>
              <w:bottom w:val="single" w:sz="8" w:color="auto"/>
            </w:tcBorders>
            <w:gridSpan w:val="2"/>
          </w:tcPr>
          <w:p>
            <w:pPr>
              <w:spacing w:after="0"/>
              <w:rPr>
                <w:sz w:val="24"/>
                <w:szCs w:val="24"/>
                <w:color w:val="auto"/>
              </w:rPr>
            </w:pPr>
          </w:p>
        </w:tc>
        <w:tc>
          <w:tcPr>
            <w:tcW w:w="260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560" w:type="dxa"/>
            <w:vAlign w:val="bottom"/>
            <w:gridSpan w:val="3"/>
          </w:tcPr>
          <w:p>
            <w:pPr>
              <w:ind w:left="4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560" w:type="dxa"/>
            <w:vAlign w:val="bottom"/>
            <w:gridSpan w:val="3"/>
          </w:tcPr>
          <w:p>
            <w:pPr>
              <w:ind w:left="40"/>
              <w:spacing w:after="0"/>
              <w:rPr>
                <w:sz w:val="20"/>
                <w:szCs w:val="20"/>
                <w:color w:val="auto"/>
              </w:rPr>
            </w:pPr>
            <w:r>
              <w:rPr>
                <w:rFonts w:ascii="Arial" w:cs="Arial" w:eastAsia="Arial" w:hAnsi="Arial"/>
                <w:sz w:val="18"/>
                <w:szCs w:val="18"/>
                <w:color w:val="auto"/>
              </w:rPr>
              <w:t>on the other side of this Security)</w:t>
            </w: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78"/>
        </w:trPr>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00" w:type="dxa"/>
            <w:vAlign w:val="bottom"/>
            <w:gridSpan w:val="4"/>
          </w:tcPr>
          <w:p>
            <w:pPr>
              <w:jc w:val="center"/>
              <w:ind w:left="3710"/>
              <w:spacing w:after="0"/>
              <w:rPr>
                <w:sz w:val="20"/>
                <w:szCs w:val="20"/>
                <w:color w:val="auto"/>
              </w:rPr>
            </w:pPr>
            <w:r>
              <w:rPr>
                <w:rFonts w:ascii="Arial" w:cs="Arial" w:eastAsia="Arial" w:hAnsi="Arial"/>
                <w:sz w:val="18"/>
                <w:szCs w:val="18"/>
                <w:color w:val="auto"/>
                <w:w w:val="99"/>
              </w:rPr>
              <w:t>7</w:t>
            </w: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2038]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3.900% Note Due 2038</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CJ8</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US20030NCJ81</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200" w:space="720"/>
            <w:col w:w="194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2038.</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 and September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20" w:name="page21"/>
    <w:bookmarkEnd w:id="2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Arthur R. Block</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2038 Note</w:t>
      </w:r>
      <w:r>
        <w:rPr>
          <w:rFonts w:ascii="Arial" w:cs="Arial" w:eastAsia="Arial" w:hAnsi="Arial"/>
          <w:sz w:val="18"/>
          <w:szCs w:val="18"/>
          <w:color w:val="auto"/>
        </w:rPr>
        <w:t>]</w:t>
      </w:r>
    </w:p>
    <w:p>
      <w:pPr>
        <w:sectPr>
          <w:pgSz w:w="11900" w:h="16838" w:orient="portrait"/>
          <w:cols w:equalWidth="0" w:num="1">
            <w:col w:w="11220"/>
          </w:cols>
          <w:pgMar w:left="240" w:top="274" w:right="43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2038 Note</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3.900% Note Due 2038</w:t>
      </w:r>
    </w:p>
    <w:p>
      <w:pPr>
        <w:spacing w:after="0" w:line="25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jc w:val="both"/>
        <w:ind w:right="8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8, 2018. The Issuer will pay interest semi-annually in arrears on each Interest Payment Date, commencing September 1, 2018.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23" w:name="page24"/>
    <w:bookmarkEnd w:id="23"/>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400"/>
          </w:cols>
          <w:pgMar w:left="240" w:top="274" w:right="259" w:bottom="1440" w:gutter="0" w:footer="0" w:header="0"/>
        </w:sectPr>
      </w:pPr>
    </w:p>
    <w:bookmarkStart w:id="24" w:name="page25"/>
    <w:bookmarkEnd w:id="24"/>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September 1, 2037 (six months prior to the maturity of the Securities) (the “Par Call Date”), the greater of (i) 100% of the principal amount of such Securities and (ii) the sum of the present values of the principal amount of such Securities and the scheduled payments of interest thereon</w:t>
      </w:r>
    </w:p>
    <w:p>
      <w:pPr>
        <w:sectPr>
          <w:pgSz w:w="11900" w:h="16838" w:orient="portrait"/>
          <w:cols w:equalWidth="0" w:num="1">
            <w:col w:w="11400"/>
          </w:cols>
          <w:pgMar w:left="240" w:top="274" w:right="25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(exclusive of interest accrued to the date of redemption) from the redemption date to the Par Call Date, in each case discounted to the redemption date on a semiannual basis (assuming a 360-day year consisting of twelve 30-day months) at the Treasury Rate plus 15 basis points and (b) if the Securities are redeemed on or after the Par Call Date, 100% of the principal amount of such Securities; plus, in each case, accrued and unpaid interest thereon to the date of redemption.</w:t>
      </w:r>
    </w:p>
    <w:p>
      <w:pPr>
        <w:spacing w:after="0" w:line="18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Barclays Capital Inc., TD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ectPr>
          <w:pgSz w:w="11900" w:h="16838" w:orient="portrait"/>
          <w:cols w:equalWidth="0" w:num="1">
            <w:col w:w="11400"/>
          </w:cols>
          <w:pgMar w:left="240" w:top="274" w:right="259" w:bottom="1440" w:gutter="0" w:footer="0" w:header="0"/>
        </w:sectPr>
      </w:pPr>
    </w:p>
    <w:bookmarkStart w:id="26" w:name="page27"/>
    <w:bookmarkEnd w:id="2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ectPr>
          <w:pgSz w:w="11900" w:h="16838" w:orient="portrait"/>
          <w:cols w:equalWidth="0" w:num="1">
            <w:col w:w="11400"/>
          </w:cols>
          <w:pgMar w:left="240" w:top="274" w:right="259" w:bottom="1440" w:gutter="0" w:footer="0" w:header="0"/>
        </w:sectPr>
      </w:pPr>
    </w:p>
    <w:bookmarkStart w:id="27" w:name="page28"/>
    <w:bookmarkEnd w:id="27"/>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ectPr>
          <w:pgSz w:w="11900" w:h="16838" w:orient="portrait"/>
          <w:cols w:equalWidth="0" w:num="1">
            <w:col w:w="11360"/>
          </w:cols>
          <w:pgMar w:left="240" w:top="274"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9660" w:type="dxa"/>
            <w:vAlign w:val="bottom"/>
            <w:tcBorders>
              <w:top w:val="single" w:sz="8" w:color="auto"/>
            </w:tcBorders>
            <w:gridSpan w:val="7"/>
          </w:tcPr>
          <w:p>
            <w:pPr>
              <w:jc w:val="center"/>
              <w:ind w:right="174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431"/>
        </w:trPr>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60" w:type="dxa"/>
            <w:vAlign w:val="bottom"/>
            <w:gridSpan w:val="7"/>
          </w:tcPr>
          <w:p>
            <w:pPr>
              <w:jc w:val="center"/>
              <w:ind w:right="176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391"/>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1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920" w:type="dxa"/>
            <w:vAlign w:val="bottom"/>
            <w:gridSpan w:val="4"/>
          </w:tcPr>
          <w:p>
            <w:pPr>
              <w:ind w:left="60"/>
              <w:spacing w:after="0"/>
              <w:rPr>
                <w:sz w:val="20"/>
                <w:szCs w:val="20"/>
                <w:color w:val="auto"/>
              </w:rPr>
            </w:pPr>
            <w:r>
              <w:rPr>
                <w:rFonts w:ascii="Arial" w:cs="Arial" w:eastAsia="Arial" w:hAnsi="Arial"/>
                <w:sz w:val="18"/>
                <w:szCs w:val="18"/>
                <w:color w:val="auto"/>
                <w:w w:val="91"/>
              </w:rPr>
              <w:t>agent to transfer this Security on the books of the Issuer. The agent may substitute another to</w:t>
            </w: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act for him.</w:t>
            </w: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92"/>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ind w:left="760"/>
              <w:spacing w:after="0"/>
              <w:rPr>
                <w:sz w:val="20"/>
                <w:szCs w:val="20"/>
                <w:color w:val="auto"/>
              </w:rPr>
            </w:pPr>
            <w:r>
              <w:rPr>
                <w:rFonts w:ascii="Arial" w:cs="Arial" w:eastAsia="Arial" w:hAnsi="Arial"/>
                <w:sz w:val="18"/>
                <w:szCs w:val="18"/>
                <w:color w:val="auto"/>
                <w:w w:val="88"/>
              </w:rPr>
              <w:t>Signed:</w:t>
            </w:r>
          </w:p>
        </w:tc>
        <w:tc>
          <w:tcPr>
            <w:tcW w:w="2960" w:type="dxa"/>
            <w:vAlign w:val="bottom"/>
            <w:tcBorders>
              <w:bottom w:val="single" w:sz="8" w:color="auto"/>
            </w:tcBorders>
            <w:gridSpan w:val="2"/>
          </w:tcPr>
          <w:p>
            <w:pPr>
              <w:spacing w:after="0"/>
              <w:rPr>
                <w:sz w:val="24"/>
                <w:szCs w:val="24"/>
                <w:color w:val="auto"/>
              </w:rPr>
            </w:pPr>
          </w:p>
        </w:tc>
        <w:tc>
          <w:tcPr>
            <w:tcW w:w="264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0" w:type="dxa"/>
            <w:vAlign w:val="bottom"/>
            <w:gridSpan w:val="3"/>
          </w:tcPr>
          <w:p>
            <w:pPr>
              <w:ind w:left="8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0" w:type="dxa"/>
            <w:vAlign w:val="bottom"/>
            <w:gridSpan w:val="3"/>
          </w:tcPr>
          <w:p>
            <w:pPr>
              <w:ind w:left="80"/>
              <w:spacing w:after="0"/>
              <w:rPr>
                <w:sz w:val="20"/>
                <w:szCs w:val="20"/>
                <w:color w:val="auto"/>
              </w:rPr>
            </w:pPr>
            <w:r>
              <w:rPr>
                <w:rFonts w:ascii="Arial" w:cs="Arial" w:eastAsia="Arial" w:hAnsi="Arial"/>
                <w:sz w:val="18"/>
                <w:szCs w:val="18"/>
                <w:color w:val="auto"/>
              </w:rPr>
              <w:t>on the other side of this Security)</w:t>
            </w: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program reasonably acceptable to the Trustee)</w:t>
            </w:r>
          </w:p>
        </w:tc>
      </w:tr>
    </w:tbl>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2048]</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 Note Due 2048</w:t>
      </w:r>
    </w:p>
    <w:p>
      <w:pPr>
        <w:sectPr>
          <w:pgSz w:w="11900" w:h="16838" w:orient="portrait"/>
          <w:cols w:equalWidth="0" w:num="1">
            <w:col w:w="11420"/>
          </w:cols>
          <w:pgMar w:left="240" w:top="270"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20030N CK5</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ISIN No.: US20030NCK54</w:t>
      </w:r>
    </w:p>
    <w:p>
      <w:pPr>
        <w:spacing w:after="0" w:line="2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380" w:space="180"/>
            <w:col w:w="8140" w:space="720"/>
            <w:col w:w="2000"/>
          </w:cols>
          <w:pgMar w:left="240" w:top="270" w:right="239" w:bottom="1440" w:gutter="0" w:footer="0" w:header="0"/>
          <w:type w:val="continuous"/>
        </w:sectPr>
      </w:pPr>
    </w:p>
    <w:p>
      <w:pPr>
        <w:spacing w:after="0" w:line="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Million Dollars) on March 1, 2048.</w:t>
      </w:r>
    </w:p>
    <w:p>
      <w:pPr>
        <w:sectPr>
          <w:pgSz w:w="11900" w:h="16838" w:orient="portrait"/>
          <w:cols w:equalWidth="0" w:num="1">
            <w:col w:w="11420"/>
          </w:cols>
          <w:pgMar w:left="240" w:top="270" w:right="239"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March 1 and September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September 1, 2018.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February 15 and August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30" w:name="page31"/>
    <w:bookmarkEnd w:id="3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667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2048 Note</w:t>
      </w:r>
      <w:r>
        <w:rPr>
          <w:rFonts w:ascii="Arial" w:cs="Arial" w:eastAsia="Arial" w:hAnsi="Arial"/>
          <w:sz w:val="18"/>
          <w:szCs w:val="18"/>
          <w:color w:val="auto"/>
        </w:rPr>
        <w:t>]</w:t>
      </w:r>
    </w:p>
    <w:p>
      <w:pPr>
        <w:sectPr>
          <w:pgSz w:w="11900" w:h="16838" w:orient="portrait"/>
          <w:cols w:equalWidth="0" w:num="1">
            <w:col w:w="11220"/>
          </w:cols>
          <w:pgMar w:left="240" w:top="274" w:right="4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2048 Note</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4.000% Note Due 2048</w:t>
      </w:r>
    </w:p>
    <w:p>
      <w:pPr>
        <w:spacing w:after="0" w:line="252"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jc w:val="both"/>
        <w:ind w:right="80" w:firstLine="456"/>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February 8, 2018. The Issuer will pay interest semi-annually in arrears on each Interest Payment Date, commencing September 1, 2018. Interest will be computed on the basis of a 360-day year of twelve 30-day months.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33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ectPr>
          <w:pgSz w:w="11900" w:h="16838" w:orient="portrait"/>
          <w:cols w:equalWidth="0" w:num="1">
            <w:col w:w="11380"/>
          </w:cols>
          <w:pgMar w:left="240" w:top="274" w:right="279" w:bottom="1440" w:gutter="0" w:footer="0" w:header="0"/>
        </w:sectPr>
      </w:pPr>
    </w:p>
    <w:bookmarkStart w:id="33" w:name="page34"/>
    <w:bookmarkEnd w:id="33"/>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in effect on the date on which the Indenture is qualified under the TIA. Notwithstanding anything to the contrary herein, the Securities are subject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terms, and Holders of Securities are referred to the Indenture and the TIA for a statement of them. To the extent the terms of the Indenture and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359"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95"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30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7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4" w:name="page35"/>
    <w:bookmarkEnd w:id="34"/>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338"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314"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Issuer will have the right at its option to redeem any of the Securities in whole or in part, at any time or from time to time prior to their maturity, on at least 15 days, but not more than 30 days, prior notice delivered electronically or mailed to the registered address of each Holder of the Securities, at the applicable Redemption Price. The Issuer will calculate the Redemption Price in connection with any redemption hereunder.</w:t>
      </w:r>
    </w:p>
    <w:p>
      <w:pPr>
        <w:spacing w:after="0" w:line="162"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September 1, 2047 (six months prior to the maturity of the Securities) (the “Par Call Date”), the greater of (i) 100% of the principal amount of such Securities and (ii) the sum of the present values of the principal amount of such Securities and the scheduled payments of interest thereon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 w:name="page36"/>
    <w:bookmarkEnd w:id="3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(exclusive of interest accrued to the date of redemption) from the redemption date to the Par Call Date, in each case discounted to the redemption date on a semiannual basis (assuming a 360-day year consisting of twelve 30-day months) at the Treasury Rate plus 20 basis points and (b) if the Securities are redeemed on or after the Par Call Date, 100% of the principal amount of such Securities; plus, in each case, accrued and unpaid interest thereon to the date of redemption.</w:t>
      </w:r>
    </w:p>
    <w:p>
      <w:pPr>
        <w:spacing w:after="0" w:line="183"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Comparable Treasury Issue</w:t>
      </w:r>
      <w:r>
        <w:rPr>
          <w:rFonts w:ascii="Arial" w:cs="Arial" w:eastAsia="Arial" w:hAnsi="Arial"/>
          <w:sz w:val="17"/>
          <w:szCs w:val="17"/>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“Remaining Life”) that would be utilized, at the time of selection and in accordance with customary financial practice, in pricing new issues of corporate debt securities of comparable maturity to the Remaining Life of such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Barclays Capital Inc., TD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6" w:name="page37"/>
    <w:bookmarkEnd w:id="3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33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33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335"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7" w:name="page38"/>
    <w:bookmarkEnd w:id="37"/>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Abbreviations and Defined Terms.</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33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9660" w:type="dxa"/>
            <w:vAlign w:val="bottom"/>
            <w:tcBorders>
              <w:top w:val="single" w:sz="8" w:color="auto"/>
            </w:tcBorders>
            <w:gridSpan w:val="7"/>
          </w:tcPr>
          <w:p>
            <w:pPr>
              <w:jc w:val="center"/>
              <w:ind w:right="174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323"/>
        </w:trPr>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r>
        <w:trPr>
          <w:trHeight w:val="224"/>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60" w:type="dxa"/>
            <w:vAlign w:val="bottom"/>
            <w:gridSpan w:val="7"/>
          </w:tcPr>
          <w:p>
            <w:pPr>
              <w:jc w:val="center"/>
              <w:ind w:right="176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418"/>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1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920" w:type="dxa"/>
            <w:vAlign w:val="bottom"/>
            <w:gridSpan w:val="4"/>
          </w:tcPr>
          <w:p>
            <w:pPr>
              <w:ind w:left="60"/>
              <w:spacing w:after="0"/>
              <w:rPr>
                <w:sz w:val="20"/>
                <w:szCs w:val="20"/>
                <w:color w:val="auto"/>
              </w:rPr>
            </w:pPr>
            <w:r>
              <w:rPr>
                <w:rFonts w:ascii="Arial" w:cs="Arial" w:eastAsia="Arial" w:hAnsi="Arial"/>
                <w:sz w:val="18"/>
                <w:szCs w:val="18"/>
                <w:color w:val="auto"/>
                <w:w w:val="91"/>
              </w:rPr>
              <w:t>agent to transfer this Security on the books of the Issuer. The agent may substitute another to</w:t>
            </w:r>
          </w:p>
        </w:tc>
      </w:tr>
      <w:tr>
        <w:trPr>
          <w:trHeight w:val="237"/>
        </w:trPr>
        <w:tc>
          <w:tcPr>
            <w:tcW w:w="1760" w:type="dxa"/>
            <w:vAlign w:val="bottom"/>
            <w:gridSpan w:val="2"/>
          </w:tcPr>
          <w:p>
            <w:pPr>
              <w:spacing w:after="0"/>
              <w:rPr>
                <w:sz w:val="20"/>
                <w:szCs w:val="20"/>
                <w:color w:val="auto"/>
              </w:rPr>
            </w:pPr>
            <w:r>
              <w:rPr>
                <w:rFonts w:ascii="Arial" w:cs="Arial" w:eastAsia="Arial" w:hAnsi="Arial"/>
                <w:sz w:val="18"/>
                <w:szCs w:val="18"/>
                <w:color w:val="auto"/>
              </w:rPr>
              <w:t>act for him.</w:t>
            </w: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ind w:left="760"/>
              <w:spacing w:after="0"/>
              <w:rPr>
                <w:sz w:val="20"/>
                <w:szCs w:val="20"/>
                <w:color w:val="auto"/>
              </w:rPr>
            </w:pPr>
            <w:r>
              <w:rPr>
                <w:rFonts w:ascii="Arial" w:cs="Arial" w:eastAsia="Arial" w:hAnsi="Arial"/>
                <w:sz w:val="18"/>
                <w:szCs w:val="18"/>
                <w:color w:val="auto"/>
                <w:w w:val="94"/>
              </w:rPr>
              <w:t>Signed:</w:t>
            </w:r>
          </w:p>
        </w:tc>
        <w:tc>
          <w:tcPr>
            <w:tcW w:w="2920" w:type="dxa"/>
            <w:vAlign w:val="bottom"/>
            <w:tcBorders>
              <w:bottom w:val="single" w:sz="8" w:color="auto"/>
            </w:tcBorders>
            <w:gridSpan w:val="2"/>
          </w:tcPr>
          <w:p>
            <w:pPr>
              <w:spacing w:after="0"/>
              <w:rPr>
                <w:sz w:val="24"/>
                <w:szCs w:val="24"/>
                <w:color w:val="auto"/>
              </w:rPr>
            </w:pPr>
          </w:p>
        </w:tc>
        <w:tc>
          <w:tcPr>
            <w:tcW w:w="264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560" w:type="dxa"/>
            <w:vAlign w:val="bottom"/>
            <w:gridSpan w:val="3"/>
          </w:tcPr>
          <w:p>
            <w:pPr>
              <w:ind w:left="40"/>
              <w:spacing w:after="0"/>
              <w:rPr>
                <w:sz w:val="20"/>
                <w:szCs w:val="20"/>
                <w:color w:val="auto"/>
              </w:rPr>
            </w:pPr>
            <w:r>
              <w:rPr>
                <w:rFonts w:ascii="Arial" w:cs="Arial" w:eastAsia="Arial" w:hAnsi="Arial"/>
                <w:sz w:val="18"/>
                <w:szCs w:val="18"/>
                <w:color w:val="auto"/>
              </w:rPr>
              <w:t>(Signed exactly as name appears</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560" w:type="dxa"/>
            <w:vAlign w:val="bottom"/>
            <w:gridSpan w:val="3"/>
          </w:tcPr>
          <w:p>
            <w:pPr>
              <w:ind w:left="40"/>
              <w:spacing w:after="0"/>
              <w:rPr>
                <w:sz w:val="20"/>
                <w:szCs w:val="20"/>
                <w:color w:val="auto"/>
              </w:rPr>
            </w:pPr>
            <w:r>
              <w:rPr>
                <w:rFonts w:ascii="Arial" w:cs="Arial" w:eastAsia="Arial" w:hAnsi="Arial"/>
                <w:sz w:val="18"/>
                <w:szCs w:val="18"/>
                <w:color w:val="auto"/>
              </w:rPr>
              <w:t>on the other side of this Security)</w:t>
            </w:r>
          </w:p>
        </w:tc>
      </w:tr>
      <w:tr>
        <w:trPr>
          <w:trHeight w:val="432"/>
        </w:trPr>
        <w:tc>
          <w:tcPr>
            <w:tcW w:w="176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1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2"/>
        </w:trPr>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Medallion Program (or other signature guarantor</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60" w:type="dxa"/>
            <w:vAlign w:val="bottom"/>
            <w:gridSpan w:val="5"/>
          </w:tcPr>
          <w:p>
            <w:pPr>
              <w:spacing w:after="0"/>
              <w:rPr>
                <w:sz w:val="20"/>
                <w:szCs w:val="20"/>
                <w:color w:val="auto"/>
              </w:rPr>
            </w:pPr>
            <w:r>
              <w:rPr>
                <w:rFonts w:ascii="Arial" w:cs="Arial" w:eastAsia="Arial" w:hAnsi="Arial"/>
                <w:sz w:val="18"/>
                <w:szCs w:val="18"/>
                <w:color w:val="auto"/>
              </w:rPr>
              <w:t>program reasonably acceptable to the Trustee</w:t>
            </w:r>
          </w:p>
        </w:tc>
      </w:tr>
      <w:tr>
        <w:trPr>
          <w:trHeight w:val="378"/>
        </w:trPr>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00" w:type="dxa"/>
            <w:vAlign w:val="bottom"/>
            <w:gridSpan w:val="4"/>
          </w:tcPr>
          <w:p>
            <w:pPr>
              <w:jc w:val="center"/>
              <w:ind w:left="3710"/>
              <w:spacing w:after="0"/>
              <w:rPr>
                <w:sz w:val="20"/>
                <w:szCs w:val="20"/>
                <w:color w:val="auto"/>
              </w:rPr>
            </w:pPr>
            <w:r>
              <w:rPr>
                <w:rFonts w:ascii="Arial" w:cs="Arial" w:eastAsia="Arial" w:hAnsi="Arial"/>
                <w:sz w:val="18"/>
                <w:szCs w:val="18"/>
                <w:color w:val="auto"/>
                <w:w w:val="99"/>
              </w:rPr>
              <w:t>7</w:t>
            </w:r>
          </w:p>
        </w:tc>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COMCAST CORPORATION]</w:t>
      </w:r>
    </w:p>
    <w:p>
      <w:pPr>
        <w:spacing w:after="0" w:line="225"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February 8,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 am Executive Vice President, General Counsel and Secretary of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have acted for the Company in connection with the issuance by the Company, pursuant to the Underwriting Agreement dated February 1, 2018 (the “</w:t>
      </w:r>
      <w:r>
        <w:rPr>
          <w:rFonts w:ascii="Arial" w:cs="Arial" w:eastAsia="Arial" w:hAnsi="Arial"/>
          <w:sz w:val="16"/>
          <w:szCs w:val="16"/>
          <w:b w:val="1"/>
          <w:bCs w:val="1"/>
          <w:color w:val="auto"/>
        </w:rPr>
        <w:t>Underwriting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among the Company, the Guarantors (as defined below) and the several underwriters named therein (the “</w:t>
      </w:r>
      <w:r>
        <w:rPr>
          <w:rFonts w:ascii="Arial" w:cs="Arial" w:eastAsia="Arial" w:hAnsi="Arial"/>
          <w:sz w:val="16"/>
          <w:szCs w:val="16"/>
          <w:b w:val="1"/>
          <w:bCs w:val="1"/>
          <w:color w:val="auto"/>
        </w:rPr>
        <w:t>Underwriters</w:t>
      </w:r>
      <w:r>
        <w:rPr>
          <w:rFonts w:ascii="Arial" w:cs="Arial" w:eastAsia="Arial" w:hAnsi="Arial"/>
          <w:sz w:val="16"/>
          <w:szCs w:val="16"/>
          <w:color w:val="auto"/>
        </w:rPr>
        <w:t>”), of $1,000,000,000</w:t>
      </w:r>
      <w:r>
        <w:rPr>
          <w:rFonts w:ascii="Arial" w:cs="Arial" w:eastAsia="Arial" w:hAnsi="Arial"/>
          <w:sz w:val="16"/>
          <w:szCs w:val="16"/>
          <w:b w:val="1"/>
          <w:bCs w:val="1"/>
          <w:color w:val="auto"/>
        </w:rPr>
        <w:t xml:space="preserve"> </w:t>
      </w:r>
      <w:r>
        <w:rPr>
          <w:rFonts w:ascii="Arial" w:cs="Arial" w:eastAsia="Arial" w:hAnsi="Arial"/>
          <w:sz w:val="16"/>
          <w:szCs w:val="16"/>
          <w:color w:val="auto"/>
        </w:rPr>
        <w:t>aggregate principal amount of its 3.550% Notes due 2028 (the “</w:t>
      </w:r>
      <w:r>
        <w:rPr>
          <w:rFonts w:ascii="Arial" w:cs="Arial" w:eastAsia="Arial" w:hAnsi="Arial"/>
          <w:sz w:val="16"/>
          <w:szCs w:val="16"/>
          <w:b w:val="1"/>
          <w:bCs w:val="1"/>
          <w:color w:val="auto"/>
        </w:rPr>
        <w:t>2028 Notes</w:t>
      </w:r>
      <w:r>
        <w:rPr>
          <w:rFonts w:ascii="Arial" w:cs="Arial" w:eastAsia="Arial" w:hAnsi="Arial"/>
          <w:sz w:val="16"/>
          <w:szCs w:val="16"/>
          <w:color w:val="auto"/>
        </w:rPr>
        <w:t>”), $1,200,000,000 aggregate principal amount of its 3.900% Notes due 2038 (the “</w:t>
      </w:r>
      <w:r>
        <w:rPr>
          <w:rFonts w:ascii="Arial" w:cs="Arial" w:eastAsia="Arial" w:hAnsi="Arial"/>
          <w:sz w:val="16"/>
          <w:szCs w:val="16"/>
          <w:b w:val="1"/>
          <w:bCs w:val="1"/>
          <w:color w:val="auto"/>
        </w:rPr>
        <w:t>2038 Notes</w:t>
      </w:r>
      <w:r>
        <w:rPr>
          <w:rFonts w:ascii="Arial" w:cs="Arial" w:eastAsia="Arial" w:hAnsi="Arial"/>
          <w:sz w:val="16"/>
          <w:szCs w:val="16"/>
          <w:color w:val="auto"/>
        </w:rPr>
        <w:t>”) and $1,000,000,000 aggregate principal amount of its 4.000% Notes due 2048 (the “</w:t>
      </w:r>
      <w:r>
        <w:rPr>
          <w:rFonts w:ascii="Arial" w:cs="Arial" w:eastAsia="Arial" w:hAnsi="Arial"/>
          <w:sz w:val="16"/>
          <w:szCs w:val="16"/>
          <w:b w:val="1"/>
          <w:bCs w:val="1"/>
          <w:color w:val="auto"/>
        </w:rPr>
        <w:t>2048 Notes</w:t>
      </w:r>
      <w:r>
        <w:rPr>
          <w:rFonts w:ascii="Arial" w:cs="Arial" w:eastAsia="Arial" w:hAnsi="Arial"/>
          <w:sz w:val="16"/>
          <w:szCs w:val="16"/>
          <w:color w:val="auto"/>
        </w:rPr>
        <w:t>,” and together with the 2028 Notes and 2038 Notes, the “</w:t>
      </w:r>
      <w:r>
        <w:rPr>
          <w:rFonts w:ascii="Arial" w:cs="Arial" w:eastAsia="Arial" w:hAnsi="Arial"/>
          <w:sz w:val="16"/>
          <w:szCs w:val="16"/>
          <w:b w:val="1"/>
          <w:bCs w:val="1"/>
          <w:color w:val="auto"/>
        </w:rPr>
        <w:t>Notes</w:t>
      </w:r>
      <w:r>
        <w:rPr>
          <w:rFonts w:ascii="Arial" w:cs="Arial" w:eastAsia="Arial" w:hAnsi="Arial"/>
          <w:sz w:val="16"/>
          <w:szCs w:val="16"/>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and guaranteed on an unsecured and unsubordinated basis by the Guarantors.</w:t>
      </w:r>
    </w:p>
    <w:p>
      <w:pPr>
        <w:spacing w:after="0" w:line="16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40" w:name="page41"/>
    <w:bookmarkEnd w:id="40"/>
    <w:p>
      <w:pPr>
        <w:spacing w:after="0"/>
        <w:tabs>
          <w:tab w:leader="none" w:pos="5720" w:val="left"/>
          <w:tab w:leader="none" w:pos="10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8, 2018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am of the opinion that:</w:t>
      </w:r>
    </w:p>
    <w:p>
      <w:pPr>
        <w:spacing w:after="0" w:line="225"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Notes have been duly authorized by the Company.</w:t>
      </w:r>
    </w:p>
    <w:p>
      <w:pPr>
        <w:spacing w:after="0" w:line="225"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 hereby consent to the filing of this opinion as an exhibit to a report on Form 8-K filed by the Company on the date hereof and its incorporation by reference into the Company’s registration statement on Form S-3 filed on July 28, 2016, as amended as of the date of the Underwriting Agreement (File No. 333-212719). In addition, I consent to the reference to my name under the caption “Legal Matters” in the prospectus, which is a part of the registration statement. In giving this consent, I do not admit that I am in the category of persons whose consent is required under Section 7 of the Securities Act of 1933, as amended.</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74" w:right="239" w:bottom="1440" w:gutter="0" w:footer="0" w:header="0"/>
        </w:sectPr>
      </w:pPr>
    </w:p>
    <w:bookmarkStart w:id="41" w:name="page42"/>
    <w:bookmarkEnd w:id="41"/>
    <w:p>
      <w:pPr>
        <w:ind w:left="105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846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286510"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651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10020" w:space="380"/>
            <w:col w:w="10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1480" w:type="dxa"/>
            <w:vAlign w:val="bottom"/>
          </w:tcPr>
          <w:p>
            <w:pPr>
              <w:ind w:left="220"/>
              <w:spacing w:after="0"/>
              <w:rPr>
                <w:sz w:val="20"/>
                <w:szCs w:val="20"/>
                <w:color w:val="auto"/>
              </w:rPr>
            </w:pPr>
            <w:r>
              <w:rPr>
                <w:rFonts w:ascii="Arial" w:cs="Arial" w:eastAsia="Arial" w:hAnsi="Arial"/>
                <w:sz w:val="18"/>
                <w:szCs w:val="18"/>
                <w:color w:val="auto"/>
                <w:w w:val="92"/>
              </w:rPr>
              <w:t>650 752 2000 tel</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1600 El Camino Real</w:t>
            </w:r>
          </w:p>
        </w:tc>
        <w:tc>
          <w:tcPr>
            <w:tcW w:w="1480" w:type="dxa"/>
            <w:vAlign w:val="bottom"/>
          </w:tcPr>
          <w:p>
            <w:pPr>
              <w:ind w:left="220"/>
              <w:spacing w:after="0"/>
              <w:rPr>
                <w:sz w:val="20"/>
                <w:szCs w:val="20"/>
                <w:color w:val="auto"/>
              </w:rPr>
            </w:pPr>
            <w:r>
              <w:rPr>
                <w:rFonts w:ascii="Arial" w:cs="Arial" w:eastAsia="Arial" w:hAnsi="Arial"/>
                <w:sz w:val="18"/>
                <w:szCs w:val="18"/>
                <w:color w:val="auto"/>
                <w:w w:val="89"/>
              </w:rPr>
              <w:t>650 752 2111 fax</w:t>
            </w: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Menlo Park, CA 94025</w:t>
            </w:r>
          </w:p>
        </w:tc>
        <w:tc>
          <w:tcPr>
            <w:tcW w:w="148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have acted as counsel to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issuance by the Company, pursuant to the Underwriting Agreement dated February 1, 2018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among the Company, the Guarantors (as defined below) and the several underwriters named therein (the “</w:t>
      </w:r>
      <w:r>
        <w:rPr>
          <w:rFonts w:ascii="Arial" w:cs="Arial" w:eastAsia="Arial" w:hAnsi="Arial"/>
          <w:sz w:val="17"/>
          <w:szCs w:val="17"/>
          <w:b w:val="1"/>
          <w:bCs w:val="1"/>
          <w:color w:val="auto"/>
        </w:rPr>
        <w:t>Underwriters</w:t>
      </w:r>
      <w:r>
        <w:rPr>
          <w:rFonts w:ascii="Arial" w:cs="Arial" w:eastAsia="Arial" w:hAnsi="Arial"/>
          <w:sz w:val="17"/>
          <w:szCs w:val="17"/>
          <w:color w:val="auto"/>
        </w:rPr>
        <w:t>”), of $1,000,000,000 aggregate principal amount of its 3.550% Notes due 2028 (the “</w:t>
      </w:r>
      <w:r>
        <w:rPr>
          <w:rFonts w:ascii="Arial" w:cs="Arial" w:eastAsia="Arial" w:hAnsi="Arial"/>
          <w:sz w:val="17"/>
          <w:szCs w:val="17"/>
          <w:b w:val="1"/>
          <w:bCs w:val="1"/>
          <w:color w:val="auto"/>
        </w:rPr>
        <w:t>2028 Notes</w:t>
      </w:r>
      <w:r>
        <w:rPr>
          <w:rFonts w:ascii="Arial" w:cs="Arial" w:eastAsia="Arial" w:hAnsi="Arial"/>
          <w:sz w:val="17"/>
          <w:szCs w:val="17"/>
          <w:color w:val="auto"/>
        </w:rPr>
        <w:t>”), $1,200,000,000 aggregate principal amount of its 3.900% Notes due 2038 (the “</w:t>
      </w:r>
      <w:r>
        <w:rPr>
          <w:rFonts w:ascii="Arial" w:cs="Arial" w:eastAsia="Arial" w:hAnsi="Arial"/>
          <w:sz w:val="17"/>
          <w:szCs w:val="17"/>
          <w:b w:val="1"/>
          <w:bCs w:val="1"/>
          <w:color w:val="auto"/>
        </w:rPr>
        <w:t>2038 Notes</w:t>
      </w:r>
      <w:r>
        <w:rPr>
          <w:rFonts w:ascii="Arial" w:cs="Arial" w:eastAsia="Arial" w:hAnsi="Arial"/>
          <w:sz w:val="17"/>
          <w:szCs w:val="17"/>
          <w:color w:val="auto"/>
        </w:rPr>
        <w:t>”) and $1,000,000,000 aggregate principal amount of its 4.000% Notes due 2048 (the “</w:t>
      </w:r>
      <w:r>
        <w:rPr>
          <w:rFonts w:ascii="Arial" w:cs="Arial" w:eastAsia="Arial" w:hAnsi="Arial"/>
          <w:sz w:val="17"/>
          <w:szCs w:val="17"/>
          <w:b w:val="1"/>
          <w:bCs w:val="1"/>
          <w:color w:val="auto"/>
        </w:rPr>
        <w:t>2048 Notes</w:t>
      </w:r>
      <w:r>
        <w:rPr>
          <w:rFonts w:ascii="Arial" w:cs="Arial" w:eastAsia="Arial" w:hAnsi="Arial"/>
          <w:sz w:val="17"/>
          <w:szCs w:val="17"/>
          <w:color w:val="auto"/>
        </w:rPr>
        <w:t>,” and together with the 2028 Notes and 2038 Notes, the “</w:t>
      </w:r>
      <w:r>
        <w:rPr>
          <w:rFonts w:ascii="Arial" w:cs="Arial" w:eastAsia="Arial" w:hAnsi="Arial"/>
          <w:sz w:val="17"/>
          <w:szCs w:val="17"/>
          <w:b w:val="1"/>
          <w:bCs w:val="1"/>
          <w:color w:val="auto"/>
        </w:rPr>
        <w:t>Notes</w:t>
      </w:r>
      <w:r>
        <w:rPr>
          <w:rFonts w:ascii="Arial" w:cs="Arial" w:eastAsia="Arial" w:hAnsi="Arial"/>
          <w:sz w:val="17"/>
          <w:szCs w:val="17"/>
          <w:color w:val="auto"/>
        </w:rPr>
        <w:t>”). The Notes are to be issued pursuant to the provisions of the Indenture dated as of September 18, 2013, as amended by the First Supplemental Indenture thereto dated as of November 17, 2015, by and among the Company, the guarantors named therein (the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and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on an unsecured and unsubordinated basis by the Guarantors.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foregoing, and subject to the additional assumptions and qualifications set forth below, we advise you that, in our opinion:</w:t>
      </w:r>
    </w:p>
    <w:p>
      <w:pPr>
        <w:spacing w:after="0" w:line="225" w:lineRule="exact"/>
        <w:rPr>
          <w:sz w:val="20"/>
          <w:szCs w:val="20"/>
          <w:color w:val="auto"/>
        </w:rPr>
      </w:pPr>
    </w:p>
    <w:p>
      <w:pPr>
        <w:ind w:firstLine="8"/>
        <w:spacing w:after="0" w:line="291" w:lineRule="auto"/>
        <w:tabs>
          <w:tab w:leader="none" w:pos="3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the Indenture is a valid and binding agreement of the Company and the Guarantors, enforceable against the Company and the Guarantors in accordance with its terms, subject to applicable bankruptcy, insolvency and similar laws affecting creditors’ rights generally, concepts of reasonableness and equitable principles of general applicability, provided that we express no opinion as to (i) the effect of fraudulent conveyance, fraudulent transfer or similar provision of applicable law on the conclusions expressed above, (ii) any provision of the Indenture that purports to avoid the effect of fraudulent conveyance, fraudulent transfer or similar provision of applicable law by limiting the amount of any Guarantor’s obligation or (iii) the validity, legally binding effect or enforceability of any provision that permits holders to collect any portion of stated principal amount upon acceleration of the Notes to the extent determined to constitute unearned interest.</w:t>
      </w:r>
    </w:p>
    <w:p>
      <w:pPr>
        <w:spacing w:after="0" w:line="167" w:lineRule="exact"/>
        <w:rPr>
          <w:rFonts w:ascii="Arial" w:cs="Arial" w:eastAsia="Arial" w:hAnsi="Arial"/>
          <w:sz w:val="16"/>
          <w:szCs w:val="16"/>
          <w:color w:val="auto"/>
        </w:rPr>
      </w:pPr>
    </w:p>
    <w:p>
      <w:pPr>
        <w:ind w:right="20" w:firstLine="8"/>
        <w:spacing w:after="0" w:line="290" w:lineRule="auto"/>
        <w:tabs>
          <w:tab w:leader="none" w:pos="38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Guarantees have been duly authorized, and, assuming the Notes have been duly authorized by the Company, when the Notes have been duly executed and authenticated in accordance with the provisions of the Indenture and delivered to and paid for by the Underwriters in accordance with the terms of the Underwriting Agreement, the Notes will be valid and binding obligations of the Company and the Guarantees will be valid and binding obligations of the Guarantors, in each case enforceable against the Guarantors in accordance with their terms, subject to applicable bankruptcy, insolvency and similar laws affecting creditors’ rights generally, concepts of reasonableness and equitable principles of general applicability, and will be entitled to the benefits of the Indenture, provided that we express no opinion as to (i) the effect of fraudulent conveyance, fraudulent transfer or similar provision of applicable law on the conclusions expressed above or (ii) the validity, legally binding effect or enforceability of any provision that permits holders to collect any portion of stated principal amount upon acceleration of the Notes to the extent determined to constitute unearned interest.</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connection with the opinions expressed above, we have assumed that the Company is validly existing as a corporation in good standing under the laws of the State of Pennsylvania. In addition, we have assumed that the Indenture and the Notes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its corporate powers, (b) do not contravene, or constitute a default under, the certificate of incorporation or bylaws, limited liability company operating agreement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each Guarantor.</w:t>
      </w:r>
    </w:p>
    <w:p>
      <w:pPr>
        <w:spacing w:after="0" w:line="19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members of the Bar of the States of New York and California and the foregoing opinion is limited to the laws of the State of New York and the General Corporation and Limited Liability Company laws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w:t>
      </w:r>
    </w:p>
    <w:p>
      <w:pPr>
        <w:sectPr>
          <w:pgSz w:w="11900" w:h="16838" w:orient="portrait"/>
          <w:cols w:equalWidth="0" w:num="1">
            <w:col w:w="11360"/>
          </w:cols>
          <w:pgMar w:left="240" w:top="274" w:right="29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hereby consent to the filing of this opinion as an exhibit to a report on Form 8-K filed by the Company on the date hereof and its incorporation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reference into the Company’s registration statement on Form S-3 filed on July 28, 2016, as amended as of the date of the Underwriting Agreement (File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333-212719). In addition, we consent to the reference to our name under the caption “Legal Matters” in the prospectus, which is a part of the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In giving this consent, we do not admit that we are in the category of persons whose consent is required under Section 7 of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1933, as amended.</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decimal"/>
      <w:start w:val="3"/>
    </w:lvl>
  </w:abstractNum>
  <w:abstractNum w:abstractNumId="4">
    <w:nsid w:val="22221A70"/>
    <w:multiLevelType w:val="hybridMultilevel"/>
    <w:lvl w:ilvl="0">
      <w:lvlJc w:val="left"/>
      <w:lvlText w:val="%1."/>
      <w:numFmt w:val="decimal"/>
      <w:start w:val="4"/>
    </w:lvl>
  </w:abstractNum>
  <w:abstractNum w:abstractNumId="5">
    <w:nsid w:val="4516DDE9"/>
    <w:multiLevelType w:val="hybridMultilevel"/>
    <w:lvl w:ilvl="0">
      <w:lvlJc w:val="left"/>
      <w:lvlText w:val="%1."/>
      <w:numFmt w:val="decimal"/>
      <w:start w:val="5"/>
    </w:lvl>
  </w:abstractNum>
  <w:abstractNum w:abstractNumId="6">
    <w:nsid w:val="3006C83E"/>
    <w:multiLevelType w:val="hybridMultilevel"/>
    <w:lvl w:ilvl="0">
      <w:lvlJc w:val="left"/>
      <w:lvlText w:val="%1."/>
      <w:numFmt w:val="decimal"/>
      <w:start w:val="6"/>
    </w:lvl>
  </w:abstractNum>
  <w:abstractNum w:abstractNumId="7">
    <w:nsid w:val="614FD4A1"/>
    <w:multiLevelType w:val="hybridMultilevel"/>
    <w:lvl w:ilvl="0">
      <w:lvlJc w:val="left"/>
      <w:lvlText w:val="%1."/>
      <w:numFmt w:val="decimal"/>
      <w:start w:val="7"/>
    </w:lvl>
  </w:abstractNum>
  <w:abstractNum w:abstractNumId="8">
    <w:nsid w:val="419AC241"/>
    <w:multiLevelType w:val="hybridMultilevel"/>
    <w:lvl w:ilvl="0">
      <w:lvlJc w:val="left"/>
      <w:lvlText w:val="%1."/>
      <w:numFmt w:val="decimal"/>
      <w:start w:val="8"/>
    </w:lvl>
  </w:abstractNum>
  <w:abstractNum w:abstractNumId="9">
    <w:nsid w:val="5577F8E1"/>
    <w:multiLevelType w:val="hybridMultilevel"/>
    <w:lvl w:ilvl="0">
      <w:lvlJc w:val="left"/>
      <w:lvlText w:val="%1."/>
      <w:numFmt w:val="decimal"/>
      <w:start w:val="9"/>
    </w:lvl>
  </w:abstractNum>
  <w:abstractNum w:abstractNumId="10">
    <w:nsid w:val="440BADFC"/>
    <w:multiLevelType w:val="hybridMultilevel"/>
    <w:lvl w:ilvl="0">
      <w:lvlJc w:val="left"/>
      <w:lvlText w:val="%1."/>
      <w:numFmt w:val="decimal"/>
      <w:start w:val="10"/>
    </w:lvl>
  </w:abstractNum>
  <w:abstractNum w:abstractNumId="11">
    <w:nsid w:val="5072367"/>
    <w:multiLevelType w:val="hybridMultilevel"/>
    <w:lvl w:ilvl="0">
      <w:lvlJc w:val="left"/>
      <w:lvlText w:val="%1."/>
      <w:numFmt w:val="decimal"/>
      <w:start w:val="11"/>
    </w:lvl>
  </w:abstractNum>
  <w:abstractNum w:abstractNumId="12">
    <w:nsid w:val="3804823E"/>
    <w:multiLevelType w:val="hybridMultilevel"/>
    <w:lvl w:ilvl="0">
      <w:lvlJc w:val="left"/>
      <w:lvlText w:val="%1."/>
      <w:numFmt w:val="decimal"/>
      <w:start w:val="12"/>
    </w:lvl>
  </w:abstractNum>
  <w:abstractNum w:abstractNumId="13">
    <w:nsid w:val="77465F01"/>
    <w:multiLevelType w:val="hybridMultilevel"/>
    <w:lvl w:ilvl="0">
      <w:lvlJc w:val="left"/>
      <w:lvlText w:val="%1."/>
      <w:numFmt w:val="decimal"/>
      <w:start w:val="13"/>
    </w:lvl>
  </w:abstractNum>
  <w:abstractNum w:abstractNumId="14">
    <w:nsid w:val="7724C67E"/>
    <w:multiLevelType w:val="hybridMultilevel"/>
    <w:lvl w:ilvl="0">
      <w:lvlJc w:val="left"/>
      <w:lvlText w:val="%1."/>
      <w:numFmt w:val="decimal"/>
      <w:start w:val="14"/>
    </w:lvl>
  </w:abstractNum>
  <w:abstractNum w:abstractNumId="15">
    <w:nsid w:val="5C482A97"/>
    <w:multiLevelType w:val="hybridMultilevel"/>
    <w:lvl w:ilvl="0">
      <w:lvlJc w:val="left"/>
      <w:lvlText w:val="%1."/>
      <w:numFmt w:val="decimal"/>
      <w:start w:val="15"/>
    </w:lvl>
  </w:abstractNum>
  <w:abstractNum w:abstractNumId="16">
    <w:nsid w:val="2463B9EA"/>
    <w:multiLevelType w:val="hybridMultilevel"/>
    <w:lvl w:ilvl="0">
      <w:lvlJc w:val="left"/>
      <w:lvlText w:val="%1."/>
      <w:numFmt w:val="decimal"/>
      <w:start w:val="16"/>
    </w:lvl>
  </w:abstractNum>
  <w:abstractNum w:abstractNumId="17">
    <w:nsid w:val="5E884ADC"/>
    <w:multiLevelType w:val="hybridMultilevel"/>
    <w:lvl w:ilvl="0">
      <w:lvlJc w:val="left"/>
      <w:lvlText w:val="%1."/>
      <w:numFmt w:val="decimal"/>
      <w:start w:val="17"/>
    </w:lvl>
  </w:abstractNum>
  <w:abstractNum w:abstractNumId="18">
    <w:nsid w:val="51EAD36B"/>
    <w:multiLevelType w:val="hybridMultilevel"/>
    <w:lvl w:ilvl="0">
      <w:lvlJc w:val="left"/>
      <w:lvlText w:val="%1."/>
      <w:numFmt w:val="decimal"/>
      <w:start w:val="18"/>
    </w:lvl>
  </w:abstractNum>
  <w:abstractNum w:abstractNumId="19">
    <w:nsid w:val="2D517796"/>
    <w:multiLevelType w:val="hybridMultilevel"/>
    <w:lvl w:ilvl="0">
      <w:lvlJc w:val="left"/>
      <w:lvlText w:val="%1."/>
      <w:numFmt w:val="decimal"/>
      <w:start w:val="19"/>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2"/>
    </w:lvl>
  </w:abstractNum>
  <w:abstractNum w:abstractNumId="22">
    <w:nsid w:val="3855585C"/>
    <w:multiLevelType w:val="hybridMultilevel"/>
    <w:lvl w:ilvl="0">
      <w:lvlJc w:val="left"/>
      <w:lvlText w:val="%1."/>
      <w:numFmt w:val="decimal"/>
      <w:start w:val="3"/>
    </w:lvl>
  </w:abstractNum>
  <w:abstractNum w:abstractNumId="23">
    <w:nsid w:val="70A64E2A"/>
    <w:multiLevelType w:val="hybridMultilevel"/>
    <w:lvl w:ilvl="0">
      <w:lvlJc w:val="left"/>
      <w:lvlText w:val="%1."/>
      <w:numFmt w:val="decimal"/>
      <w:start w:val="4"/>
    </w:lvl>
  </w:abstractNum>
  <w:abstractNum w:abstractNumId="24">
    <w:nsid w:val="6A2342EC"/>
    <w:multiLevelType w:val="hybridMultilevel"/>
    <w:lvl w:ilvl="0">
      <w:lvlJc w:val="left"/>
      <w:lvlText w:val="%1."/>
      <w:numFmt w:val="decimal"/>
      <w:start w:val="5"/>
    </w:lvl>
  </w:abstractNum>
  <w:abstractNum w:abstractNumId="25">
    <w:nsid w:val="2A487CB0"/>
    <w:multiLevelType w:val="hybridMultilevel"/>
    <w:lvl w:ilvl="0">
      <w:lvlJc w:val="left"/>
      <w:lvlText w:val="%1."/>
      <w:numFmt w:val="decimal"/>
      <w:start w:val="6"/>
    </w:lvl>
  </w:abstractNum>
  <w:abstractNum w:abstractNumId="26">
    <w:nsid w:val="1D4ED43B"/>
    <w:multiLevelType w:val="hybridMultilevel"/>
    <w:lvl w:ilvl="0">
      <w:lvlJc w:val="left"/>
      <w:lvlText w:val="%1."/>
      <w:numFmt w:val="decimal"/>
      <w:start w:val="7"/>
    </w:lvl>
  </w:abstractNum>
  <w:abstractNum w:abstractNumId="27">
    <w:nsid w:val="725A06FB"/>
    <w:multiLevelType w:val="hybridMultilevel"/>
    <w:lvl w:ilvl="0">
      <w:lvlJc w:val="left"/>
      <w:lvlText w:val="%1."/>
      <w:numFmt w:val="decimal"/>
      <w:start w:val="8"/>
    </w:lvl>
  </w:abstractNum>
  <w:abstractNum w:abstractNumId="28">
    <w:nsid w:val="2CD89A32"/>
    <w:multiLevelType w:val="hybridMultilevel"/>
    <w:lvl w:ilvl="0">
      <w:lvlJc w:val="left"/>
      <w:lvlText w:val="%1."/>
      <w:numFmt w:val="decimal"/>
      <w:start w:val="9"/>
    </w:lvl>
  </w:abstractNum>
  <w:abstractNum w:abstractNumId="29">
    <w:nsid w:val="57E4CCAF"/>
    <w:multiLevelType w:val="hybridMultilevel"/>
    <w:lvl w:ilvl="0">
      <w:lvlJc w:val="left"/>
      <w:lvlText w:val="%1."/>
      <w:numFmt w:val="decimal"/>
      <w:start w:val="10"/>
    </w:lvl>
  </w:abstractNum>
  <w:abstractNum w:abstractNumId="30">
    <w:nsid w:val="7A6D8D3C"/>
    <w:multiLevelType w:val="hybridMultilevel"/>
    <w:lvl w:ilvl="0">
      <w:lvlJc w:val="left"/>
      <w:lvlText w:val="%1."/>
      <w:numFmt w:val="decimal"/>
      <w:start w:val="11"/>
    </w:lvl>
  </w:abstractNum>
  <w:abstractNum w:abstractNumId="31">
    <w:nsid w:val="4B588F54"/>
    <w:multiLevelType w:val="hybridMultilevel"/>
    <w:lvl w:ilvl="0">
      <w:lvlJc w:val="left"/>
      <w:lvlText w:val="%1."/>
      <w:numFmt w:val="decimal"/>
      <w:start w:val="12"/>
    </w:lvl>
  </w:abstractNum>
  <w:abstractNum w:abstractNumId="32">
    <w:nsid w:val="542289EC"/>
    <w:multiLevelType w:val="hybridMultilevel"/>
    <w:lvl w:ilvl="0">
      <w:lvlJc w:val="left"/>
      <w:lvlText w:val="%1."/>
      <w:numFmt w:val="decimal"/>
      <w:start w:val="13"/>
    </w:lvl>
  </w:abstractNum>
  <w:abstractNum w:abstractNumId="33">
    <w:nsid w:val="6DE91B18"/>
    <w:multiLevelType w:val="hybridMultilevel"/>
    <w:lvl w:ilvl="0">
      <w:lvlJc w:val="left"/>
      <w:lvlText w:val="%1."/>
      <w:numFmt w:val="decimal"/>
      <w:start w:val="14"/>
    </w:lvl>
  </w:abstractNum>
  <w:abstractNum w:abstractNumId="34">
    <w:nsid w:val="38437FDB"/>
    <w:multiLevelType w:val="hybridMultilevel"/>
    <w:lvl w:ilvl="0">
      <w:lvlJc w:val="left"/>
      <w:lvlText w:val="%1."/>
      <w:numFmt w:val="decimal"/>
      <w:start w:val="15"/>
    </w:lvl>
  </w:abstractNum>
  <w:abstractNum w:abstractNumId="35">
    <w:nsid w:val="7644A45C"/>
    <w:multiLevelType w:val="hybridMultilevel"/>
    <w:lvl w:ilvl="0">
      <w:lvlJc w:val="left"/>
      <w:lvlText w:val="%1."/>
      <w:numFmt w:val="decimal"/>
      <w:start w:val="16"/>
    </w:lvl>
  </w:abstractNum>
  <w:abstractNum w:abstractNumId="36">
    <w:nsid w:val="32FFF902"/>
    <w:multiLevelType w:val="hybridMultilevel"/>
    <w:lvl w:ilvl="0">
      <w:lvlJc w:val="left"/>
      <w:lvlText w:val="%1."/>
      <w:numFmt w:val="decimal"/>
      <w:start w:val="17"/>
    </w:lvl>
  </w:abstractNum>
  <w:abstractNum w:abstractNumId="37">
    <w:nsid w:val="684A481A"/>
    <w:multiLevelType w:val="hybridMultilevel"/>
    <w:lvl w:ilvl="0">
      <w:lvlJc w:val="left"/>
      <w:lvlText w:val="%1."/>
      <w:numFmt w:val="decimal"/>
      <w:start w:val="18"/>
    </w:lvl>
  </w:abstractNum>
  <w:abstractNum w:abstractNumId="38">
    <w:nsid w:val="579478FE"/>
    <w:multiLevelType w:val="hybridMultilevel"/>
    <w:lvl w:ilvl="0">
      <w:lvlJc w:val="left"/>
      <w:lvlText w:val="%1."/>
      <w:numFmt w:val="decimal"/>
      <w:start w:val="19"/>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1."/>
      <w:numFmt w:val="decimal"/>
      <w:start w:val="3"/>
    </w:lvl>
  </w:abstractNum>
  <w:abstractNum w:abstractNumId="42">
    <w:nsid w:val="79A1DEAA"/>
    <w:multiLevelType w:val="hybridMultilevel"/>
    <w:lvl w:ilvl="0">
      <w:lvlJc w:val="left"/>
      <w:lvlText w:val="%1."/>
      <w:numFmt w:val="decimal"/>
      <w:start w:val="4"/>
    </w:lvl>
  </w:abstractNum>
  <w:abstractNum w:abstractNumId="43">
    <w:nsid w:val="75C6C33A"/>
    <w:multiLevelType w:val="hybridMultilevel"/>
    <w:lvl w:ilvl="0">
      <w:lvlJc w:val="left"/>
      <w:lvlText w:val="%1."/>
      <w:numFmt w:val="decimal"/>
      <w:start w:val="5"/>
    </w:lvl>
  </w:abstractNum>
  <w:abstractNum w:abstractNumId="44">
    <w:nsid w:val="12E685FB"/>
    <w:multiLevelType w:val="hybridMultilevel"/>
    <w:lvl w:ilvl="0">
      <w:lvlJc w:val="left"/>
      <w:lvlText w:val="%1."/>
      <w:numFmt w:val="decimal"/>
      <w:start w:val="6"/>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1."/>
      <w:numFmt w:val="decimal"/>
      <w:start w:val="8"/>
    </w:lvl>
  </w:abstractNum>
  <w:abstractNum w:abstractNumId="47">
    <w:nsid w:val="374A3FE6"/>
    <w:multiLevelType w:val="hybridMultilevel"/>
    <w:lvl w:ilvl="0">
      <w:lvlJc w:val="left"/>
      <w:lvlText w:val="%1."/>
      <w:numFmt w:val="decimal"/>
      <w:start w:val="9"/>
    </w:lvl>
  </w:abstractNum>
  <w:abstractNum w:abstractNumId="48">
    <w:nsid w:val="4F4EF005"/>
    <w:multiLevelType w:val="hybridMultilevel"/>
    <w:lvl w:ilvl="0">
      <w:lvlJc w:val="left"/>
      <w:lvlText w:val="%1."/>
      <w:numFmt w:val="decimal"/>
      <w:start w:val="10"/>
    </w:lvl>
  </w:abstractNum>
  <w:abstractNum w:abstractNumId="49">
    <w:nsid w:val="23F9C13C"/>
    <w:multiLevelType w:val="hybridMultilevel"/>
    <w:lvl w:ilvl="0">
      <w:lvlJc w:val="left"/>
      <w:lvlText w:val="%1."/>
      <w:numFmt w:val="decimal"/>
      <w:start w:val="11"/>
    </w:lvl>
  </w:abstractNum>
  <w:abstractNum w:abstractNumId="50">
    <w:nsid w:val="649BB77C"/>
    <w:multiLevelType w:val="hybridMultilevel"/>
    <w:lvl w:ilvl="0">
      <w:lvlJc w:val="left"/>
      <w:lvlText w:val="%1."/>
      <w:numFmt w:val="decimal"/>
      <w:start w:val="12"/>
    </w:lvl>
  </w:abstractNum>
  <w:abstractNum w:abstractNumId="51">
    <w:nsid w:val="275AC794"/>
    <w:multiLevelType w:val="hybridMultilevel"/>
    <w:lvl w:ilvl="0">
      <w:lvlJc w:val="left"/>
      <w:lvlText w:val="%1."/>
      <w:numFmt w:val="decimal"/>
      <w:start w:val="13"/>
    </w:lvl>
  </w:abstractNum>
  <w:abstractNum w:abstractNumId="52">
    <w:nsid w:val="39386575"/>
    <w:multiLevelType w:val="hybridMultilevel"/>
    <w:lvl w:ilvl="0">
      <w:lvlJc w:val="left"/>
      <w:lvlText w:val="%1."/>
      <w:numFmt w:val="decimal"/>
      <w:start w:val="14"/>
    </w:lvl>
  </w:abstractNum>
  <w:abstractNum w:abstractNumId="53">
    <w:nsid w:val="1CF10FD8"/>
    <w:multiLevelType w:val="hybridMultilevel"/>
    <w:lvl w:ilvl="0">
      <w:lvlJc w:val="left"/>
      <w:lvlText w:val="%1."/>
      <w:numFmt w:val="decimal"/>
      <w:start w:val="15"/>
    </w:lvl>
  </w:abstractNum>
  <w:abstractNum w:abstractNumId="54">
    <w:nsid w:val="180115BE"/>
    <w:multiLevelType w:val="hybridMultilevel"/>
    <w:lvl w:ilvl="0">
      <w:lvlJc w:val="left"/>
      <w:lvlText w:val="%1."/>
      <w:numFmt w:val="decimal"/>
      <w:start w:val="16"/>
    </w:lvl>
  </w:abstractNum>
  <w:abstractNum w:abstractNumId="55">
    <w:nsid w:val="235BA861"/>
    <w:multiLevelType w:val="hybridMultilevel"/>
    <w:lvl w:ilvl="0">
      <w:lvlJc w:val="left"/>
      <w:lvlText w:val="%1."/>
      <w:numFmt w:val="decimal"/>
      <w:start w:val="17"/>
    </w:lvl>
  </w:abstractNum>
  <w:abstractNum w:abstractNumId="56">
    <w:nsid w:val="47398C89"/>
    <w:multiLevelType w:val="hybridMultilevel"/>
    <w:lvl w:ilvl="0">
      <w:lvlJc w:val="left"/>
      <w:lvlText w:val="%1."/>
      <w:numFmt w:val="decimal"/>
      <w:start w:val="18"/>
    </w:lvl>
  </w:abstractNum>
  <w:abstractNum w:abstractNumId="57">
    <w:nsid w:val="354FE9F9"/>
    <w:multiLevelType w:val="hybridMultilevel"/>
    <w:lvl w:ilvl="0">
      <w:lvlJc w:val="left"/>
      <w:lvlText w:val="%1."/>
      <w:numFmt w:val="decimal"/>
      <w:start w:val="19"/>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2019-12-29T01:35:07Z</dcterms:created>
  <dcterms:modified xsi:type="dcterms:W3CDTF">2019-12-29T01:35:07Z</dcterms:modified>
</cp:coreProperties>
</file>