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646430</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111125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445"/>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January 28, 2021</w:t>
            </w:r>
          </w:p>
        </w:tc>
      </w:tr>
      <w:tr>
        <w:trPr>
          <w:trHeight w:val="436"/>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60" w:type="dxa"/>
            <w:vAlign w:val="bottom"/>
          </w:tcPr>
          <w:p>
            <w:pPr>
              <w:spacing w:after="0"/>
              <w:rPr>
                <w:sz w:val="12"/>
                <w:szCs w:val="12"/>
                <w:color w:val="auto"/>
              </w:rPr>
            </w:pPr>
          </w:p>
        </w:tc>
        <w:tc>
          <w:tcPr>
            <w:tcW w:w="7200" w:type="dxa"/>
            <w:vAlign w:val="bottom"/>
          </w:tcPr>
          <w:p>
            <w:pPr>
              <w:jc w:val="center"/>
              <w:ind w:right="220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70"/>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79"/>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 File Number)</w:t>
            </w:r>
          </w:p>
        </w:tc>
        <w:tc>
          <w:tcPr>
            <w:tcW w:w="7200" w:type="dxa"/>
            <w:vAlign w:val="bottom"/>
          </w:tcPr>
          <w:p>
            <w:pPr>
              <w:jc w:val="center"/>
              <w:ind w:left="512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79"/>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(Zip Code)</w:t>
            </w:r>
          </w:p>
        </w:tc>
      </w:tr>
      <w:tr>
        <w:trPr>
          <w:trHeight w:val="32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408"/>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1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340"/>
        <w:spacing w:after="0" w:line="161" w:lineRule="exact"/>
        <w:tabs>
          <w:tab w:leader="none" w:pos="60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Written communications pursuant to Rule 425 under the Securities Act (17 CFR 230.425)</w:t>
      </w:r>
    </w:p>
    <w:p>
      <w:pPr>
        <w:spacing w:after="0" w:line="177" w:lineRule="exact"/>
        <w:rPr>
          <w:sz w:val="24"/>
          <w:szCs w:val="24"/>
          <w:color w:val="auto"/>
        </w:rPr>
      </w:pPr>
    </w:p>
    <w:p>
      <w:pPr>
        <w:ind w:left="340"/>
        <w:spacing w:after="0" w:line="161" w:lineRule="exact"/>
        <w:tabs>
          <w:tab w:leader="none" w:pos="60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Soliciting material pursuant to Rule 14a-12 under the Exchange Act (17 CFR 240.14a-12)</w:t>
      </w:r>
    </w:p>
    <w:p>
      <w:pPr>
        <w:spacing w:after="0" w:line="163" w:lineRule="exact"/>
        <w:rPr>
          <w:sz w:val="24"/>
          <w:szCs w:val="24"/>
          <w:color w:val="auto"/>
        </w:rPr>
      </w:pPr>
    </w:p>
    <w:p>
      <w:pPr>
        <w:ind w:left="340"/>
        <w:spacing w:after="0" w:line="161" w:lineRule="exact"/>
        <w:tabs>
          <w:tab w:leader="none" w:pos="60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Pre-commencement communications pursuant to Rule 14d-2(b) under the Exchange Act (17 CFR 240.14d-2(b))</w:t>
      </w:r>
    </w:p>
    <w:p>
      <w:pPr>
        <w:spacing w:after="0" w:line="163" w:lineRule="exact"/>
        <w:rPr>
          <w:sz w:val="24"/>
          <w:szCs w:val="24"/>
          <w:color w:val="auto"/>
        </w:rPr>
      </w:pPr>
    </w:p>
    <w:p>
      <w:pPr>
        <w:ind w:left="340"/>
        <w:spacing w:after="0" w:line="161" w:lineRule="exact"/>
        <w:tabs>
          <w:tab w:leader="none" w:pos="60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Pre-commencement communications pursuant to Rule 13e-4(c) under the Exchange Act (17 CFR 240.13e-4(c))</w:t>
      </w:r>
    </w:p>
    <w:p>
      <w:pPr>
        <w:spacing w:after="0" w:line="267" w:lineRule="exact"/>
        <w:rPr>
          <w:sz w:val="24"/>
          <w:szCs w:val="24"/>
          <w:color w:val="auto"/>
        </w:rPr>
      </w:pPr>
    </w:p>
    <w:tbl>
      <w:tblPr>
        <w:tblLayout w:type="fixed"/>
        <w:tblInd w:w="800" w:type="dxa"/>
        <w:tblCellMar>
          <w:top w:w="0" w:type="dxa"/>
          <w:left w:w="0" w:type="dxa"/>
          <w:bottom w:w="0" w:type="dxa"/>
          <w:right w:w="0" w:type="dxa"/>
        </w:tblCellMar>
      </w:tblPr>
      <w:tr>
        <w:trPr>
          <w:trHeight w:val="18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207"/>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8"/>
        </w:trPr>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88"/>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9.455% Guaranteed Notes due 2022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CMCSA/22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57"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54" w:lineRule="exact"/>
        <w:rPr>
          <w:sz w:val="24"/>
          <w:szCs w:val="24"/>
          <w:color w:val="auto"/>
        </w:rPr>
      </w:pPr>
    </w:p>
    <w:p>
      <w:pPr>
        <w:ind w:right="560"/>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100965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49530</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28, 2021, Comcast Corporation (“Comcast”) issued a press release reporting the results of its operations for the three and twelve months ended December 31, 2020.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260" w:type="dxa"/>
            <w:vAlign w:val="bottom"/>
            <w:gridSpan w:val="2"/>
          </w:tcPr>
          <w:p>
            <w:pPr>
              <w:jc w:val="center"/>
              <w:ind w:right="6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64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4">
              <w:r>
                <w:rPr>
                  <w:rFonts w:ascii="Times New Roman" w:cs="Times New Roman" w:eastAsia="Times New Roman" w:hAnsi="Times New Roman"/>
                  <w:sz w:val="18"/>
                  <w:szCs w:val="18"/>
                  <w:u w:val="single" w:color="auto"/>
                  <w:color w:val="0000FF"/>
                  <w:w w:val="95"/>
                </w:rPr>
                <w:t>99.1</w:t>
              </w:r>
            </w:hyperlink>
          </w:p>
        </w:tc>
        <w:tc>
          <w:tcPr>
            <w:tcW w:w="620" w:type="dxa"/>
            <w:vAlign w:val="bottom"/>
          </w:tcPr>
          <w:p>
            <w:pPr>
              <w:spacing w:after="0"/>
              <w:rPr>
                <w:sz w:val="22"/>
                <w:szCs w:val="22"/>
                <w:color w:val="auto"/>
              </w:rPr>
            </w:pPr>
          </w:p>
        </w:tc>
        <w:tc>
          <w:tcPr>
            <w:tcW w:w="9760" w:type="dxa"/>
            <w:vAlign w:val="bottom"/>
            <w:gridSpan w:val="6"/>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Comcast Corporation press release dated January</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28, </w:t>
            </w:r>
            <w:hyperlink w:anchor="page4">
              <w:r>
                <w:rPr>
                  <w:rFonts w:ascii="Times New Roman" w:cs="Times New Roman" w:eastAsia="Times New Roman" w:hAnsi="Times New Roman"/>
                  <w:sz w:val="18"/>
                  <w:szCs w:val="18"/>
                  <w:color w:val="0000FF"/>
                </w:rPr>
                <w:t>202</w:t>
              </w:r>
            </w:hyperlink>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gridSpan w:val="2"/>
          </w:tcPr>
          <w:p>
            <w:pPr>
              <w:jc w:val="center"/>
              <w:ind w:left="150"/>
              <w:spacing w:after="0"/>
              <w:rPr>
                <w:rFonts w:ascii="Times New Roman" w:cs="Times New Roman" w:eastAsia="Times New Roman" w:hAnsi="Times New Roman"/>
                <w:sz w:val="18"/>
                <w:szCs w:val="18"/>
                <w:u w:val="single" w:color="auto"/>
                <w:color w:val="0000FF"/>
                <w:w w:val="95"/>
              </w:rPr>
            </w:pPr>
            <w:hyperlink w:anchor="page20">
              <w:r>
                <w:rPr>
                  <w:rFonts w:ascii="Times New Roman" w:cs="Times New Roman" w:eastAsia="Times New Roman" w:hAnsi="Times New Roman"/>
                  <w:sz w:val="18"/>
                  <w:szCs w:val="18"/>
                  <w:u w:val="single" w:color="auto"/>
                  <w:color w:val="0000FF"/>
                  <w:w w:val="95"/>
                </w:rPr>
                <w:t>99.2</w:t>
              </w:r>
            </w:hyperlink>
          </w:p>
        </w:tc>
        <w:tc>
          <w:tcPr>
            <w:tcW w:w="620" w:type="dxa"/>
            <w:vAlign w:val="bottom"/>
          </w:tcPr>
          <w:p>
            <w:pPr>
              <w:spacing w:after="0"/>
              <w:rPr>
                <w:sz w:val="21"/>
                <w:szCs w:val="21"/>
                <w:color w:val="auto"/>
              </w:rPr>
            </w:pPr>
          </w:p>
        </w:tc>
        <w:tc>
          <w:tcPr>
            <w:tcW w:w="9760" w:type="dxa"/>
            <w:vAlign w:val="bottom"/>
            <w:gridSpan w:val="6"/>
          </w:tcPr>
          <w:p>
            <w:pPr>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Explanation of Non-GAAP and Other Financial Measures.</w:t>
              </w:r>
            </w:hyperlink>
          </w:p>
        </w:tc>
        <w:tc>
          <w:tcPr>
            <w:tcW w:w="0" w:type="dxa"/>
            <w:vAlign w:val="bottom"/>
          </w:tcPr>
          <w:p>
            <w:pPr>
              <w:spacing w:after="0"/>
              <w:rPr>
                <w:sz w:val="1"/>
                <w:szCs w:val="1"/>
                <w:color w:val="auto"/>
              </w:rPr>
            </w:pPr>
          </w:p>
        </w:tc>
      </w:tr>
      <w:tr>
        <w:trPr>
          <w:trHeight w:val="234"/>
        </w:trPr>
        <w:tc>
          <w:tcPr>
            <w:tcW w:w="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104</w:t>
            </w:r>
          </w:p>
        </w:tc>
        <w:tc>
          <w:tcPr>
            <w:tcW w:w="620" w:type="dxa"/>
            <w:vAlign w:val="bottom"/>
          </w:tcPr>
          <w:p>
            <w:pPr>
              <w:spacing w:after="0"/>
              <w:rPr>
                <w:sz w:val="20"/>
                <w:szCs w:val="20"/>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28, 2021</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6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25"/>
        </w:trPr>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4"/>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259715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COMCAST REPORTS 4th QUARTER AND FULL YEAR 2020 RESULTS</w:t>
      </w:r>
    </w:p>
    <w:p>
      <w:pPr>
        <w:spacing w:after="0" w:line="98"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PHILADELPHIA - January 28, 2021… Comcast Corporation (NASDAQ: CMCSA) today reported results for the quarter and year ended December 31, 2020.</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“Outstanding performance at Cable drove very strong fourth quarter results for our company. We added 538,000 net new broadband customers and delivered Adjusted EBITDA growth of over 12%. Our theme parks in Orlando and Osaka reached breakeven; and encouragingly, Sky returned to customer growth in all three of its markets, bringing our total customer relationships and overall revenue in Europe essentially back to 2019 levels. With the vaccines rolling out throughout the world, we are optimistic that the parts of our business that had been most impacted will soon be back on a path towards growth. This confidence is shared by our Board of Directors, which has announced an increase in the dividend for the thirteenth consecutive year. In addition, it is now our expectation that we will be in a position to begin repurchasing shares again in the back half of this year. While this is certainly the most challenging period we have faced, I could not be more proud of how our management team and employees continue to pull together and deliver. Today’s results are a testament to their commitment and dedication," </w:t>
      </w:r>
      <w:r>
        <w:rPr>
          <w:rFonts w:ascii="Arial" w:cs="Arial" w:eastAsia="Arial" w:hAnsi="Arial"/>
          <w:sz w:val="18"/>
          <w:szCs w:val="18"/>
          <w:color w:val="auto"/>
        </w:rPr>
        <w:t>commented Brian L. Roberts, Chairman and Chief Executive Officer of Comcast Corporation.</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4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1"/>
                <w:szCs w:val="11"/>
                <w:i w:val="1"/>
                <w:iCs w:val="1"/>
                <w:color w:val="auto"/>
              </w:rPr>
              <w:t>($ in millions, except per share data)</w:t>
            </w:r>
          </w:p>
        </w:tc>
        <w:tc>
          <w:tcPr>
            <w:tcW w:w="58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40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right w:val="single" w:sz="8" w:color="D9D9D6"/>
            </w:tcBorders>
            <w:shd w:val="clear" w:color="auto" w:fill="D9D9D6"/>
          </w:tcPr>
          <w:p>
            <w:pPr>
              <w:spacing w:after="0"/>
              <w:rPr>
                <w:sz w:val="17"/>
                <w:szCs w:val="17"/>
                <w:color w:val="auto"/>
              </w:rPr>
            </w:pPr>
          </w:p>
        </w:tc>
        <w:tc>
          <w:tcPr>
            <w:tcW w:w="8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60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D9D9D6"/>
          </w:tcPr>
          <w:p>
            <w:pPr>
              <w:spacing w:after="0"/>
              <w:rPr>
                <w:sz w:val="14"/>
                <w:szCs w:val="14"/>
                <w:color w:val="auto"/>
              </w:rPr>
            </w:pPr>
          </w:p>
        </w:tc>
        <w:tc>
          <w:tcPr>
            <w:tcW w:w="4480" w:type="dxa"/>
            <w:vAlign w:val="bottom"/>
            <w:vMerge w:val="restart"/>
            <w:shd w:val="clear" w:color="auto" w:fill="D9D9D6"/>
          </w:tcPr>
          <w:p>
            <w:pPr>
              <w:spacing w:after="0"/>
              <w:rPr>
                <w:sz w:val="20"/>
                <w:szCs w:val="20"/>
                <w:color w:val="auto"/>
              </w:rPr>
            </w:pPr>
            <w:r>
              <w:rPr>
                <w:rFonts w:ascii="Arial" w:cs="Arial" w:eastAsia="Arial" w:hAnsi="Arial"/>
                <w:sz w:val="14"/>
                <w:szCs w:val="14"/>
                <w:b w:val="1"/>
                <w:bCs w:val="1"/>
                <w:color w:val="auto"/>
              </w:rPr>
              <w:t>Consolidated Results</w:t>
            </w:r>
          </w:p>
        </w:tc>
        <w:tc>
          <w:tcPr>
            <w:tcW w:w="58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spacing w:after="0"/>
              <w:rPr>
                <w:sz w:val="14"/>
                <w:szCs w:val="14"/>
                <w:color w:val="auto"/>
              </w:rPr>
            </w:pPr>
          </w:p>
        </w:tc>
        <w:tc>
          <w:tcPr>
            <w:tcW w:w="9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4th Quarter</w:t>
            </w:r>
          </w:p>
        </w:tc>
        <w:tc>
          <w:tcPr>
            <w:tcW w:w="5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300" w:type="dxa"/>
            <w:vAlign w:val="bottom"/>
            <w:tcBorders>
              <w:right w:val="single" w:sz="8" w:color="828282"/>
            </w:tcBorders>
            <w:shd w:val="clear" w:color="auto" w:fill="D9D9D6"/>
          </w:tcPr>
          <w:p>
            <w:pPr>
              <w:spacing w:after="0"/>
              <w:rPr>
                <w:sz w:val="14"/>
                <w:szCs w:val="14"/>
                <w:color w:val="auto"/>
              </w:rPr>
            </w:pPr>
          </w:p>
        </w:tc>
        <w:tc>
          <w:tcPr>
            <w:tcW w:w="8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94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Full Year</w:t>
            </w:r>
          </w:p>
        </w:tc>
        <w:tc>
          <w:tcPr>
            <w:tcW w:w="600" w:type="dxa"/>
            <w:vAlign w:val="bottom"/>
            <w:shd w:val="clear" w:color="auto" w:fill="D9D9D6"/>
          </w:tcPr>
          <w:p>
            <w:pPr>
              <w:spacing w:after="0"/>
              <w:rPr>
                <w:sz w:val="14"/>
                <w:szCs w:val="14"/>
                <w:color w:val="auto"/>
              </w:rPr>
            </w:pPr>
          </w:p>
        </w:tc>
        <w:tc>
          <w:tcPr>
            <w:tcW w:w="50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480" w:type="dxa"/>
            <w:vAlign w:val="bottom"/>
            <w:vMerge w:val="continue"/>
            <w:shd w:val="clear" w:color="auto" w:fill="D9D9D6"/>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300" w:type="dxa"/>
            <w:vAlign w:val="bottom"/>
            <w:tcBorders>
              <w:right w:val="single" w:sz="8" w:color="828282"/>
            </w:tcBorders>
            <w:shd w:val="clear" w:color="auto" w:fill="D9D9D6"/>
          </w:tcPr>
          <w:p>
            <w:pPr>
              <w:spacing w:after="0" w:line="20" w:lineRule="exact"/>
              <w:rPr>
                <w:sz w:val="1"/>
                <w:szCs w:val="1"/>
                <w:color w:val="auto"/>
              </w:rPr>
            </w:pPr>
          </w:p>
        </w:tc>
        <w:tc>
          <w:tcPr>
            <w:tcW w:w="8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4480" w:type="dxa"/>
            <w:vAlign w:val="bottom"/>
            <w:vMerge w:val="continue"/>
            <w:shd w:val="clear" w:color="auto" w:fill="D9D9D6"/>
          </w:tcPr>
          <w:p>
            <w:pPr>
              <w:spacing w:after="0"/>
              <w:rPr>
                <w:sz w:val="14"/>
                <w:szCs w:val="14"/>
                <w:color w:val="auto"/>
              </w:rPr>
            </w:pPr>
          </w:p>
        </w:tc>
        <w:tc>
          <w:tcPr>
            <w:tcW w:w="58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2020</w:t>
            </w:r>
          </w:p>
        </w:tc>
        <w:tc>
          <w:tcPr>
            <w:tcW w:w="200" w:type="dxa"/>
            <w:vAlign w:val="bottom"/>
            <w:shd w:val="clear" w:color="auto" w:fill="D9D9D6"/>
          </w:tcPr>
          <w:p>
            <w:pPr>
              <w:spacing w:after="0"/>
              <w:rPr>
                <w:sz w:val="14"/>
                <w:szCs w:val="14"/>
                <w:color w:val="auto"/>
              </w:rPr>
            </w:pPr>
          </w:p>
        </w:tc>
        <w:tc>
          <w:tcPr>
            <w:tcW w:w="7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580" w:type="dxa"/>
            <w:vAlign w:val="bottom"/>
            <w:shd w:val="clear" w:color="auto" w:fill="D9D9D6"/>
          </w:tcPr>
          <w:p>
            <w:pPr>
              <w:spacing w:after="0"/>
              <w:rPr>
                <w:sz w:val="14"/>
                <w:szCs w:val="14"/>
                <w:color w:val="auto"/>
              </w:rPr>
            </w:pPr>
          </w:p>
        </w:tc>
        <w:tc>
          <w:tcPr>
            <w:tcW w:w="800" w:type="dxa"/>
            <w:vAlign w:val="bottom"/>
            <w:tcBorders>
              <w:right w:val="single" w:sz="8" w:color="828282"/>
            </w:tcBorders>
            <w:gridSpan w:val="3"/>
            <w:shd w:val="clear" w:color="auto" w:fill="D9D9D6"/>
          </w:tcPr>
          <w:p>
            <w:pPr>
              <w:spacing w:after="0"/>
              <w:rPr>
                <w:sz w:val="20"/>
                <w:szCs w:val="20"/>
                <w:color w:val="auto"/>
              </w:rPr>
            </w:pPr>
            <w:r>
              <w:rPr>
                <w:rFonts w:ascii="Arial" w:cs="Arial" w:eastAsia="Arial" w:hAnsi="Arial"/>
                <w:sz w:val="14"/>
                <w:szCs w:val="14"/>
                <w:color w:val="auto"/>
              </w:rPr>
              <w:t>Change</w:t>
            </w:r>
          </w:p>
        </w:tc>
        <w:tc>
          <w:tcPr>
            <w:tcW w:w="11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2020</w:t>
            </w:r>
          </w:p>
        </w:tc>
        <w:tc>
          <w:tcPr>
            <w:tcW w:w="280" w:type="dxa"/>
            <w:vAlign w:val="bottom"/>
            <w:shd w:val="clear" w:color="auto" w:fill="D9D9D6"/>
          </w:tcPr>
          <w:p>
            <w:pPr>
              <w:spacing w:after="0"/>
              <w:rPr>
                <w:sz w:val="14"/>
                <w:szCs w:val="14"/>
                <w:color w:val="auto"/>
              </w:rPr>
            </w:pPr>
          </w:p>
        </w:tc>
        <w:tc>
          <w:tcPr>
            <w:tcW w:w="6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2019</w:t>
            </w:r>
          </w:p>
        </w:tc>
        <w:tc>
          <w:tcPr>
            <w:tcW w:w="600" w:type="dxa"/>
            <w:vAlign w:val="bottom"/>
            <w:shd w:val="clear" w:color="auto" w:fill="D9D9D6"/>
          </w:tcPr>
          <w:p>
            <w:pPr>
              <w:spacing w:after="0"/>
              <w:rPr>
                <w:sz w:val="14"/>
                <w:szCs w:val="14"/>
                <w:color w:val="auto"/>
              </w:rPr>
            </w:pPr>
          </w:p>
        </w:tc>
        <w:tc>
          <w:tcPr>
            <w:tcW w:w="66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480" w:type="dxa"/>
            <w:vAlign w:val="bottom"/>
            <w:shd w:val="clear" w:color="auto" w:fill="D9D9D6"/>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828282"/>
            </w:tcBorders>
            <w:shd w:val="clear" w:color="auto" w:fill="D9D9D6"/>
          </w:tcPr>
          <w:p>
            <w:pPr>
              <w:spacing w:after="0" w:line="20" w:lineRule="exact"/>
              <w:rPr>
                <w:sz w:val="1"/>
                <w:szCs w:val="1"/>
                <w:color w:val="auto"/>
              </w:rPr>
            </w:pPr>
          </w:p>
        </w:tc>
        <w:tc>
          <w:tcPr>
            <w:tcW w:w="82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shd w:val="clear" w:color="auto" w:fill="D9D9D6"/>
          </w:tcPr>
          <w:p>
            <w:pPr>
              <w:spacing w:after="0"/>
              <w:rPr>
                <w:sz w:val="24"/>
                <w:szCs w:val="24"/>
                <w:color w:val="auto"/>
              </w:rPr>
            </w:pPr>
          </w:p>
        </w:tc>
        <w:tc>
          <w:tcPr>
            <w:tcW w:w="4480" w:type="dxa"/>
            <w:vAlign w:val="bottom"/>
            <w:shd w:val="clear" w:color="auto" w:fill="D9D9D6"/>
          </w:tcPr>
          <w:p>
            <w:pPr>
              <w:spacing w:after="0"/>
              <w:rPr>
                <w:sz w:val="20"/>
                <w:szCs w:val="20"/>
                <w:color w:val="auto"/>
              </w:rPr>
            </w:pPr>
            <w:r>
              <w:rPr>
                <w:rFonts w:ascii="Arial" w:cs="Arial" w:eastAsia="Arial" w:hAnsi="Arial"/>
                <w:sz w:val="14"/>
                <w:szCs w:val="14"/>
                <w:color w:val="auto"/>
              </w:rPr>
              <w:t>Revenue</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$27,708</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$28,398</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(2.4 %)</w:t>
            </w:r>
          </w:p>
        </w:tc>
        <w:tc>
          <w:tcPr>
            <w:tcW w:w="300" w:type="dxa"/>
            <w:vAlign w:val="bottom"/>
            <w:tcBorders>
              <w:right w:val="single" w:sz="8" w:color="828282"/>
            </w:tcBorders>
            <w:shd w:val="clear" w:color="auto" w:fill="D9D9D6"/>
          </w:tcPr>
          <w:p>
            <w:pPr>
              <w:spacing w:after="0"/>
              <w:rPr>
                <w:sz w:val="24"/>
                <w:szCs w:val="24"/>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$103,564</w:t>
            </w:r>
          </w:p>
        </w:tc>
        <w:tc>
          <w:tcPr>
            <w:tcW w:w="9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$108,942</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(4.9 %)</w:t>
            </w:r>
          </w:p>
        </w:tc>
        <w:tc>
          <w:tcPr>
            <w:tcW w:w="16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rPr>
                <w:sz w:val="20"/>
                <w:szCs w:val="20"/>
                <w:color w:val="auto"/>
              </w:rPr>
            </w:pPr>
            <w:r>
              <w:rPr>
                <w:rFonts w:ascii="Arial" w:cs="Arial" w:eastAsia="Arial" w:hAnsi="Arial"/>
                <w:sz w:val="14"/>
                <w:szCs w:val="14"/>
                <w:color w:val="auto"/>
              </w:rPr>
              <w:t>Net Income Attributable to Comcast</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$3,380</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$3,162</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6.9 %</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$10,534</w:t>
            </w:r>
          </w:p>
        </w:tc>
        <w:tc>
          <w:tcPr>
            <w:tcW w:w="9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$13,057</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(19.3 %)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line="189"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$2,617</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$3,663</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(28.5 %)</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$12,053</w:t>
            </w:r>
          </w:p>
        </w:tc>
        <w:tc>
          <w:tcPr>
            <w:tcW w:w="9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$14,417</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(16.4 %)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line="189"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$7,186</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$8,436</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(14.8 %)</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$30,826</w:t>
            </w:r>
          </w:p>
        </w:tc>
        <w:tc>
          <w:tcPr>
            <w:tcW w:w="9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$34,258</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(10.0 %)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line="189"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$0.73</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$0.68</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$2.28</w:t>
            </w:r>
          </w:p>
        </w:tc>
        <w:tc>
          <w:tcPr>
            <w:tcW w:w="9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$2.83</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(19.4 %)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line="189"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$0.56</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$0.79</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$2.61</w:t>
            </w:r>
          </w:p>
        </w:tc>
        <w:tc>
          <w:tcPr>
            <w:tcW w:w="9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$3.13</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(16.6 %)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480" w:type="dxa"/>
            <w:vAlign w:val="bottom"/>
            <w:shd w:val="clear" w:color="auto" w:fill="D9D9D6"/>
          </w:tcPr>
          <w:p>
            <w:pPr>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$5,042</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$6,235</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300" w:type="dxa"/>
            <w:vAlign w:val="bottom"/>
            <w:tcBorders>
              <w:right w:val="single" w:sz="8" w:color="828282"/>
            </w:tcBorders>
            <w:shd w:val="clear" w:color="auto" w:fill="D9D9D6"/>
          </w:tcPr>
          <w:p>
            <w:pPr>
              <w:spacing w:after="0"/>
              <w:rPr>
                <w:sz w:val="16"/>
                <w:szCs w:val="16"/>
                <w:color w:val="auto"/>
              </w:rPr>
            </w:pPr>
          </w:p>
        </w:tc>
        <w:tc>
          <w:tcPr>
            <w:tcW w:w="114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$24,737</w:t>
            </w:r>
          </w:p>
        </w:tc>
        <w:tc>
          <w:tcPr>
            <w:tcW w:w="9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$25,697</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(3.7 %)</w:t>
            </w:r>
          </w:p>
        </w:tc>
        <w:tc>
          <w:tcPr>
            <w:tcW w:w="16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D9D9D6"/>
            </w:tcBorders>
            <w:shd w:val="clear" w:color="auto" w:fill="D9D9D6"/>
          </w:tcPr>
          <w:p>
            <w:pPr>
              <w:spacing w:after="0"/>
              <w:rPr>
                <w:sz w:val="19"/>
                <w:szCs w:val="19"/>
                <w:color w:val="auto"/>
              </w:rPr>
            </w:pPr>
          </w:p>
        </w:tc>
        <w:tc>
          <w:tcPr>
            <w:tcW w:w="4480" w:type="dxa"/>
            <w:vAlign w:val="bottom"/>
            <w:tcBorders>
              <w:bottom w:val="single" w:sz="8" w:color="D9D9D6"/>
            </w:tcBorders>
            <w:shd w:val="clear" w:color="auto" w:fill="D9D9D6"/>
          </w:tcPr>
          <w:p>
            <w:pPr>
              <w:spacing w:after="0" w:line="189"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2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$1,700</w:t>
            </w:r>
          </w:p>
        </w:tc>
        <w:tc>
          <w:tcPr>
            <w:tcW w:w="940" w:type="dxa"/>
            <w:vAlign w:val="bottom"/>
            <w:tcBorders>
              <w:bottom w:val="single" w:sz="8" w:color="D9D9D6"/>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$2,484</w:t>
            </w:r>
          </w:p>
        </w:tc>
        <w:tc>
          <w:tcPr>
            <w:tcW w:w="90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(31.6</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300" w:type="dxa"/>
            <w:vAlign w:val="bottom"/>
            <w:tcBorders>
              <w:bottom w:val="single" w:sz="8" w:color="D9D9D6"/>
              <w:right w:val="single" w:sz="8" w:color="828282"/>
            </w:tcBorders>
            <w:shd w:val="clear" w:color="auto" w:fill="D9D9D6"/>
          </w:tcPr>
          <w:p>
            <w:pPr>
              <w:spacing w:after="0"/>
              <w:rPr>
                <w:sz w:val="19"/>
                <w:szCs w:val="19"/>
                <w:color w:val="auto"/>
              </w:rPr>
            </w:pPr>
          </w:p>
        </w:tc>
        <w:tc>
          <w:tcPr>
            <w:tcW w:w="114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$13,280</w:t>
            </w:r>
          </w:p>
        </w:tc>
        <w:tc>
          <w:tcPr>
            <w:tcW w:w="940" w:type="dxa"/>
            <w:vAlign w:val="bottom"/>
            <w:tcBorders>
              <w:bottom w:val="single" w:sz="8" w:color="D9D9D6"/>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$13,394</w:t>
            </w:r>
          </w:p>
        </w:tc>
        <w:tc>
          <w:tcPr>
            <w:tcW w:w="110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(0.9 %)</w:t>
            </w:r>
          </w:p>
        </w:tc>
        <w:tc>
          <w:tcPr>
            <w:tcW w:w="160" w:type="dxa"/>
            <w:vAlign w:val="bottom"/>
            <w:tcBorders>
              <w:bottom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2020 Highlights:</w:t>
      </w:r>
    </w:p>
    <w:p>
      <w:pPr>
        <w:spacing w:after="0" w:line="46"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Consolidated Adjusted EBITDA of $30.8 Billion, Adjusted EPS of $2.61 and Free Cash Flow of $13.3 Billion</w:t>
      </w:r>
    </w:p>
    <w:p>
      <w:pPr>
        <w:spacing w:after="0" w:line="9" w:lineRule="exact"/>
        <w:rPr>
          <w:rFonts w:ascii="Arial" w:cs="Arial" w:eastAsia="Arial" w:hAnsi="Arial"/>
          <w:sz w:val="18"/>
          <w:szCs w:val="18"/>
          <w:color w:val="auto"/>
        </w:rPr>
      </w:pPr>
    </w:p>
    <w:p>
      <w:pPr>
        <w:ind w:left="340" w:hanging="332"/>
        <w:spacing w:after="0" w:line="245"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Cable Communications Total Customer Relationships Increased by 1.6 Million, the Best Result on Record; Total High-Speed Internet Customers Increased by 2.0 Million, the Best Result on Record</w:t>
      </w: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Cable Communications Adjusted EBITDA Increased 8.6% and Adjusted EBITDA per Customer Relationship Increased 4.0%</w:t>
      </w:r>
    </w:p>
    <w:p>
      <w:pPr>
        <w:spacing w:after="0" w:line="17" w:lineRule="exact"/>
        <w:rPr>
          <w:rFonts w:ascii="Arial" w:cs="Arial" w:eastAsia="Arial" w:hAnsi="Arial"/>
          <w:sz w:val="18"/>
          <w:szCs w:val="18"/>
          <w:color w:val="auto"/>
        </w:rPr>
      </w:pPr>
    </w:p>
    <w:p>
      <w:pPr>
        <w:ind w:left="340" w:right="20" w:hanging="332"/>
        <w:spacing w:after="0" w:line="242"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NBCUniversal Reorganized Its Television and Streaming Businesses with a Centralized Structure Optimizing Content Creation, Distribution and Monetization</w:t>
      </w:r>
    </w:p>
    <w:p>
      <w:pPr>
        <w:spacing w:after="0" w:line="1" w:lineRule="exact"/>
        <w:rPr>
          <w:rFonts w:ascii="Arial" w:cs="Arial" w:eastAsia="Arial" w:hAnsi="Arial"/>
          <w:sz w:val="18"/>
          <w:szCs w:val="18"/>
          <w:color w:val="auto"/>
        </w:rPr>
      </w:pPr>
    </w:p>
    <w:p>
      <w:pPr>
        <w:ind w:left="340" w:hanging="332"/>
        <w:spacing w:after="0" w:line="245"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Successfully Launched Peacock, NBCUniversal's Premium Advertising-Supported Video-On-Demand Streaming Service with 33 Million Sign-Ups Across the U.S. to Date</w:t>
      </w:r>
    </w:p>
    <w:p>
      <w:pPr>
        <w:ind w:left="340" w:right="880" w:hanging="332"/>
        <w:spacing w:after="0" w:line="260"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Sky Executed Key Initiatives Across Its Markets, Including Expanding Sky Q Penetration to Over 60% in the U.K., Launching a Broadband Service in Italy and Repositioning Content Investment in Germany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4th Quarter 2020 Highlights:</w:t>
      </w:r>
    </w:p>
    <w:p>
      <w:pPr>
        <w:spacing w:after="0" w:line="46"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Consolidated Adjusted EBITDA of $7.2 Billion, Adjusted EPS of $0.56 and Free Cash Flow of $1.7 Billion</w:t>
      </w:r>
    </w:p>
    <w:p>
      <w:pPr>
        <w:spacing w:after="0" w:line="14"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Relationships Increased 455,000, the Best Fourth Quarter Result on Record; Total High-Speed Internet Customers Increased 538,000, the Best Fourth Quarter Result on Record</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12.3% and Adjusted EBITDA per Customer Relationship Increased 7.0%</w:t>
      </w:r>
    </w:p>
    <w:p>
      <w:pPr>
        <w:sectPr>
          <w:pgSz w:w="11900" w:h="16838" w:orient="portrait"/>
          <w:cols w:equalWidth="0" w:num="1">
            <w:col w:w="11240"/>
          </w:cols>
          <w:pgMar w:left="320" w:top="729" w:right="339" w:bottom="1440" w:gutter="0" w:footer="0" w:header="0"/>
        </w:sectPr>
      </w:pPr>
    </w:p>
    <w:bookmarkStart w:id="4" w:name="page5"/>
    <w:bookmarkEnd w:id="4"/>
    <w:p>
      <w:pPr>
        <w:ind w:left="340" w:hanging="332"/>
        <w:spacing w:after="0" w:line="25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Theme Parks Reached Breakeven Excluding Universal Beijing Resort Pre-Opening Costs and Despite the Continued Closure of Universal Studios Hollywood</w:t>
      </w:r>
    </w:p>
    <w:p>
      <w:pPr>
        <w:ind w:left="340" w:right="8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Sky Total Customer Relationship Net Additions Were 244,000 in the Quarter, Reflecting Net Additions in All Markets; Customer Relationships Returned to 99.8% of Pre-COVID Levels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46" w:lineRule="exact"/>
        <w:rPr>
          <w:sz w:val="20"/>
          <w:szCs w:val="20"/>
          <w:color w:val="auto"/>
        </w:rPr>
      </w:pPr>
    </w:p>
    <w:p>
      <w:pPr>
        <w:ind w:left="340" w:right="320" w:hanging="332"/>
        <w:spacing w:after="0" w:line="26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Paid Totaled $4.1 Billion in 2020; Increased Dividend by $0.08, or 9% year-over-year, to $1.00 per Share on an Annualized Basis for 2021</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6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fourth quarter of 2020 decreased 2.4% to $27.7 billion.</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increased 6.9% to $3.4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decreased 28.5% to $2.6 billion.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decreased 14.8% to $7.2 billion.</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twelve months ended December 31, 2020, revenue decreased 4.9% to $103.6 billion compared to 2019. Net income attributable to Comcast decreased 19.3% to $10.5 billion. Adjusted Net Income decreased 16.4% to $12.1 billion. Adjusted EBITDA decreased 10.0% to $30.8 billion.</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2020 was $0.73, an increase of 7.4% compared to the fourth quarter of 2019.</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decreased 29.1% to $0.56.</w:t>
      </w:r>
    </w:p>
    <w:p>
      <w:pPr>
        <w:spacing w:after="0" w:line="15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the twelve months ended December 31, 2020, EPS was $2.28, a 19.4% decrease compared to the prior year. Adjusted EPS decreased 16.6% to $2.61.</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8.2% to $ 2.8 billion in the fourth quarter of 2020. Cable Communications’ capital expenditures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to $2.1 billion. NBCUniversal’s capital expenditures decreased 41.2% to $376 million. Sky's capital expenditures increased 35.6% to $310 million.</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twelve months ended December 31, 2020, capital expenditures decreased 7.8% to $9.2 billion compared to 2019. Cable Communications' capital expenditures decreased 4.4% to $6.6 billion. NBCUniversal's capital expenditures decreased 28.3% to $1.5 billion. Sky's capital expenditures increased 24.8% to $959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$5.0 billion in the fourth quarter of 2020.</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$1.7 billion.</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the twelve months ended December 31, 2020, net cash provided by operating activities was $24.7 billion. Free cash flow was $13.3 billion.</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paid during the fourth quarter of 2020 totaled $1.1 billion. For the twelve months ended December 31, 2020, dividends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$4.1 billion.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Today, Comcast announced that it increased its dividend by $0.08, or 9% year-over-year, to $1.00 per share on an annualized basis for 2021. In accordance with the increase, the Board of Directors declared a quarterly cash dividend of $0.25 per share on the company's stock, payable April 28, 2021 to shareholders of record as of the close of business on April 7,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39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8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64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8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5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D9D9D6"/>
            </w:tcBorders>
            <w:shd w:val="clear" w:color="auto" w:fill="D9D9D6"/>
          </w:tcPr>
          <w:p>
            <w:pPr>
              <w:spacing w:after="0"/>
              <w:rPr>
                <w:sz w:val="14"/>
                <w:szCs w:val="14"/>
                <w:color w:val="auto"/>
              </w:rPr>
            </w:pPr>
          </w:p>
        </w:tc>
        <w:tc>
          <w:tcPr>
            <w:tcW w:w="3940" w:type="dxa"/>
            <w:vAlign w:val="bottom"/>
            <w:tcBorders>
              <w:bottom w:val="single" w:sz="8" w:color="D9D9D6"/>
            </w:tcBorders>
            <w:shd w:val="clear" w:color="auto" w:fill="D9D9D6"/>
          </w:tcPr>
          <w:p>
            <w:pPr>
              <w:spacing w:after="0"/>
              <w:rPr>
                <w:sz w:val="14"/>
                <w:szCs w:val="14"/>
                <w:color w:val="auto"/>
              </w:rPr>
            </w:pPr>
          </w:p>
        </w:tc>
        <w:tc>
          <w:tcPr>
            <w:tcW w:w="80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140" w:type="dxa"/>
            <w:vAlign w:val="bottom"/>
            <w:tcBorders>
              <w:bottom w:val="single" w:sz="8" w:color="D9D9D6"/>
            </w:tcBorders>
            <w:shd w:val="clear" w:color="auto" w:fill="D9D9D6"/>
          </w:tcPr>
          <w:p>
            <w:pPr>
              <w:spacing w:after="0"/>
              <w:rPr>
                <w:sz w:val="14"/>
                <w:szCs w:val="14"/>
                <w:color w:val="auto"/>
              </w:rPr>
            </w:pPr>
          </w:p>
        </w:tc>
        <w:tc>
          <w:tcPr>
            <w:tcW w:w="74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4th Quarter</w:t>
            </w:r>
          </w:p>
        </w:tc>
        <w:tc>
          <w:tcPr>
            <w:tcW w:w="240" w:type="dxa"/>
            <w:vAlign w:val="bottom"/>
            <w:tcBorders>
              <w:bottom w:val="single" w:sz="8" w:color="D9D9D6"/>
            </w:tcBorders>
            <w:gridSpan w:val="2"/>
            <w:shd w:val="clear" w:color="auto" w:fill="D9D9D6"/>
          </w:tcPr>
          <w:p>
            <w:pPr>
              <w:spacing w:after="0"/>
              <w:rPr>
                <w:sz w:val="14"/>
                <w:szCs w:val="14"/>
                <w:color w:val="auto"/>
              </w:rPr>
            </w:pPr>
          </w:p>
        </w:tc>
        <w:tc>
          <w:tcPr>
            <w:tcW w:w="52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200" w:type="dxa"/>
            <w:vAlign w:val="bottom"/>
            <w:tcBorders>
              <w:bottom w:val="single" w:sz="8" w:color="D9D9D6"/>
              <w:right w:val="single" w:sz="8" w:color="97999B"/>
            </w:tcBorders>
            <w:shd w:val="clear" w:color="auto" w:fill="D9D9D6"/>
          </w:tcPr>
          <w:p>
            <w:pPr>
              <w:spacing w:after="0"/>
              <w:rPr>
                <w:sz w:val="14"/>
                <w:szCs w:val="14"/>
                <w:color w:val="auto"/>
              </w:rPr>
            </w:pPr>
          </w:p>
        </w:tc>
        <w:tc>
          <w:tcPr>
            <w:tcW w:w="160" w:type="dxa"/>
            <w:vAlign w:val="bottom"/>
            <w:tcBorders>
              <w:bottom w:val="single" w:sz="8" w:color="D9D9D6"/>
            </w:tcBorders>
            <w:shd w:val="clear" w:color="auto" w:fill="D9D9D6"/>
          </w:tcPr>
          <w:p>
            <w:pPr>
              <w:spacing w:after="0"/>
              <w:rPr>
                <w:sz w:val="14"/>
                <w:szCs w:val="14"/>
                <w:color w:val="auto"/>
              </w:rPr>
            </w:pPr>
          </w:p>
        </w:tc>
        <w:tc>
          <w:tcPr>
            <w:tcW w:w="80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240" w:type="dxa"/>
            <w:vAlign w:val="bottom"/>
            <w:tcBorders>
              <w:bottom w:val="single" w:sz="8" w:color="D9D9D6"/>
            </w:tcBorders>
            <w:shd w:val="clear" w:color="auto" w:fill="D9D9D6"/>
          </w:tcPr>
          <w:p>
            <w:pPr>
              <w:spacing w:after="0"/>
              <w:rPr>
                <w:sz w:val="14"/>
                <w:szCs w:val="14"/>
                <w:color w:val="auto"/>
              </w:rPr>
            </w:pPr>
          </w:p>
        </w:tc>
        <w:tc>
          <w:tcPr>
            <w:tcW w:w="58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w w:val="99"/>
              </w:rPr>
              <w:t>Full Year</w:t>
            </w:r>
          </w:p>
        </w:tc>
        <w:tc>
          <w:tcPr>
            <w:tcW w:w="320" w:type="dxa"/>
            <w:vAlign w:val="bottom"/>
            <w:tcBorders>
              <w:bottom w:val="single" w:sz="8" w:color="D9D9D6"/>
            </w:tcBorders>
            <w:gridSpan w:val="2"/>
            <w:shd w:val="clear" w:color="auto" w:fill="D9D9D6"/>
          </w:tcPr>
          <w:p>
            <w:pPr>
              <w:spacing w:after="0"/>
              <w:rPr>
                <w:sz w:val="14"/>
                <w:szCs w:val="14"/>
                <w:color w:val="auto"/>
              </w:rPr>
            </w:pPr>
          </w:p>
        </w:tc>
        <w:tc>
          <w:tcPr>
            <w:tcW w:w="52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394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1040" w:type="dxa"/>
            <w:vAlign w:val="bottom"/>
            <w:gridSpan w:val="4"/>
            <w:shd w:val="clear" w:color="auto" w:fill="D9D9D6"/>
          </w:tcPr>
          <w:p>
            <w:pPr>
              <w:ind w:left="520"/>
              <w:spacing w:after="0"/>
              <w:rPr>
                <w:sz w:val="20"/>
                <w:szCs w:val="20"/>
                <w:color w:val="auto"/>
              </w:rPr>
            </w:pPr>
            <w:r>
              <w:rPr>
                <w:rFonts w:ascii="Arial" w:cs="Arial" w:eastAsia="Arial" w:hAnsi="Arial"/>
                <w:sz w:val="14"/>
                <w:szCs w:val="14"/>
                <w:color w:val="auto"/>
              </w:rPr>
              <w:t>Change</w:t>
            </w:r>
          </w:p>
        </w:tc>
        <w:tc>
          <w:tcPr>
            <w:tcW w:w="200" w:type="dxa"/>
            <w:vAlign w:val="bottom"/>
            <w:tcBorders>
              <w:right w:val="single" w:sz="8" w:color="97999B"/>
            </w:tcBorders>
            <w:shd w:val="clear" w:color="auto" w:fill="D9D9D6"/>
          </w:tcPr>
          <w:p>
            <w:pPr>
              <w:spacing w:after="0"/>
              <w:rPr>
                <w:sz w:val="14"/>
                <w:szCs w:val="14"/>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520" w:type="dxa"/>
            <w:vAlign w:val="bottom"/>
            <w:shd w:val="clear" w:color="auto" w:fill="D9D9D6"/>
          </w:tcPr>
          <w:p>
            <w:pPr>
              <w:spacing w:after="0"/>
              <w:rPr>
                <w:sz w:val="14"/>
                <w:szCs w:val="14"/>
                <w:color w:val="auto"/>
              </w:rPr>
            </w:pPr>
          </w:p>
        </w:tc>
        <w:tc>
          <w:tcPr>
            <w:tcW w:w="66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3940" w:type="dxa"/>
            <w:vAlign w:val="bottom"/>
            <w:tcBorders>
              <w:top w:val="single" w:sz="8" w:color="D9D9D6"/>
            </w:tcBorders>
            <w:vMerge w:val="continue"/>
            <w:shd w:val="clear" w:color="auto" w:fill="D9D9D6"/>
          </w:tcPr>
          <w:p>
            <w:pPr>
              <w:spacing w:after="0"/>
              <w:rPr>
                <w:sz w:val="17"/>
                <w:szCs w:val="17"/>
                <w:color w:val="auto"/>
              </w:rPr>
            </w:pPr>
          </w:p>
        </w:tc>
        <w:tc>
          <w:tcPr>
            <w:tcW w:w="8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tcBorders>
            <w:shd w:val="clear" w:color="auto" w:fill="D9D9D6"/>
          </w:tcPr>
          <w:p>
            <w:pPr>
              <w:spacing w:after="0"/>
              <w:rPr>
                <w:sz w:val="17"/>
                <w:szCs w:val="17"/>
                <w:color w:val="auto"/>
              </w:rPr>
            </w:pPr>
          </w:p>
        </w:tc>
        <w:tc>
          <w:tcPr>
            <w:tcW w:w="64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00" w:type="dxa"/>
            <w:vAlign w:val="bottom"/>
            <w:tcBorders>
              <w:top w:val="single" w:sz="8" w:color="D9D9D6"/>
              <w:right w:val="single" w:sz="8" w:color="97999B"/>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8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40" w:type="dxa"/>
            <w:vAlign w:val="bottom"/>
            <w:tcBorders>
              <w:top w:val="single" w:sz="8" w:color="D9D9D6"/>
            </w:tcBorders>
            <w:shd w:val="clear" w:color="auto" w:fill="D9D9D6"/>
          </w:tcPr>
          <w:p>
            <w:pPr>
              <w:spacing w:after="0"/>
              <w:rPr>
                <w:sz w:val="17"/>
                <w:szCs w:val="17"/>
                <w:color w:val="auto"/>
              </w:rPr>
            </w:pPr>
          </w:p>
        </w:tc>
        <w:tc>
          <w:tcPr>
            <w:tcW w:w="56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auto"/>
            </w:tcBorders>
            <w:shd w:val="clear" w:color="auto" w:fill="D9D9D6"/>
          </w:tcPr>
          <w:p>
            <w:pPr>
              <w:spacing w:after="0"/>
              <w:rPr>
                <w:sz w:val="17"/>
                <w:szCs w:val="17"/>
                <w:color w:val="auto"/>
              </w:rPr>
            </w:pPr>
          </w:p>
        </w:tc>
        <w:tc>
          <w:tcPr>
            <w:tcW w:w="3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High-Speed Internet</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$5,400</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$4,791</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$20,599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$18,752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Video</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5,469</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5,507</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21,937</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22,270</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Voice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880</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944</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3,532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3,879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Wireless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505</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372</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35.8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1,574</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1,167</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34.9 %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Business Services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2,095</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2,000</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8,191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7,795</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5.1 %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935</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699</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33.8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2,594</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2,465</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5.2 %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39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421</w:t>
            </w:r>
          </w:p>
        </w:tc>
        <w:tc>
          <w:tcPr>
            <w:tcW w:w="112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455</w:t>
            </w:r>
          </w:p>
        </w:tc>
        <w:tc>
          <w:tcPr>
            <w:tcW w:w="8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(7.5</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6"/>
                <w:szCs w:val="16"/>
                <w:color w:val="auto"/>
              </w:rPr>
            </w:pPr>
          </w:p>
        </w:tc>
        <w:tc>
          <w:tcPr>
            <w:tcW w:w="200" w:type="dxa"/>
            <w:vAlign w:val="bottom"/>
            <w:tcBorders>
              <w:bottom w:val="single" w:sz="8" w:color="D9D9D6"/>
              <w:right w:val="single" w:sz="8" w:color="97999B"/>
            </w:tcBorders>
            <w:shd w:val="clear" w:color="auto" w:fill="D9D9D6"/>
          </w:tcPr>
          <w:p>
            <w:pPr>
              <w:spacing w:after="0"/>
              <w:rPr>
                <w:sz w:val="16"/>
                <w:szCs w:val="16"/>
                <w:color w:val="auto"/>
              </w:rPr>
            </w:pPr>
          </w:p>
        </w:tc>
        <w:tc>
          <w:tcPr>
            <w:tcW w:w="160" w:type="dxa"/>
            <w:vAlign w:val="bottom"/>
            <w:tcBorders>
              <w:bottom w:val="single" w:sz="8" w:color="D9D9D6"/>
            </w:tcBorders>
            <w:shd w:val="clear" w:color="auto" w:fill="D9D9D6"/>
          </w:tcPr>
          <w:p>
            <w:pPr>
              <w:spacing w:after="0"/>
              <w:rPr>
                <w:sz w:val="16"/>
                <w:szCs w:val="16"/>
                <w:color w:val="auto"/>
              </w:rPr>
            </w:pP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1,624</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1,754</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(7.5</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3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$15,705</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$14,768</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6.3</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200" w:type="dxa"/>
            <w:vAlign w:val="bottom"/>
            <w:tcBorders>
              <w:right w:val="single" w:sz="8" w:color="97999B"/>
            </w:tcBorders>
            <w:shd w:val="clear" w:color="auto" w:fill="D9D9D6"/>
          </w:tcPr>
          <w:p>
            <w:pPr>
              <w:spacing w:after="0"/>
              <w:rPr>
                <w:sz w:val="15"/>
                <w:szCs w:val="15"/>
                <w:color w:val="auto"/>
              </w:rPr>
            </w:pPr>
          </w:p>
        </w:tc>
        <w:tc>
          <w:tcPr>
            <w:tcW w:w="160" w:type="dxa"/>
            <w:vAlign w:val="bottom"/>
            <w:shd w:val="clear" w:color="auto" w:fill="D9D9D6"/>
          </w:tcPr>
          <w:p>
            <w:pPr>
              <w:spacing w:after="0"/>
              <w:rPr>
                <w:sz w:val="15"/>
                <w:szCs w:val="15"/>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$60,051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$58,082</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3.4</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3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$6,607</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$5,883</w:t>
            </w:r>
          </w:p>
        </w:tc>
        <w:tc>
          <w:tcPr>
            <w:tcW w:w="10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12.3 %</w:t>
            </w:r>
          </w:p>
        </w:tc>
        <w:tc>
          <w:tcPr>
            <w:tcW w:w="20" w:type="dxa"/>
            <w:vAlign w:val="bottom"/>
            <w:shd w:val="clear" w:color="auto" w:fill="D9D9D6"/>
          </w:tcPr>
          <w:p>
            <w:pPr>
              <w:spacing w:after="0"/>
              <w:rPr>
                <w:sz w:val="24"/>
                <w:szCs w:val="24"/>
                <w:color w:val="auto"/>
              </w:rPr>
            </w:pPr>
          </w:p>
        </w:tc>
        <w:tc>
          <w:tcPr>
            <w:tcW w:w="20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$25,270</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$23,266</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8.6 %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42.1 %</w:t>
            </w:r>
          </w:p>
        </w:tc>
        <w:tc>
          <w:tcPr>
            <w:tcW w:w="20" w:type="dxa"/>
            <w:vAlign w:val="bottom"/>
            <w:shd w:val="clear" w:color="auto" w:fill="D9D9D6"/>
          </w:tcPr>
          <w:p>
            <w:pPr>
              <w:spacing w:after="0"/>
              <w:rPr>
                <w:sz w:val="16"/>
                <w:szCs w:val="16"/>
                <w:color w:val="auto"/>
              </w:rPr>
            </w:pPr>
          </w:p>
        </w:tc>
        <w:tc>
          <w:tcPr>
            <w:tcW w:w="110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39.8 %</w:t>
            </w: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42.1 %</w:t>
            </w:r>
          </w:p>
        </w:tc>
        <w:tc>
          <w:tcPr>
            <w:tcW w:w="20" w:type="dxa"/>
            <w:vAlign w:val="bottom"/>
            <w:shd w:val="clear" w:color="auto" w:fill="D9D9D6"/>
          </w:tcPr>
          <w:p>
            <w:pPr>
              <w:spacing w:after="0"/>
              <w:rPr>
                <w:sz w:val="16"/>
                <w:szCs w:val="16"/>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40.1 %</w:t>
            </w: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39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$2,114</w:t>
            </w:r>
          </w:p>
        </w:tc>
        <w:tc>
          <w:tcPr>
            <w:tcW w:w="112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$2,138</w:t>
            </w:r>
          </w:p>
        </w:tc>
        <w:tc>
          <w:tcPr>
            <w:tcW w:w="10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(1.1 %)</w:t>
            </w:r>
          </w:p>
        </w:tc>
        <w:tc>
          <w:tcPr>
            <w:tcW w:w="20" w:type="dxa"/>
            <w:vAlign w:val="bottom"/>
            <w:shd w:val="clear" w:color="auto" w:fill="D9D9D6"/>
          </w:tcPr>
          <w:p>
            <w:pPr>
              <w:spacing w:after="0"/>
              <w:rPr>
                <w:sz w:val="24"/>
                <w:szCs w:val="24"/>
                <w:color w:val="auto"/>
              </w:rPr>
            </w:pPr>
          </w:p>
        </w:tc>
        <w:tc>
          <w:tcPr>
            <w:tcW w:w="20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$6,605</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$6,909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(4.4 %)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394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Percent of Cable Communications Revenue</w:t>
            </w: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13.5 %</w:t>
            </w:r>
          </w:p>
        </w:tc>
        <w:tc>
          <w:tcPr>
            <w:tcW w:w="20" w:type="dxa"/>
            <w:vAlign w:val="bottom"/>
            <w:shd w:val="clear" w:color="auto" w:fill="D9D9D6"/>
          </w:tcPr>
          <w:p>
            <w:pPr>
              <w:spacing w:after="0"/>
              <w:rPr>
                <w:sz w:val="16"/>
                <w:szCs w:val="16"/>
                <w:color w:val="auto"/>
              </w:rPr>
            </w:pPr>
          </w:p>
        </w:tc>
        <w:tc>
          <w:tcPr>
            <w:tcW w:w="110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14.5 %</w:t>
            </w: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0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11.0 %</w:t>
            </w:r>
          </w:p>
        </w:tc>
        <w:tc>
          <w:tcPr>
            <w:tcW w:w="20" w:type="dxa"/>
            <w:vAlign w:val="bottom"/>
            <w:shd w:val="clear" w:color="auto" w:fill="D9D9D6"/>
          </w:tcPr>
          <w:p>
            <w:pPr>
              <w:spacing w:after="0"/>
              <w:rPr>
                <w:sz w:val="16"/>
                <w:szCs w:val="16"/>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11.9 %</w:t>
            </w: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D9D9D6"/>
          </w:tcPr>
          <w:p>
            <w:pPr>
              <w:spacing w:after="0"/>
              <w:rPr>
                <w:sz w:val="8"/>
                <w:szCs w:val="8"/>
                <w:color w:val="auto"/>
              </w:rPr>
            </w:pPr>
          </w:p>
        </w:tc>
        <w:tc>
          <w:tcPr>
            <w:tcW w:w="394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640" w:type="dxa"/>
            <w:vAlign w:val="bottom"/>
            <w:shd w:val="clear" w:color="auto" w:fill="D9D9D6"/>
          </w:tcPr>
          <w:p>
            <w:pPr>
              <w:spacing w:after="0"/>
              <w:rPr>
                <w:sz w:val="8"/>
                <w:szCs w:val="8"/>
                <w:color w:val="auto"/>
              </w:rPr>
            </w:pPr>
          </w:p>
        </w:tc>
        <w:tc>
          <w:tcPr>
            <w:tcW w:w="100" w:type="dxa"/>
            <w:vAlign w:val="bottom"/>
            <w:shd w:val="clear" w:color="auto" w:fill="D9D9D6"/>
          </w:tcPr>
          <w:p>
            <w:pPr>
              <w:spacing w:after="0"/>
              <w:rPr>
                <w:sz w:val="8"/>
                <w:szCs w:val="8"/>
                <w:color w:val="auto"/>
              </w:rPr>
            </w:pPr>
          </w:p>
        </w:tc>
        <w:tc>
          <w:tcPr>
            <w:tcW w:w="2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2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200" w:type="dxa"/>
            <w:vAlign w:val="bottom"/>
            <w:tcBorders>
              <w:right w:val="single" w:sz="8" w:color="D9D9D6"/>
            </w:tcBorders>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240" w:type="dxa"/>
            <w:vAlign w:val="bottom"/>
            <w:shd w:val="clear" w:color="auto" w:fill="D9D9D6"/>
          </w:tcPr>
          <w:p>
            <w:pPr>
              <w:spacing w:after="0"/>
              <w:rPr>
                <w:sz w:val="8"/>
                <w:szCs w:val="8"/>
                <w:color w:val="auto"/>
              </w:rPr>
            </w:pPr>
          </w:p>
        </w:tc>
        <w:tc>
          <w:tcPr>
            <w:tcW w:w="56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3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2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6.3% to $15.7 billion in the fourth quarter of 2020, driven by increases in high-speed internet,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wireless and business services revenue, partially offset by decreases in voice, video and other revenue. High-speed internet revenue increased 12.7% due to an increase in the number of residential high-speed internet customers and an increase in average rates. Advertising revenue increased 33.8%, primarily reflecting an increase in political advertising revenue. Excluding political advertising revenue, advertising revenue increased 2.2%. Wireless revenue increased 35.8% due to an increase in the number of customer lines and an increase in device sales. Business services revenue increased 4.8%, reflecting an increase in average rates and an increase in the number of customers receiving our services. Voice revenue decreased 6.8%, reflecting decreases in average rates and in the number of residential voice customers. Video revenue decreased 0.7% due to a decrease in the number of residential video customers, partially offset by an increase in average rates. Other revenue decreased 7.5%, primarily reflecting a decrease in revenue from our security and automation services.</w:t>
      </w:r>
    </w:p>
    <w:p>
      <w:pPr>
        <w:spacing w:after="0" w:line="19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For the twelve months ended December 31, 2020, Cable revenue increased 3.4% to $60.1 billion compared to 2019, driven by growth in high-speed internet, wireless, business services and advertising revenue, partially offset by a decrease in voice, video and other revenue. These results were negatively impacted by COVID-19, including accrued customer RSN fee adjustments and lower revenue due to our efforts to assist customers during this public health crisis. Excluding the impact of accrued customer RSN fee adjustments</w:t>
      </w:r>
      <w:r>
        <w:rPr>
          <w:rFonts w:ascii="Arial" w:cs="Arial" w:eastAsia="Arial" w:hAnsi="Arial"/>
          <w:sz w:val="23"/>
          <w:szCs w:val="23"/>
          <w:color w:val="auto"/>
          <w:vertAlign w:val="superscript"/>
        </w:rPr>
        <w:t>5</w:t>
      </w:r>
      <w:r>
        <w:rPr>
          <w:rFonts w:ascii="Arial" w:cs="Arial" w:eastAsia="Arial" w:hAnsi="Arial"/>
          <w:sz w:val="18"/>
          <w:szCs w:val="18"/>
          <w:color w:val="auto"/>
        </w:rPr>
        <w:t>, Cable Communications revenue increased 4.0%</w:t>
      </w:r>
      <w:r>
        <w:rPr>
          <w:rFonts w:ascii="Arial" w:cs="Arial" w:eastAsia="Arial" w:hAnsi="Arial"/>
          <w:sz w:val="19"/>
          <w:szCs w:val="19"/>
          <w:color w:val="auto"/>
        </w:rPr>
        <w:t>.</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455,000 to 33.1 million in the fourth quarter of 2020.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429,000 and business customer relationships increased by 26,000. Total high-speed internet customer net additions were 538,000, total video customer net losses were 248,000 and total voice customer net losses were 24,000. In addition, Cable Communications added 246,000 wireless lines in the quarter.</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2020, total customer relationships increased by 1.6 million. Residential customer relationships increased by 1.6 million and business customer relationships increased by 30,000. Total high-speed internet customer net additions were 2.0 million, total video customer net losses were 1.4 million and total voice customer net losses were 275,000. In addition, Cable Communications added 774,000 wireless lines during the year.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84" w:right="339" w:bottom="1440" w:gutter="0" w:footer="0" w:header="0"/>
        </w:sectPr>
      </w:pPr>
    </w:p>
    <w:bookmarkStart w:id="6" w:name="page7"/>
    <w:bookmarkEnd w:id="6"/>
    <w:tbl>
      <w:tblPr>
        <w:tblLayout w:type="fixed"/>
        <w:tblInd w:w="120" w:type="dxa"/>
        <w:tblCellMar>
          <w:top w:w="0" w:type="dxa"/>
          <w:left w:w="0" w:type="dxa"/>
          <w:bottom w:w="0" w:type="dxa"/>
          <w:right w:w="0" w:type="dxa"/>
        </w:tblCellMar>
      </w:tblPr>
      <w:tr>
        <w:trPr>
          <w:trHeight w:val="196"/>
        </w:trPr>
        <w:tc>
          <w:tcPr>
            <w:tcW w:w="47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6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940" w:type="dxa"/>
            <w:vAlign w:val="bottom"/>
            <w:gridSpan w:val="5"/>
            <w:shd w:val="clear" w:color="auto" w:fill="D9D9D6"/>
          </w:tcPr>
          <w:p>
            <w:pPr>
              <w:spacing w:after="0"/>
              <w:rPr>
                <w:sz w:val="20"/>
                <w:szCs w:val="20"/>
                <w:color w:val="auto"/>
              </w:rPr>
            </w:pPr>
            <w:r>
              <w:rPr>
                <w:rFonts w:ascii="Arial" w:cs="Arial" w:eastAsia="Arial" w:hAnsi="Arial"/>
                <w:sz w:val="14"/>
                <w:szCs w:val="14"/>
                <w:color w:val="auto"/>
              </w:rPr>
              <w:t>Net Additions</w:t>
            </w:r>
          </w:p>
        </w:tc>
        <w:tc>
          <w:tcPr>
            <w:tcW w:w="2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56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2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shd w:val="clear" w:color="auto" w:fill="D9D9D6"/>
          </w:tcPr>
          <w:p>
            <w:pPr>
              <w:spacing w:after="0"/>
              <w:rPr>
                <w:sz w:val="14"/>
                <w:szCs w:val="14"/>
                <w:color w:val="auto"/>
              </w:rPr>
            </w:pPr>
          </w:p>
        </w:tc>
        <w:tc>
          <w:tcPr>
            <w:tcW w:w="38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4Q20</w:t>
            </w:r>
          </w:p>
        </w:tc>
        <w:tc>
          <w:tcPr>
            <w:tcW w:w="520" w:type="dxa"/>
            <w:vAlign w:val="bottom"/>
            <w:shd w:val="clear" w:color="auto" w:fill="D9D9D6"/>
          </w:tcPr>
          <w:p>
            <w:pPr>
              <w:spacing w:after="0"/>
              <w:rPr>
                <w:sz w:val="14"/>
                <w:szCs w:val="14"/>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9"/>
              </w:rPr>
              <w:t>4Q19</w:t>
            </w:r>
          </w:p>
        </w:tc>
        <w:tc>
          <w:tcPr>
            <w:tcW w:w="52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8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4Q20</w:t>
            </w:r>
          </w:p>
        </w:tc>
        <w:tc>
          <w:tcPr>
            <w:tcW w:w="520" w:type="dxa"/>
            <w:vAlign w:val="bottom"/>
            <w:shd w:val="clear" w:color="auto" w:fill="D9D9D6"/>
          </w:tcPr>
          <w:p>
            <w:pPr>
              <w:spacing w:after="0"/>
              <w:rPr>
                <w:sz w:val="14"/>
                <w:szCs w:val="14"/>
                <w:color w:val="auto"/>
              </w:rPr>
            </w:pPr>
          </w:p>
        </w:tc>
        <w:tc>
          <w:tcPr>
            <w:tcW w:w="1100" w:type="dxa"/>
            <w:vAlign w:val="bottom"/>
            <w:gridSpan w:val="6"/>
            <w:shd w:val="clear" w:color="auto" w:fill="D9D9D6"/>
          </w:tcPr>
          <w:p>
            <w:pPr>
              <w:spacing w:after="0"/>
              <w:rPr>
                <w:sz w:val="20"/>
                <w:szCs w:val="20"/>
                <w:color w:val="auto"/>
              </w:rPr>
            </w:pPr>
            <w:r>
              <w:rPr>
                <w:rFonts w:ascii="Arial" w:cs="Arial" w:eastAsia="Arial" w:hAnsi="Arial"/>
                <w:sz w:val="14"/>
                <w:szCs w:val="14"/>
                <w:color w:val="auto"/>
              </w:rPr>
              <w:t>4Q19</w:t>
            </w:r>
          </w:p>
        </w:tc>
        <w:tc>
          <w:tcPr>
            <w:tcW w:w="5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16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right w:val="single" w:sz="8" w:color="D9D9D6"/>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0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2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6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right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40"/>
              <w:spacing w:after="0"/>
              <w:rPr>
                <w:sz w:val="20"/>
                <w:szCs w:val="20"/>
                <w:color w:val="auto"/>
              </w:rPr>
            </w:pPr>
            <w:r>
              <w:rPr>
                <w:rFonts w:ascii="Arial" w:cs="Arial" w:eastAsia="Arial" w:hAnsi="Arial"/>
                <w:sz w:val="14"/>
                <w:szCs w:val="14"/>
                <w:color w:val="auto"/>
              </w:rPr>
              <w:t>Residential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30,718</w:t>
            </w:r>
          </w:p>
        </w:tc>
        <w:tc>
          <w:tcPr>
            <w:tcW w:w="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29,149</w:t>
            </w:r>
          </w:p>
        </w:tc>
        <w:tc>
          <w:tcPr>
            <w:tcW w:w="14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429</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352</w:t>
            </w:r>
          </w:p>
        </w:tc>
        <w:tc>
          <w:tcPr>
            <w:tcW w:w="2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5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1,569</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1,040</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40"/>
              <w:spacing w:after="0"/>
              <w:rPr>
                <w:sz w:val="20"/>
                <w:szCs w:val="20"/>
                <w:color w:val="auto"/>
              </w:rPr>
            </w:pPr>
            <w:r>
              <w:rPr>
                <w:rFonts w:ascii="Arial" w:cs="Arial" w:eastAsia="Arial" w:hAnsi="Arial"/>
                <w:sz w:val="14"/>
                <w:szCs w:val="14"/>
                <w:color w:val="auto"/>
              </w:rPr>
              <w:t>Business Services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2,426</w:t>
            </w:r>
          </w:p>
        </w:tc>
        <w:tc>
          <w:tcPr>
            <w:tcW w:w="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2,396</w:t>
            </w:r>
          </w:p>
        </w:tc>
        <w:tc>
          <w:tcPr>
            <w:tcW w:w="14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5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30</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94</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33,144</w:t>
            </w:r>
          </w:p>
        </w:tc>
        <w:tc>
          <w:tcPr>
            <w:tcW w:w="20" w:type="dxa"/>
            <w:vAlign w:val="bottom"/>
            <w:tcBorders>
              <w:top w:val="single" w:sz="8" w:color="auto"/>
            </w:tcBorders>
            <w:shd w:val="clear" w:color="auto" w:fill="D9D9D6"/>
          </w:tcPr>
          <w:p>
            <w:pPr>
              <w:spacing w:after="0"/>
              <w:rPr>
                <w:sz w:val="15"/>
                <w:szCs w:val="15"/>
                <w:color w:val="auto"/>
              </w:rPr>
            </w:pPr>
          </w:p>
        </w:tc>
        <w:tc>
          <w:tcPr>
            <w:tcW w:w="88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31,545</w:t>
            </w:r>
          </w:p>
        </w:tc>
        <w:tc>
          <w:tcPr>
            <w:tcW w:w="520" w:type="dxa"/>
            <w:vAlign w:val="bottom"/>
            <w:tcBorders>
              <w:top w:val="single" w:sz="8" w:color="D9D9D6"/>
            </w:tcBorders>
            <w:shd w:val="clear" w:color="auto" w:fill="D9D9D6"/>
          </w:tcPr>
          <w:p>
            <w:pPr>
              <w:spacing w:after="0"/>
              <w:rPr>
                <w:sz w:val="15"/>
                <w:szCs w:val="15"/>
                <w:color w:val="auto"/>
              </w:rPr>
            </w:pPr>
          </w:p>
        </w:tc>
        <w:tc>
          <w:tcPr>
            <w:tcW w:w="88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455</w:t>
            </w:r>
          </w:p>
        </w:tc>
        <w:tc>
          <w:tcPr>
            <w:tcW w:w="20" w:type="dxa"/>
            <w:vAlign w:val="bottom"/>
            <w:tcBorders>
              <w:top w:val="single" w:sz="8" w:color="auto"/>
            </w:tcBorders>
            <w:shd w:val="clear" w:color="auto" w:fill="D9D9D6"/>
          </w:tcPr>
          <w:p>
            <w:pPr>
              <w:spacing w:after="0"/>
              <w:rPr>
                <w:sz w:val="15"/>
                <w:szCs w:val="15"/>
                <w:color w:val="auto"/>
              </w:rPr>
            </w:pPr>
          </w:p>
        </w:tc>
        <w:tc>
          <w:tcPr>
            <w:tcW w:w="880" w:type="dxa"/>
            <w:vAlign w:val="bottom"/>
            <w:tcBorders>
              <w:top w:val="single" w:sz="8" w:color="auto"/>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372</w:t>
            </w:r>
          </w:p>
        </w:tc>
        <w:tc>
          <w:tcPr>
            <w:tcW w:w="220" w:type="dxa"/>
            <w:vAlign w:val="bottom"/>
            <w:tcBorders>
              <w:top w:val="single" w:sz="8" w:color="D9D9D6"/>
            </w:tcBorders>
            <w:shd w:val="clear" w:color="auto" w:fill="D9D9D6"/>
          </w:tcPr>
          <w:p>
            <w:pPr>
              <w:spacing w:after="0"/>
              <w:rPr>
                <w:sz w:val="15"/>
                <w:szCs w:val="15"/>
                <w:color w:val="auto"/>
              </w:rPr>
            </w:pPr>
          </w:p>
        </w:tc>
        <w:tc>
          <w:tcPr>
            <w:tcW w:w="220" w:type="dxa"/>
            <w:vAlign w:val="bottom"/>
            <w:tcBorders>
              <w:top w:val="single" w:sz="8" w:color="D9D9D6"/>
            </w:tcBorders>
            <w:shd w:val="clear" w:color="auto" w:fill="D9D9D6"/>
          </w:tcPr>
          <w:p>
            <w:pPr>
              <w:spacing w:after="0"/>
              <w:rPr>
                <w:sz w:val="15"/>
                <w:szCs w:val="15"/>
                <w:color w:val="auto"/>
              </w:rPr>
            </w:pPr>
          </w:p>
        </w:tc>
        <w:tc>
          <w:tcPr>
            <w:tcW w:w="200" w:type="dxa"/>
            <w:vAlign w:val="bottom"/>
            <w:tcBorders>
              <w:top w:val="single" w:sz="8" w:color="auto"/>
            </w:tcBorders>
            <w:shd w:val="clear" w:color="auto" w:fill="D9D9D6"/>
          </w:tcPr>
          <w:p>
            <w:pPr>
              <w:spacing w:after="0"/>
              <w:rPr>
                <w:sz w:val="15"/>
                <w:szCs w:val="15"/>
                <w:color w:val="auto"/>
              </w:rPr>
            </w:pPr>
          </w:p>
        </w:tc>
        <w:tc>
          <w:tcPr>
            <w:tcW w:w="100" w:type="dxa"/>
            <w:vAlign w:val="bottom"/>
            <w:tcBorders>
              <w:top w:val="single" w:sz="8" w:color="auto"/>
            </w:tcBorders>
            <w:shd w:val="clear" w:color="auto" w:fill="D9D9D6"/>
          </w:tcPr>
          <w:p>
            <w:pPr>
              <w:spacing w:after="0"/>
              <w:rPr>
                <w:sz w:val="15"/>
                <w:szCs w:val="15"/>
                <w:color w:val="auto"/>
              </w:rPr>
            </w:pPr>
          </w:p>
        </w:tc>
        <w:tc>
          <w:tcPr>
            <w:tcW w:w="560" w:type="dxa"/>
            <w:vAlign w:val="bottom"/>
            <w:tcBorders>
              <w:top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1,599</w:t>
            </w:r>
          </w:p>
        </w:tc>
        <w:tc>
          <w:tcPr>
            <w:tcW w:w="20" w:type="dxa"/>
            <w:vAlign w:val="bottom"/>
            <w:tcBorders>
              <w:top w:val="single" w:sz="8" w:color="auto"/>
            </w:tcBorders>
            <w:shd w:val="clear" w:color="auto" w:fill="D9D9D6"/>
          </w:tcPr>
          <w:p>
            <w:pPr>
              <w:spacing w:after="0"/>
              <w:rPr>
                <w:sz w:val="15"/>
                <w:szCs w:val="15"/>
                <w:color w:val="auto"/>
              </w:rPr>
            </w:pPr>
          </w:p>
        </w:tc>
        <w:tc>
          <w:tcPr>
            <w:tcW w:w="900" w:type="dxa"/>
            <w:vAlign w:val="bottom"/>
            <w:tcBorders>
              <w:top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1,134</w:t>
            </w:r>
          </w:p>
        </w:tc>
        <w:tc>
          <w:tcPr>
            <w:tcW w:w="120" w:type="dxa"/>
            <w:vAlign w:val="bottom"/>
            <w:tcBorders>
              <w:top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520" w:type="dxa"/>
            <w:vAlign w:val="bottom"/>
            <w:shd w:val="clear" w:color="auto" w:fill="D9D9D6"/>
          </w:tcPr>
          <w:p>
            <w:pPr>
              <w:spacing w:after="0"/>
              <w:rPr>
                <w:sz w:val="18"/>
                <w:szCs w:val="18"/>
                <w:color w:val="auto"/>
              </w:rPr>
            </w:pPr>
          </w:p>
        </w:tc>
        <w:tc>
          <w:tcPr>
            <w:tcW w:w="36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520" w:type="dxa"/>
            <w:vAlign w:val="bottom"/>
            <w:shd w:val="clear" w:color="auto" w:fill="D9D9D6"/>
          </w:tcPr>
          <w:p>
            <w:pPr>
              <w:spacing w:after="0"/>
              <w:rPr>
                <w:sz w:val="18"/>
                <w:szCs w:val="18"/>
                <w:color w:val="auto"/>
              </w:rPr>
            </w:pPr>
          </w:p>
        </w:tc>
        <w:tc>
          <w:tcPr>
            <w:tcW w:w="360" w:type="dxa"/>
            <w:vAlign w:val="bottom"/>
            <w:shd w:val="clear" w:color="auto" w:fill="D9D9D6"/>
          </w:tcPr>
          <w:p>
            <w:pPr>
              <w:spacing w:after="0"/>
              <w:rPr>
                <w:sz w:val="18"/>
                <w:szCs w:val="18"/>
                <w:color w:val="auto"/>
              </w:rPr>
            </w:pPr>
          </w:p>
        </w:tc>
        <w:tc>
          <w:tcPr>
            <w:tcW w:w="520" w:type="dxa"/>
            <w:vAlign w:val="bottom"/>
            <w:shd w:val="clear" w:color="auto" w:fill="D9D9D6"/>
          </w:tcPr>
          <w:p>
            <w:pPr>
              <w:spacing w:after="0"/>
              <w:rPr>
                <w:sz w:val="18"/>
                <w:szCs w:val="18"/>
                <w:color w:val="auto"/>
              </w:rPr>
            </w:pPr>
          </w:p>
        </w:tc>
        <w:tc>
          <w:tcPr>
            <w:tcW w:w="520" w:type="dxa"/>
            <w:vAlign w:val="bottom"/>
            <w:shd w:val="clear" w:color="auto" w:fill="D9D9D6"/>
          </w:tcPr>
          <w:p>
            <w:pPr>
              <w:spacing w:after="0"/>
              <w:rPr>
                <w:sz w:val="18"/>
                <w:szCs w:val="18"/>
                <w:color w:val="auto"/>
              </w:rPr>
            </w:pPr>
          </w:p>
        </w:tc>
        <w:tc>
          <w:tcPr>
            <w:tcW w:w="36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520" w:type="dxa"/>
            <w:vAlign w:val="bottom"/>
            <w:shd w:val="clear" w:color="auto" w:fill="D9D9D6"/>
          </w:tcPr>
          <w:p>
            <w:pPr>
              <w:spacing w:after="0"/>
              <w:rPr>
                <w:sz w:val="18"/>
                <w:szCs w:val="18"/>
                <w:color w:val="auto"/>
              </w:rPr>
            </w:pPr>
          </w:p>
        </w:tc>
        <w:tc>
          <w:tcPr>
            <w:tcW w:w="160" w:type="dxa"/>
            <w:vAlign w:val="bottom"/>
            <w:shd w:val="clear" w:color="auto" w:fill="D9D9D6"/>
          </w:tcPr>
          <w:p>
            <w:pPr>
              <w:spacing w:after="0"/>
              <w:rPr>
                <w:sz w:val="18"/>
                <w:szCs w:val="18"/>
                <w:color w:val="auto"/>
              </w:rPr>
            </w:pPr>
          </w:p>
        </w:tc>
        <w:tc>
          <w:tcPr>
            <w:tcW w:w="200" w:type="dxa"/>
            <w:vAlign w:val="bottom"/>
            <w:tcBorders>
              <w:right w:val="single" w:sz="8" w:color="D9D9D6"/>
            </w:tcBorders>
            <w:shd w:val="clear" w:color="auto" w:fill="D9D9D6"/>
          </w:tcPr>
          <w:p>
            <w:pPr>
              <w:spacing w:after="0"/>
              <w:rPr>
                <w:sz w:val="18"/>
                <w:szCs w:val="18"/>
                <w:color w:val="auto"/>
              </w:rPr>
            </w:pPr>
          </w:p>
        </w:tc>
        <w:tc>
          <w:tcPr>
            <w:tcW w:w="220" w:type="dxa"/>
            <w:vAlign w:val="bottom"/>
            <w:shd w:val="clear" w:color="auto" w:fill="D9D9D6"/>
          </w:tcPr>
          <w:p>
            <w:pPr>
              <w:spacing w:after="0"/>
              <w:rPr>
                <w:sz w:val="18"/>
                <w:szCs w:val="18"/>
                <w:color w:val="auto"/>
              </w:rPr>
            </w:pPr>
          </w:p>
        </w:tc>
        <w:tc>
          <w:tcPr>
            <w:tcW w:w="220" w:type="dxa"/>
            <w:vAlign w:val="bottom"/>
            <w:shd w:val="clear" w:color="auto" w:fill="D9D9D6"/>
          </w:tcPr>
          <w:p>
            <w:pPr>
              <w:spacing w:after="0"/>
              <w:rPr>
                <w:sz w:val="18"/>
                <w:szCs w:val="18"/>
                <w:color w:val="auto"/>
              </w:rPr>
            </w:pPr>
          </w:p>
        </w:tc>
        <w:tc>
          <w:tcPr>
            <w:tcW w:w="200" w:type="dxa"/>
            <w:vAlign w:val="bottom"/>
            <w:shd w:val="clear" w:color="auto" w:fill="D9D9D6"/>
          </w:tcPr>
          <w:p>
            <w:pPr>
              <w:spacing w:after="0"/>
              <w:rPr>
                <w:sz w:val="18"/>
                <w:szCs w:val="18"/>
                <w:color w:val="auto"/>
              </w:rPr>
            </w:pPr>
          </w:p>
        </w:tc>
        <w:tc>
          <w:tcPr>
            <w:tcW w:w="100" w:type="dxa"/>
            <w:vAlign w:val="bottom"/>
            <w:shd w:val="clear" w:color="auto" w:fill="D9D9D6"/>
          </w:tcPr>
          <w:p>
            <w:pPr>
              <w:spacing w:after="0"/>
              <w:rPr>
                <w:sz w:val="18"/>
                <w:szCs w:val="18"/>
                <w:color w:val="auto"/>
              </w:rPr>
            </w:pPr>
          </w:p>
        </w:tc>
        <w:tc>
          <w:tcPr>
            <w:tcW w:w="240" w:type="dxa"/>
            <w:vAlign w:val="bottom"/>
            <w:shd w:val="clear" w:color="auto" w:fill="D9D9D6"/>
          </w:tcPr>
          <w:p>
            <w:pPr>
              <w:spacing w:after="0"/>
              <w:rPr>
                <w:sz w:val="18"/>
                <w:szCs w:val="18"/>
                <w:color w:val="auto"/>
              </w:rPr>
            </w:pPr>
          </w:p>
        </w:tc>
        <w:tc>
          <w:tcPr>
            <w:tcW w:w="32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560" w:type="dxa"/>
            <w:vAlign w:val="bottom"/>
            <w:shd w:val="clear" w:color="auto" w:fill="D9D9D6"/>
          </w:tcPr>
          <w:p>
            <w:pPr>
              <w:spacing w:after="0"/>
              <w:rPr>
                <w:sz w:val="18"/>
                <w:szCs w:val="18"/>
                <w:color w:val="auto"/>
              </w:rPr>
            </w:pPr>
          </w:p>
        </w:tc>
        <w:tc>
          <w:tcPr>
            <w:tcW w:w="340" w:type="dxa"/>
            <w:vAlign w:val="bottom"/>
            <w:tcBorders>
              <w:right w:val="single" w:sz="8" w:color="D9D9D6"/>
            </w:tcBorders>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200" w:type="dxa"/>
            <w:vAlign w:val="bottom"/>
            <w:tcBorders>
              <w:right w:val="single" w:sz="8" w:color="D9D9D6"/>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6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40"/>
              <w:spacing w:after="0"/>
              <w:rPr>
                <w:sz w:val="20"/>
                <w:szCs w:val="20"/>
                <w:color w:val="auto"/>
              </w:rPr>
            </w:pPr>
            <w:r>
              <w:rPr>
                <w:rFonts w:ascii="Arial" w:cs="Arial" w:eastAsia="Arial" w:hAnsi="Arial"/>
                <w:sz w:val="14"/>
                <w:szCs w:val="14"/>
                <w:color w:val="auto"/>
              </w:rPr>
              <w:t>One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12,434</w:t>
            </w:r>
          </w:p>
        </w:tc>
        <w:tc>
          <w:tcPr>
            <w:tcW w:w="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10,247</w:t>
            </w:r>
          </w:p>
        </w:tc>
        <w:tc>
          <w:tcPr>
            <w:tcW w:w="520" w:type="dxa"/>
            <w:vAlign w:val="bottom"/>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477</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342</w:t>
            </w:r>
          </w:p>
        </w:tc>
        <w:tc>
          <w:tcPr>
            <w:tcW w:w="2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5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2,187</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40"/>
              <w:spacing w:after="0"/>
              <w:rPr>
                <w:sz w:val="20"/>
                <w:szCs w:val="20"/>
                <w:color w:val="auto"/>
              </w:rPr>
            </w:pPr>
            <w:r>
              <w:rPr>
                <w:rFonts w:ascii="Arial" w:cs="Arial" w:eastAsia="Arial" w:hAnsi="Arial"/>
                <w:sz w:val="14"/>
                <w:szCs w:val="14"/>
                <w:color w:val="auto"/>
              </w:rPr>
              <w:t>Two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8,734</w:t>
            </w:r>
          </w:p>
        </w:tc>
        <w:tc>
          <w:tcPr>
            <w:tcW w:w="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8,923</w:t>
            </w:r>
          </w:p>
        </w:tc>
        <w:tc>
          <w:tcPr>
            <w:tcW w:w="520" w:type="dxa"/>
            <w:vAlign w:val="bottom"/>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5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(188)</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(69)</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40"/>
              <w:spacing w:after="0"/>
              <w:rPr>
                <w:sz w:val="20"/>
                <w:szCs w:val="20"/>
                <w:color w:val="auto"/>
              </w:rPr>
            </w:pPr>
            <w:r>
              <w:rPr>
                <w:rFonts w:ascii="Arial" w:cs="Arial" w:eastAsia="Arial" w:hAnsi="Arial"/>
                <w:sz w:val="14"/>
                <w:szCs w:val="14"/>
                <w:color w:val="auto"/>
              </w:rPr>
              <w:t>Three or More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9,550</w:t>
            </w:r>
          </w:p>
        </w:tc>
        <w:tc>
          <w:tcPr>
            <w:tcW w:w="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9,979</w:t>
            </w:r>
          </w:p>
        </w:tc>
        <w:tc>
          <w:tcPr>
            <w:tcW w:w="520" w:type="dxa"/>
            <w:vAlign w:val="bottom"/>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(50)</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5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(429)</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vMerge w:val="restart"/>
          </w:tcPr>
          <w:p>
            <w:pPr>
              <w:ind w:left="140"/>
              <w:spacing w:after="0"/>
              <w:rPr>
                <w:sz w:val="20"/>
                <w:szCs w:val="20"/>
                <w:color w:val="auto"/>
              </w:rPr>
            </w:pPr>
            <w:r>
              <w:rPr>
                <w:rFonts w:ascii="Arial" w:cs="Arial" w:eastAsia="Arial" w:hAnsi="Arial"/>
                <w:sz w:val="14"/>
                <w:szCs w:val="14"/>
                <w:color w:val="auto"/>
              </w:rPr>
              <w:t>Residential High-Speed Internet Customers</w:t>
            </w:r>
          </w:p>
        </w:tc>
        <w:tc>
          <w:tcPr>
            <w:tcW w:w="88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28,351</w:t>
            </w:r>
          </w:p>
        </w:tc>
        <w:tc>
          <w:tcPr>
            <w:tcW w:w="20" w:type="dxa"/>
            <w:vAlign w:val="bottom"/>
            <w:shd w:val="clear" w:color="auto" w:fill="D9D9D6"/>
          </w:tcPr>
          <w:p>
            <w:pPr>
              <w:spacing w:after="0"/>
              <w:rPr>
                <w:sz w:val="18"/>
                <w:szCs w:val="18"/>
                <w:color w:val="auto"/>
              </w:rPr>
            </w:pPr>
          </w:p>
        </w:tc>
        <w:tc>
          <w:tcPr>
            <w:tcW w:w="88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26,414</w:t>
            </w:r>
          </w:p>
        </w:tc>
        <w:tc>
          <w:tcPr>
            <w:tcW w:w="520" w:type="dxa"/>
            <w:vAlign w:val="bottom"/>
          </w:tcPr>
          <w:p>
            <w:pPr>
              <w:spacing w:after="0"/>
              <w:rPr>
                <w:sz w:val="18"/>
                <w:szCs w:val="18"/>
                <w:color w:val="auto"/>
              </w:rPr>
            </w:pPr>
          </w:p>
        </w:tc>
        <w:tc>
          <w:tcPr>
            <w:tcW w:w="88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515</w:t>
            </w:r>
          </w:p>
        </w:tc>
        <w:tc>
          <w:tcPr>
            <w:tcW w:w="20" w:type="dxa"/>
            <w:vAlign w:val="bottom"/>
            <w:shd w:val="clear" w:color="auto" w:fill="D9D9D6"/>
          </w:tcPr>
          <w:p>
            <w:pPr>
              <w:spacing w:after="0"/>
              <w:rPr>
                <w:sz w:val="18"/>
                <w:szCs w:val="18"/>
                <w:color w:val="auto"/>
              </w:rPr>
            </w:pPr>
          </w:p>
        </w:tc>
        <w:tc>
          <w:tcPr>
            <w:tcW w:w="880" w:type="dxa"/>
            <w:vAlign w:val="bottom"/>
            <w:tcBorders>
              <w:right w:val="single" w:sz="8" w:color="D9D9D6"/>
            </w:tcBorders>
            <w:gridSpan w:val="3"/>
            <w:vMerge w:val="restart"/>
            <w:shd w:val="clear" w:color="auto" w:fill="D9D9D6"/>
          </w:tcPr>
          <w:p>
            <w:pPr>
              <w:jc w:val="right"/>
              <w:spacing w:after="0"/>
              <w:rPr>
                <w:sz w:val="20"/>
                <w:szCs w:val="20"/>
                <w:color w:val="auto"/>
              </w:rPr>
            </w:pPr>
            <w:r>
              <w:rPr>
                <w:rFonts w:ascii="Arial" w:cs="Arial" w:eastAsia="Arial" w:hAnsi="Arial"/>
                <w:sz w:val="14"/>
                <w:szCs w:val="14"/>
                <w:color w:val="auto"/>
              </w:rPr>
              <w:t>424</w:t>
            </w:r>
          </w:p>
        </w:tc>
        <w:tc>
          <w:tcPr>
            <w:tcW w:w="220" w:type="dxa"/>
            <w:vAlign w:val="bottom"/>
            <w:shd w:val="clear" w:color="auto" w:fill="D9D9D6"/>
          </w:tcPr>
          <w:p>
            <w:pPr>
              <w:spacing w:after="0"/>
              <w:rPr>
                <w:sz w:val="18"/>
                <w:szCs w:val="18"/>
                <w:color w:val="auto"/>
              </w:rPr>
            </w:pPr>
          </w:p>
        </w:tc>
        <w:tc>
          <w:tcPr>
            <w:tcW w:w="220" w:type="dxa"/>
            <w:vAlign w:val="bottom"/>
            <w:shd w:val="clear" w:color="auto" w:fill="D9D9D6"/>
          </w:tcPr>
          <w:p>
            <w:pPr>
              <w:spacing w:after="0"/>
              <w:rPr>
                <w:sz w:val="18"/>
                <w:szCs w:val="18"/>
                <w:color w:val="auto"/>
              </w:rPr>
            </w:pPr>
          </w:p>
        </w:tc>
        <w:tc>
          <w:tcPr>
            <w:tcW w:w="200" w:type="dxa"/>
            <w:vAlign w:val="bottom"/>
            <w:shd w:val="clear" w:color="auto" w:fill="D9D9D6"/>
          </w:tcPr>
          <w:p>
            <w:pPr>
              <w:spacing w:after="0"/>
              <w:rPr>
                <w:sz w:val="18"/>
                <w:szCs w:val="18"/>
                <w:color w:val="auto"/>
              </w:rPr>
            </w:pPr>
          </w:p>
        </w:tc>
        <w:tc>
          <w:tcPr>
            <w:tcW w:w="100" w:type="dxa"/>
            <w:vAlign w:val="bottom"/>
            <w:shd w:val="clear" w:color="auto" w:fill="D9D9D6"/>
          </w:tcPr>
          <w:p>
            <w:pPr>
              <w:spacing w:after="0"/>
              <w:rPr>
                <w:sz w:val="18"/>
                <w:szCs w:val="18"/>
                <w:color w:val="auto"/>
              </w:rPr>
            </w:pPr>
          </w:p>
        </w:tc>
        <w:tc>
          <w:tcPr>
            <w:tcW w:w="560" w:type="dxa"/>
            <w:vAlign w:val="bottom"/>
            <w:gridSpan w:val="2"/>
            <w:vMerge w:val="restart"/>
            <w:shd w:val="clear" w:color="auto" w:fill="D9D9D6"/>
          </w:tcPr>
          <w:p>
            <w:pPr>
              <w:jc w:val="right"/>
              <w:ind w:right="40"/>
              <w:spacing w:after="0"/>
              <w:rPr>
                <w:sz w:val="20"/>
                <w:szCs w:val="20"/>
                <w:color w:val="auto"/>
              </w:rPr>
            </w:pPr>
            <w:r>
              <w:rPr>
                <w:rFonts w:ascii="Arial" w:cs="Arial" w:eastAsia="Arial" w:hAnsi="Arial"/>
                <w:sz w:val="14"/>
                <w:szCs w:val="14"/>
                <w:color w:val="auto"/>
              </w:rPr>
              <w:t>1,937</w:t>
            </w:r>
          </w:p>
        </w:tc>
        <w:tc>
          <w:tcPr>
            <w:tcW w:w="20" w:type="dxa"/>
            <w:vAlign w:val="bottom"/>
            <w:shd w:val="clear" w:color="auto" w:fill="D9D9D6"/>
          </w:tcPr>
          <w:p>
            <w:pPr>
              <w:spacing w:after="0"/>
              <w:rPr>
                <w:sz w:val="18"/>
                <w:szCs w:val="18"/>
                <w:color w:val="auto"/>
              </w:rPr>
            </w:pPr>
          </w:p>
        </w:tc>
        <w:tc>
          <w:tcPr>
            <w:tcW w:w="900" w:type="dxa"/>
            <w:vAlign w:val="bottom"/>
            <w:tcBorders>
              <w:right w:val="single" w:sz="8" w:color="D9D9D6"/>
            </w:tcBorders>
            <w:gridSpan w:val="2"/>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1,317</w:t>
            </w:r>
          </w:p>
        </w:tc>
        <w:tc>
          <w:tcPr>
            <w:tcW w:w="1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880" w:type="dxa"/>
            <w:vAlign w:val="bottom"/>
            <w:gridSpan w:val="2"/>
            <w:vMerge w:val="continue"/>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880" w:type="dxa"/>
            <w:vAlign w:val="bottom"/>
            <w:gridSpan w:val="2"/>
            <w:vMerge w:val="continue"/>
            <w:shd w:val="clear" w:color="auto" w:fill="D9D9D6"/>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vMerge w:val="continue"/>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vMerge w:val="continue"/>
            <w:shd w:val="clear" w:color="auto" w:fill="D9D9D6"/>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560" w:type="dxa"/>
            <w:vAlign w:val="bottom"/>
            <w:gridSpan w:val="2"/>
            <w:vMerge w:val="continue"/>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2"/>
            <w:vMerge w:val="continue"/>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40"/>
              <w:spacing w:after="0"/>
              <w:rPr>
                <w:sz w:val="20"/>
                <w:szCs w:val="20"/>
                <w:color w:val="auto"/>
              </w:rPr>
            </w:pPr>
            <w:r>
              <w:rPr>
                <w:rFonts w:ascii="Arial" w:cs="Arial" w:eastAsia="Arial" w:hAnsi="Arial"/>
                <w:sz w:val="14"/>
                <w:szCs w:val="14"/>
                <w:color w:val="auto"/>
              </w:rPr>
              <w:t>Business Services High-Speed Internet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2,248</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2,215</w:t>
            </w:r>
          </w:p>
        </w:tc>
        <w:tc>
          <w:tcPr>
            <w:tcW w:w="520" w:type="dxa"/>
            <w:vAlign w:val="bottom"/>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23</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shd w:val="clear" w:color="auto" w:fill="D9D9D6"/>
          </w:tcPr>
          <w:p>
            <w:pPr>
              <w:spacing w:after="0"/>
              <w:rPr>
                <w:sz w:val="16"/>
                <w:szCs w:val="16"/>
                <w:color w:val="auto"/>
              </w:rPr>
            </w:pPr>
          </w:p>
        </w:tc>
        <w:tc>
          <w:tcPr>
            <w:tcW w:w="100" w:type="dxa"/>
            <w:vAlign w:val="bottom"/>
            <w:tcBorders>
              <w:bottom w:val="single" w:sz="8" w:color="auto"/>
            </w:tcBorders>
            <w:shd w:val="clear" w:color="auto" w:fill="D9D9D6"/>
          </w:tcPr>
          <w:p>
            <w:pPr>
              <w:spacing w:after="0"/>
              <w:rPr>
                <w:sz w:val="16"/>
                <w:szCs w:val="16"/>
                <w:color w:val="auto"/>
              </w:rPr>
            </w:pPr>
          </w:p>
        </w:tc>
        <w:tc>
          <w:tcPr>
            <w:tcW w:w="5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auto"/>
            </w:tcBorders>
            <w:shd w:val="clear" w:color="auto" w:fill="D9D9D6"/>
          </w:tcPr>
          <w:p>
            <w:pPr>
              <w:spacing w:after="0"/>
              <w:rPr>
                <w:sz w:val="16"/>
                <w:szCs w:val="16"/>
                <w:color w:val="auto"/>
              </w:rPr>
            </w:pP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Total High-Speed Internet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30,600</w:t>
            </w:r>
          </w:p>
        </w:tc>
        <w:tc>
          <w:tcPr>
            <w:tcW w:w="20" w:type="dxa"/>
            <w:vAlign w:val="bottom"/>
            <w:shd w:val="clear" w:color="auto" w:fill="D9D9D6"/>
          </w:tcPr>
          <w:p>
            <w:pPr>
              <w:spacing w:after="0"/>
              <w:rPr>
                <w:sz w:val="15"/>
                <w:szCs w:val="15"/>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28,629</w:t>
            </w:r>
          </w:p>
        </w:tc>
        <w:tc>
          <w:tcPr>
            <w:tcW w:w="520" w:type="dxa"/>
            <w:vAlign w:val="bottom"/>
          </w:tcPr>
          <w:p>
            <w:pPr>
              <w:spacing w:after="0"/>
              <w:rPr>
                <w:sz w:val="15"/>
                <w:szCs w:val="15"/>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538</w:t>
            </w:r>
          </w:p>
        </w:tc>
        <w:tc>
          <w:tcPr>
            <w:tcW w:w="20" w:type="dxa"/>
            <w:vAlign w:val="bottom"/>
            <w:shd w:val="clear" w:color="auto" w:fill="D9D9D6"/>
          </w:tcPr>
          <w:p>
            <w:pPr>
              <w:spacing w:after="0"/>
              <w:rPr>
                <w:sz w:val="15"/>
                <w:szCs w:val="15"/>
                <w:color w:val="auto"/>
              </w:rPr>
            </w:pPr>
          </w:p>
        </w:tc>
        <w:tc>
          <w:tcPr>
            <w:tcW w:w="8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442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5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1,971</w:t>
            </w:r>
          </w:p>
        </w:tc>
        <w:tc>
          <w:tcPr>
            <w:tcW w:w="2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1,406</w:t>
            </w: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4700" w:type="dxa"/>
            <w:vAlign w:val="bottom"/>
          </w:tcPr>
          <w:p>
            <w:pPr>
              <w:ind w:left="140"/>
              <w:spacing w:after="0"/>
              <w:rPr>
                <w:sz w:val="20"/>
                <w:szCs w:val="20"/>
                <w:color w:val="auto"/>
              </w:rPr>
            </w:pPr>
            <w:r>
              <w:rPr>
                <w:rFonts w:ascii="Arial" w:cs="Arial" w:eastAsia="Arial" w:hAnsi="Arial"/>
                <w:sz w:val="14"/>
                <w:szCs w:val="14"/>
                <w:color w:val="auto"/>
              </w:rPr>
              <w:t>Residential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18,993</w:t>
            </w:r>
          </w:p>
        </w:tc>
        <w:tc>
          <w:tcPr>
            <w:tcW w:w="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20,288</w:t>
            </w:r>
          </w:p>
        </w:tc>
        <w:tc>
          <w:tcPr>
            <w:tcW w:w="520" w:type="dxa"/>
            <w:vAlign w:val="bottom"/>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(227)</w:t>
            </w:r>
          </w:p>
        </w:tc>
        <w:tc>
          <w:tcPr>
            <w:tcW w:w="20" w:type="dxa"/>
            <w:vAlign w:val="bottom"/>
            <w:shd w:val="clear" w:color="auto" w:fill="D9D9D6"/>
          </w:tcPr>
          <w:p>
            <w:pPr>
              <w:spacing w:after="0"/>
              <w:rPr>
                <w:sz w:val="24"/>
                <w:szCs w:val="24"/>
                <w:color w:val="auto"/>
              </w:rPr>
            </w:pPr>
          </w:p>
        </w:tc>
        <w:tc>
          <w:tcPr>
            <w:tcW w:w="8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(133)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5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(1,295)</w:t>
            </w:r>
          </w:p>
        </w:tc>
        <w:tc>
          <w:tcPr>
            <w:tcW w:w="20" w:type="dxa"/>
            <w:vAlign w:val="bottom"/>
            <w:shd w:val="clear" w:color="auto" w:fill="D9D9D6"/>
          </w:tcPr>
          <w:p>
            <w:pPr>
              <w:spacing w:after="0"/>
              <w:rPr>
                <w:sz w:val="24"/>
                <w:szCs w:val="24"/>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40"/>
              <w:spacing w:after="0"/>
              <w:rPr>
                <w:sz w:val="20"/>
                <w:szCs w:val="20"/>
                <w:color w:val="auto"/>
              </w:rPr>
            </w:pPr>
            <w:r>
              <w:rPr>
                <w:rFonts w:ascii="Arial" w:cs="Arial" w:eastAsia="Arial" w:hAnsi="Arial"/>
                <w:sz w:val="14"/>
                <w:szCs w:val="14"/>
                <w:color w:val="auto"/>
              </w:rPr>
              <w:t>Business Services Video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852</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966</w:t>
            </w:r>
          </w:p>
        </w:tc>
        <w:tc>
          <w:tcPr>
            <w:tcW w:w="520" w:type="dxa"/>
            <w:vAlign w:val="bottom"/>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(21)</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shd w:val="clear" w:color="auto" w:fill="D9D9D6"/>
          </w:tcPr>
          <w:p>
            <w:pPr>
              <w:spacing w:after="0"/>
              <w:rPr>
                <w:sz w:val="16"/>
                <w:szCs w:val="16"/>
                <w:color w:val="auto"/>
              </w:rPr>
            </w:pPr>
          </w:p>
        </w:tc>
        <w:tc>
          <w:tcPr>
            <w:tcW w:w="100" w:type="dxa"/>
            <w:vAlign w:val="bottom"/>
            <w:tcBorders>
              <w:bottom w:val="single" w:sz="8" w:color="auto"/>
            </w:tcBorders>
            <w:shd w:val="clear" w:color="auto" w:fill="D9D9D6"/>
          </w:tcPr>
          <w:p>
            <w:pPr>
              <w:spacing w:after="0"/>
              <w:rPr>
                <w:sz w:val="16"/>
                <w:szCs w:val="16"/>
                <w:color w:val="auto"/>
              </w:rPr>
            </w:pPr>
          </w:p>
        </w:tc>
        <w:tc>
          <w:tcPr>
            <w:tcW w:w="5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(114)</w:t>
            </w:r>
          </w:p>
        </w:tc>
        <w:tc>
          <w:tcPr>
            <w:tcW w:w="20" w:type="dxa"/>
            <w:vAlign w:val="bottom"/>
            <w:tcBorders>
              <w:bottom w:val="single" w:sz="8" w:color="auto"/>
            </w:tcBorders>
            <w:shd w:val="clear" w:color="auto" w:fill="D9D9D6"/>
          </w:tcPr>
          <w:p>
            <w:pPr>
              <w:spacing w:after="0"/>
              <w:rPr>
                <w:sz w:val="16"/>
                <w:szCs w:val="16"/>
                <w:color w:val="auto"/>
              </w:rPr>
            </w:pPr>
          </w:p>
        </w:tc>
        <w:tc>
          <w:tcPr>
            <w:tcW w:w="900" w:type="dxa"/>
            <w:vAlign w:val="bottom"/>
            <w:tcBorders>
              <w:bottom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19,846</w:t>
            </w:r>
          </w:p>
        </w:tc>
        <w:tc>
          <w:tcPr>
            <w:tcW w:w="20" w:type="dxa"/>
            <w:vAlign w:val="bottom"/>
            <w:shd w:val="clear" w:color="auto" w:fill="D9D9D6"/>
          </w:tcPr>
          <w:p>
            <w:pPr>
              <w:spacing w:after="0"/>
              <w:rPr>
                <w:sz w:val="15"/>
                <w:szCs w:val="15"/>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21,254</w:t>
            </w:r>
          </w:p>
        </w:tc>
        <w:tc>
          <w:tcPr>
            <w:tcW w:w="520" w:type="dxa"/>
            <w:vAlign w:val="bottom"/>
          </w:tcPr>
          <w:p>
            <w:pPr>
              <w:spacing w:after="0"/>
              <w:rPr>
                <w:sz w:val="15"/>
                <w:szCs w:val="15"/>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(248)</w:t>
            </w:r>
          </w:p>
        </w:tc>
        <w:tc>
          <w:tcPr>
            <w:tcW w:w="20" w:type="dxa"/>
            <w:vAlign w:val="bottom"/>
            <w:shd w:val="clear" w:color="auto" w:fill="D9D9D6"/>
          </w:tcPr>
          <w:p>
            <w:pPr>
              <w:spacing w:after="0"/>
              <w:rPr>
                <w:sz w:val="15"/>
                <w:szCs w:val="15"/>
                <w:color w:val="auto"/>
              </w:rPr>
            </w:pPr>
          </w:p>
        </w:tc>
        <w:tc>
          <w:tcPr>
            <w:tcW w:w="8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(149)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5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(1,408)</w:t>
            </w:r>
          </w:p>
        </w:tc>
        <w:tc>
          <w:tcPr>
            <w:tcW w:w="2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(733)</w:t>
            </w: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4700" w:type="dxa"/>
            <w:vAlign w:val="bottom"/>
          </w:tcPr>
          <w:p>
            <w:pPr>
              <w:ind w:left="140"/>
              <w:spacing w:after="0"/>
              <w:rPr>
                <w:sz w:val="20"/>
                <w:szCs w:val="20"/>
                <w:color w:val="auto"/>
              </w:rPr>
            </w:pPr>
            <w:r>
              <w:rPr>
                <w:rFonts w:ascii="Arial" w:cs="Arial" w:eastAsia="Arial" w:hAnsi="Arial"/>
                <w:sz w:val="14"/>
                <w:szCs w:val="14"/>
                <w:color w:val="auto"/>
              </w:rPr>
              <w:t>Residential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9,645</w:t>
            </w:r>
          </w:p>
        </w:tc>
        <w:tc>
          <w:tcPr>
            <w:tcW w:w="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9,934</w:t>
            </w:r>
          </w:p>
        </w:tc>
        <w:tc>
          <w:tcPr>
            <w:tcW w:w="520" w:type="dxa"/>
            <w:vAlign w:val="bottom"/>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D9D9D6"/>
          </w:tcPr>
          <w:p>
            <w:pPr>
              <w:spacing w:after="0"/>
              <w:rPr>
                <w:sz w:val="24"/>
                <w:szCs w:val="24"/>
                <w:color w:val="auto"/>
              </w:rPr>
            </w:pPr>
          </w:p>
        </w:tc>
        <w:tc>
          <w:tcPr>
            <w:tcW w:w="8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5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(289)</w:t>
            </w:r>
          </w:p>
        </w:tc>
        <w:tc>
          <w:tcPr>
            <w:tcW w:w="20" w:type="dxa"/>
            <w:vAlign w:val="bottom"/>
            <w:shd w:val="clear" w:color="auto" w:fill="D9D9D6"/>
          </w:tcPr>
          <w:p>
            <w:pPr>
              <w:spacing w:after="0"/>
              <w:rPr>
                <w:sz w:val="24"/>
                <w:szCs w:val="24"/>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40"/>
              <w:spacing w:after="0"/>
              <w:rPr>
                <w:sz w:val="20"/>
                <w:szCs w:val="20"/>
                <w:color w:val="auto"/>
              </w:rPr>
            </w:pPr>
            <w:r>
              <w:rPr>
                <w:rFonts w:ascii="Arial" w:cs="Arial" w:eastAsia="Arial" w:hAnsi="Arial"/>
                <w:sz w:val="14"/>
                <w:szCs w:val="14"/>
                <w:color w:val="auto"/>
              </w:rPr>
              <w:t>Business Services Voice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1,357</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1,342</w:t>
            </w:r>
          </w:p>
        </w:tc>
        <w:tc>
          <w:tcPr>
            <w:tcW w:w="520" w:type="dxa"/>
            <w:vAlign w:val="bottom"/>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shd w:val="clear" w:color="auto" w:fill="D9D9D6"/>
          </w:tcPr>
          <w:p>
            <w:pPr>
              <w:spacing w:after="0"/>
              <w:rPr>
                <w:sz w:val="16"/>
                <w:szCs w:val="16"/>
                <w:color w:val="auto"/>
              </w:rPr>
            </w:pPr>
          </w:p>
        </w:tc>
        <w:tc>
          <w:tcPr>
            <w:tcW w:w="100" w:type="dxa"/>
            <w:vAlign w:val="bottom"/>
            <w:tcBorders>
              <w:bottom w:val="single" w:sz="8" w:color="auto"/>
            </w:tcBorders>
            <w:shd w:val="clear" w:color="auto" w:fill="D9D9D6"/>
          </w:tcPr>
          <w:p>
            <w:pPr>
              <w:spacing w:after="0"/>
              <w:rPr>
                <w:sz w:val="16"/>
                <w:szCs w:val="16"/>
                <w:color w:val="auto"/>
              </w:rPr>
            </w:pPr>
          </w:p>
        </w:tc>
        <w:tc>
          <w:tcPr>
            <w:tcW w:w="5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shd w:val="clear" w:color="auto" w:fill="D9D9D6"/>
          </w:tcPr>
          <w:p>
            <w:pPr>
              <w:spacing w:after="0"/>
              <w:rPr>
                <w:sz w:val="16"/>
                <w:szCs w:val="16"/>
                <w:color w:val="auto"/>
              </w:rPr>
            </w:pP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11,002</w:t>
            </w:r>
          </w:p>
        </w:tc>
        <w:tc>
          <w:tcPr>
            <w:tcW w:w="20" w:type="dxa"/>
            <w:vAlign w:val="bottom"/>
            <w:shd w:val="clear" w:color="auto" w:fill="D9D9D6"/>
          </w:tcPr>
          <w:p>
            <w:pPr>
              <w:spacing w:after="0"/>
              <w:rPr>
                <w:sz w:val="15"/>
                <w:szCs w:val="15"/>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11,276</w:t>
            </w:r>
          </w:p>
        </w:tc>
        <w:tc>
          <w:tcPr>
            <w:tcW w:w="520" w:type="dxa"/>
            <w:vAlign w:val="bottom"/>
          </w:tcPr>
          <w:p>
            <w:pPr>
              <w:spacing w:after="0"/>
              <w:rPr>
                <w:sz w:val="15"/>
                <w:szCs w:val="15"/>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(24)</w:t>
            </w:r>
          </w:p>
        </w:tc>
        <w:tc>
          <w:tcPr>
            <w:tcW w:w="20" w:type="dxa"/>
            <w:vAlign w:val="bottom"/>
            <w:shd w:val="clear" w:color="auto" w:fill="D9D9D6"/>
          </w:tcPr>
          <w:p>
            <w:pPr>
              <w:spacing w:after="0"/>
              <w:rPr>
                <w:sz w:val="15"/>
                <w:szCs w:val="15"/>
                <w:color w:val="auto"/>
              </w:rPr>
            </w:pPr>
          </w:p>
        </w:tc>
        <w:tc>
          <w:tcPr>
            <w:tcW w:w="88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5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(275)</w:t>
            </w:r>
          </w:p>
        </w:tc>
        <w:tc>
          <w:tcPr>
            <w:tcW w:w="2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D9D9D6"/>
          </w:tcPr>
          <w:p>
            <w:pPr>
              <w:spacing w:after="0"/>
              <w:rPr>
                <w:sz w:val="18"/>
                <w:szCs w:val="18"/>
                <w:color w:val="auto"/>
              </w:rPr>
            </w:pPr>
          </w:p>
        </w:tc>
        <w:tc>
          <w:tcPr>
            <w:tcW w:w="360" w:type="dxa"/>
            <w:vAlign w:val="bottom"/>
            <w:shd w:val="clear" w:color="auto" w:fill="D9D9D6"/>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D9D9D6"/>
          </w:tcPr>
          <w:p>
            <w:pPr>
              <w:spacing w:after="0"/>
              <w:rPr>
                <w:sz w:val="18"/>
                <w:szCs w:val="18"/>
                <w:color w:val="auto"/>
              </w:rPr>
            </w:pPr>
          </w:p>
        </w:tc>
        <w:tc>
          <w:tcPr>
            <w:tcW w:w="160" w:type="dxa"/>
            <w:vAlign w:val="bottom"/>
            <w:shd w:val="clear" w:color="auto" w:fill="D9D9D6"/>
          </w:tcPr>
          <w:p>
            <w:pPr>
              <w:spacing w:after="0"/>
              <w:rPr>
                <w:sz w:val="18"/>
                <w:szCs w:val="18"/>
                <w:color w:val="auto"/>
              </w:rPr>
            </w:pPr>
          </w:p>
        </w:tc>
        <w:tc>
          <w:tcPr>
            <w:tcW w:w="200" w:type="dxa"/>
            <w:vAlign w:val="bottom"/>
            <w:tcBorders>
              <w:right w:val="single" w:sz="8" w:color="D9D9D6"/>
            </w:tcBorders>
            <w:shd w:val="clear" w:color="auto" w:fill="D9D9D6"/>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shd w:val="clear" w:color="auto" w:fill="D9D9D6"/>
          </w:tcPr>
          <w:p>
            <w:pPr>
              <w:spacing w:after="0"/>
              <w:rPr>
                <w:sz w:val="18"/>
                <w:szCs w:val="18"/>
                <w:color w:val="auto"/>
              </w:rPr>
            </w:pPr>
          </w:p>
        </w:tc>
        <w:tc>
          <w:tcPr>
            <w:tcW w:w="340" w:type="dxa"/>
            <w:vAlign w:val="bottom"/>
            <w:tcBorders>
              <w:right w:val="single" w:sz="8" w:color="D9D9D6"/>
            </w:tcBorders>
            <w:shd w:val="clear" w:color="auto" w:fill="D9D9D6"/>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68580" cy="3291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32918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-3102610</wp:posOffset>
            </wp:positionV>
            <wp:extent cx="7063740" cy="3257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325755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p>
      <w:pPr>
        <w:spacing w:after="0" w:line="20" w:lineRule="exact"/>
        <w:rPr>
          <w:sz w:val="20"/>
          <w:szCs w:val="20"/>
          <w:color w:val="auto"/>
        </w:rPr>
      </w:pPr>
    </w:p>
    <w:tbl>
      <w:tblPr>
        <w:tblLayout w:type="fixed"/>
        <w:tblInd w:w="140" w:type="dxa"/>
        <w:tblCellMar>
          <w:top w:w="0" w:type="dxa"/>
          <w:left w:w="0" w:type="dxa"/>
          <w:bottom w:w="0" w:type="dxa"/>
          <w:right w:w="0" w:type="dxa"/>
        </w:tblCellMar>
      </w:tblPr>
      <w:tr>
        <w:trPr>
          <w:trHeight w:val="169"/>
        </w:trPr>
        <w:tc>
          <w:tcPr>
            <w:tcW w:w="4680" w:type="dxa"/>
            <w:vAlign w:val="bottom"/>
          </w:tcPr>
          <w:p>
            <w:pPr>
              <w:spacing w:after="0"/>
              <w:rPr>
                <w:sz w:val="20"/>
                <w:szCs w:val="20"/>
                <w:color w:val="auto"/>
              </w:rPr>
            </w:pPr>
            <w:r>
              <w:rPr>
                <w:rFonts w:ascii="Arial" w:cs="Arial" w:eastAsia="Arial" w:hAnsi="Arial"/>
                <w:sz w:val="14"/>
                <w:szCs w:val="14"/>
                <w:b w:val="1"/>
                <w:bCs w:val="1"/>
                <w:color w:val="auto"/>
              </w:rPr>
              <w:t>Total Wireless Lines</w:t>
            </w:r>
          </w:p>
        </w:tc>
        <w:tc>
          <w:tcPr>
            <w:tcW w:w="90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2,826</w:t>
            </w:r>
          </w:p>
        </w:tc>
        <w:tc>
          <w:tcPr>
            <w:tcW w:w="8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2,052</w:t>
            </w:r>
          </w:p>
        </w:tc>
        <w:tc>
          <w:tcPr>
            <w:tcW w:w="520" w:type="dxa"/>
            <w:vAlign w:val="bottom"/>
          </w:tcPr>
          <w:p>
            <w:pPr>
              <w:spacing w:after="0"/>
              <w:rPr>
                <w:sz w:val="14"/>
                <w:szCs w:val="14"/>
                <w:color w:val="auto"/>
              </w:rPr>
            </w:pPr>
          </w:p>
        </w:tc>
        <w:tc>
          <w:tcPr>
            <w:tcW w:w="900" w:type="dxa"/>
            <w:vAlign w:val="bottom"/>
            <w:shd w:val="clear" w:color="auto" w:fill="D9D9D6"/>
          </w:tcPr>
          <w:p>
            <w:pPr>
              <w:jc w:val="right"/>
              <w:ind w:right="8"/>
              <w:spacing w:after="0"/>
              <w:rPr>
                <w:sz w:val="20"/>
                <w:szCs w:val="20"/>
                <w:color w:val="auto"/>
              </w:rPr>
            </w:pPr>
            <w:r>
              <w:rPr>
                <w:rFonts w:ascii="Arial" w:cs="Arial" w:eastAsia="Arial" w:hAnsi="Arial"/>
                <w:sz w:val="14"/>
                <w:szCs w:val="14"/>
                <w:b w:val="1"/>
                <w:bCs w:val="1"/>
                <w:color w:val="auto"/>
              </w:rPr>
              <w:t>246</w:t>
            </w:r>
          </w:p>
        </w:tc>
        <w:tc>
          <w:tcPr>
            <w:tcW w:w="8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261</w:t>
            </w:r>
          </w:p>
        </w:tc>
      </w:tr>
      <w:tr>
        <w:trPr>
          <w:trHeight w:val="54"/>
        </w:trPr>
        <w:tc>
          <w:tcPr>
            <w:tcW w:w="4680" w:type="dxa"/>
            <w:vAlign w:val="bottom"/>
          </w:tcPr>
          <w:p>
            <w:pPr>
              <w:spacing w:after="0"/>
              <w:rPr>
                <w:sz w:val="4"/>
                <w:szCs w:val="4"/>
                <w:color w:val="auto"/>
              </w:rPr>
            </w:pPr>
          </w:p>
        </w:tc>
        <w:tc>
          <w:tcPr>
            <w:tcW w:w="900" w:type="dxa"/>
            <w:vAlign w:val="bottom"/>
            <w:shd w:val="clear" w:color="auto" w:fill="D9D9D6"/>
          </w:tcPr>
          <w:p>
            <w:pPr>
              <w:spacing w:after="0"/>
              <w:rPr>
                <w:sz w:val="4"/>
                <w:szCs w:val="4"/>
                <w:color w:val="auto"/>
              </w:rPr>
            </w:pPr>
          </w:p>
        </w:tc>
        <w:tc>
          <w:tcPr>
            <w:tcW w:w="880" w:type="dxa"/>
            <w:vAlign w:val="bottom"/>
            <w:shd w:val="clear" w:color="auto" w:fill="D9D9D6"/>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shd w:val="clear" w:color="auto" w:fill="D9D9D6"/>
          </w:tcPr>
          <w:p>
            <w:pPr>
              <w:spacing w:after="0"/>
              <w:rPr>
                <w:sz w:val="4"/>
                <w:szCs w:val="4"/>
                <w:color w:val="auto"/>
              </w:rPr>
            </w:pPr>
          </w:p>
        </w:tc>
        <w:tc>
          <w:tcPr>
            <w:tcW w:w="880" w:type="dxa"/>
            <w:vAlign w:val="bottom"/>
            <w:shd w:val="clear" w:color="auto" w:fill="D9D9D6"/>
          </w:tcPr>
          <w:p>
            <w:pPr>
              <w:spacing w:after="0"/>
              <w:rPr>
                <w:sz w:val="4"/>
                <w:szCs w:val="4"/>
                <w:color w:val="auto"/>
              </w:rPr>
            </w:pPr>
          </w:p>
        </w:tc>
      </w:tr>
    </w:tbl>
    <w:p>
      <w:pPr>
        <w:spacing w:after="0" w:line="20" w:lineRule="exact"/>
        <w:rPr>
          <w:sz w:val="20"/>
          <w:szCs w:val="20"/>
          <w:color w:val="auto"/>
        </w:rPr>
      </w:pPr>
      <w:r>
        <w:rPr>
          <w:sz w:val="20"/>
          <w:szCs w:val="20"/>
          <w:color w:val="auto"/>
        </w:rPr>
        <w:br w:type="column"/>
      </w:r>
    </w:p>
    <w:p>
      <w:pPr>
        <w:spacing w:after="0"/>
        <w:tabs>
          <w:tab w:leader="none" w:pos="880" w:val="left"/>
        </w:tabs>
        <w:rPr>
          <w:sz w:val="20"/>
          <w:szCs w:val="20"/>
          <w:color w:val="auto"/>
        </w:rPr>
      </w:pPr>
      <w:r>
        <w:rPr>
          <w:rFonts w:ascii="Arial" w:cs="Arial" w:eastAsia="Arial" w:hAnsi="Arial"/>
          <w:sz w:val="14"/>
          <w:szCs w:val="14"/>
          <w:b w:val="1"/>
          <w:bCs w:val="1"/>
          <w:color w:val="auto"/>
        </w:rPr>
        <w:t>774</w:t>
      </w:r>
      <w:r>
        <w:rPr>
          <w:sz w:val="20"/>
          <w:szCs w:val="20"/>
          <w:color w:val="auto"/>
        </w:rPr>
        <w:tab/>
      </w:r>
      <w:r>
        <w:rPr>
          <w:rFonts w:ascii="Arial" w:cs="Arial" w:eastAsia="Arial" w:hAnsi="Arial"/>
          <w:sz w:val="14"/>
          <w:szCs w:val="14"/>
          <w:b w:val="1"/>
          <w:bCs w:val="1"/>
          <w:color w:val="auto"/>
        </w:rPr>
        <w:t>816</w:t>
      </w:r>
    </w:p>
    <w:p>
      <w:pPr>
        <w:spacing w:after="0" w:line="282" w:lineRule="exact"/>
        <w:rPr>
          <w:sz w:val="20"/>
          <w:szCs w:val="20"/>
          <w:color w:val="auto"/>
        </w:rPr>
      </w:pPr>
    </w:p>
    <w:p>
      <w:pPr>
        <w:sectPr>
          <w:pgSz w:w="11900" w:h="16838" w:orient="portrait"/>
          <w:cols w:equalWidth="0" w:num="2">
            <w:col w:w="9200" w:space="720"/>
            <w:col w:w="1320"/>
          </w:cols>
          <w:pgMar w:left="320" w:top="828" w:right="339" w:bottom="1440" w:gutter="0" w:footer="0" w:header="0"/>
          <w:type w:val="continuous"/>
        </w:sectPr>
      </w:pP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12.3% to $6.6 billion in the fourth quarter of 2020,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2.4% increase in operating expenses. Programming costs increased 7.2%, reflecting the timing of contract renewals, partially offset by a decline in the number of video subscribers. Non-programming expenses were consistent with the prior year period, reflecting lower technical and product support expenses, customer service expenses and other operating expenses, offset by higher advertising, marketing and promotion expenses and franchise and regulatory fees. Non-programming expenses per customer relationship decreased 5.1%. Adjusted EBITDA per customer relationship increased 7.0%, and Adjusted EBITDA margin was 42.1% compared to 39.8% in the fourth quarter of 2019. Cable Communications results include a loss of $60 million from our wireless business, compared to a loss of $116 million in the prior year period.</w:t>
      </w:r>
    </w:p>
    <w:p>
      <w:pPr>
        <w:spacing w:after="0" w:line="194"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For the twelve months ended December 31, 2020, Cable Adjusted EBITDA increased 8.6% to $25.3 billion compared to 2019, reflecting higher revenue and operating expenses that were consistent with the prior year. Programming costs increased 0.8%, reflecting the timing of contract renewals, partially offset by adjustments for provisions in our programming distribution agreements with RSNs related to canceled sporting events as a result of COVID-19 and a decline in the number of video subscribers. Excluding the impact of accrued RSN adjustments</w:t>
      </w:r>
      <w:r>
        <w:rPr>
          <w:rFonts w:ascii="Arial" w:cs="Arial" w:eastAsia="Arial" w:hAnsi="Arial"/>
          <w:sz w:val="23"/>
          <w:szCs w:val="23"/>
          <w:color w:val="auto"/>
          <w:vertAlign w:val="superscript"/>
        </w:rPr>
        <w:t>5</w:t>
      </w:r>
      <w:r>
        <w:rPr>
          <w:rFonts w:ascii="Arial" w:cs="Arial" w:eastAsia="Arial" w:hAnsi="Arial"/>
          <w:sz w:val="18"/>
          <w:szCs w:val="18"/>
          <w:color w:val="auto"/>
        </w:rPr>
        <w:t>, programming costs increased 3.6%. Non-programming expenses decreased 0.7% and non-programming expenses per customer relationship decreased 4.9%, reflecting benefits from cost savings initiatives, partially offset by higher costs as a result of COVID-</w:t>
      </w:r>
    </w:p>
    <w:p>
      <w:pPr>
        <w:spacing w:after="0" w:line="3" w:lineRule="exact"/>
        <w:rPr>
          <w:sz w:val="20"/>
          <w:szCs w:val="20"/>
          <w:color w:val="auto"/>
        </w:rPr>
      </w:pPr>
    </w:p>
    <w:p>
      <w:pPr>
        <w:jc w:val="both"/>
        <w:ind w:firstLine="8"/>
        <w:spacing w:after="0" w:line="216"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twelve months ended December 31, 2020, Adjusted EBITDA per customer relationship increased 4.0%, and Adjusted EBITDA margin was 42.1% compared to 40.1% in 2019. While the accrued RSN adjustments did not impact Adjusted EBITDA for the twelve months ended December 31, 2020, these adjustments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increased Adjusted EBITDA margin by 30 basis points. Cable Communications results include a loss of $206 million from our wireless business, compared to a loss of $401 million in the prior year</w:t>
      </w:r>
      <w:r>
        <w:rPr>
          <w:rFonts w:ascii="Arial" w:cs="Arial" w:eastAsia="Arial" w:hAnsi="Arial"/>
          <w:sz w:val="19"/>
          <w:szCs w:val="19"/>
          <w:color w:val="auto"/>
        </w:rPr>
        <w:t>.</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decreased 1.1% to $2.1 billion in the fourth quarter of 2020, primarily reflecting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spending on support capital, partially offset by increased investment in scalable infrastructure. Cable capital expenditures represented 13.5% of Cable revenue in the fourth quarter of 2020 compared to 14.5% in last year's fourth quarter.</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the twelve months ended December 31, 2020, Cable capital expenditures decreased 4.4% to $6.6 billion, primarily reflecting lower spending on customer premise equipment and support capital, partially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828" w:right="339" w:bottom="1440" w:gutter="0" w:footer="0" w:header="0"/>
          <w:type w:val="continuous"/>
        </w:sectPr>
      </w:pPr>
    </w:p>
    <w:bookmarkStart w:id="7" w:name="page8"/>
    <w:bookmarkEnd w:id="7"/>
    <w:p>
      <w:pPr>
        <w:jc w:val="both"/>
        <w:spacing w:after="0" w:line="292" w:lineRule="auto"/>
        <w:rPr>
          <w:sz w:val="20"/>
          <w:szCs w:val="20"/>
          <w:color w:val="auto"/>
        </w:rPr>
      </w:pPr>
      <w:r>
        <w:rPr>
          <w:rFonts w:ascii="Arial" w:cs="Arial" w:eastAsia="Arial" w:hAnsi="Arial"/>
          <w:sz w:val="18"/>
          <w:szCs w:val="18"/>
          <w:color w:val="auto"/>
        </w:rPr>
        <w:t>offset by increased investment in scalable infrastructure. Cable capital expenditures represented 11.0% of Cable revenue compared to 11.9% in 2019.</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 w:type="dxa"/>
            <w:vAlign w:val="bottom"/>
            <w:tcBorders>
              <w:bottom w:val="single" w:sz="8" w:color="D9D9D6"/>
            </w:tcBorders>
            <w:shd w:val="clear" w:color="auto" w:fill="D9D9D6"/>
          </w:tcPr>
          <w:p>
            <w:pPr>
              <w:spacing w:after="0"/>
              <w:rPr>
                <w:sz w:val="17"/>
                <w:szCs w:val="17"/>
                <w:color w:val="auto"/>
              </w:rPr>
            </w:pPr>
          </w:p>
        </w:tc>
        <w:tc>
          <w:tcPr>
            <w:tcW w:w="49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right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right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D9D9D6"/>
          </w:tcPr>
          <w:p>
            <w:pPr>
              <w:spacing w:after="0"/>
              <w:rPr>
                <w:sz w:val="14"/>
                <w:szCs w:val="14"/>
                <w:color w:val="auto"/>
              </w:rPr>
            </w:pPr>
          </w:p>
        </w:tc>
        <w:tc>
          <w:tcPr>
            <w:tcW w:w="492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90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4th Quarter</w:t>
            </w:r>
          </w:p>
        </w:tc>
        <w:tc>
          <w:tcPr>
            <w:tcW w:w="320" w:type="dxa"/>
            <w:vAlign w:val="bottom"/>
            <w:shd w:val="clear" w:color="auto" w:fill="D9D9D6"/>
          </w:tcPr>
          <w:p>
            <w:pPr>
              <w:spacing w:after="0"/>
              <w:rPr>
                <w:sz w:val="14"/>
                <w:szCs w:val="14"/>
                <w:color w:val="auto"/>
              </w:rPr>
            </w:pPr>
          </w:p>
        </w:tc>
        <w:tc>
          <w:tcPr>
            <w:tcW w:w="50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260" w:type="dxa"/>
            <w:vAlign w:val="bottom"/>
            <w:tcBorders>
              <w:right w:val="single" w:sz="8" w:color="97999B"/>
            </w:tcBorders>
            <w:shd w:val="clear" w:color="auto" w:fill="D9D9D6"/>
          </w:tcPr>
          <w:p>
            <w:pPr>
              <w:spacing w:after="0"/>
              <w:rPr>
                <w:sz w:val="14"/>
                <w:szCs w:val="14"/>
                <w:color w:val="auto"/>
              </w:rPr>
            </w:pPr>
          </w:p>
        </w:tc>
        <w:tc>
          <w:tcPr>
            <w:tcW w:w="220" w:type="dxa"/>
            <w:vAlign w:val="bottom"/>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Full Year</w:t>
            </w:r>
          </w:p>
        </w:tc>
        <w:tc>
          <w:tcPr>
            <w:tcW w:w="540" w:type="dxa"/>
            <w:vAlign w:val="bottom"/>
            <w:shd w:val="clear" w:color="auto" w:fill="D9D9D6"/>
          </w:tcPr>
          <w:p>
            <w:pPr>
              <w:spacing w:after="0"/>
              <w:rPr>
                <w:sz w:val="14"/>
                <w:szCs w:val="14"/>
                <w:color w:val="auto"/>
              </w:rPr>
            </w:pPr>
          </w:p>
        </w:tc>
        <w:tc>
          <w:tcPr>
            <w:tcW w:w="50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492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60" w:type="dxa"/>
            <w:vAlign w:val="bottom"/>
            <w:tcBorders>
              <w:right w:val="single" w:sz="8" w:color="97999B"/>
            </w:tcBorders>
            <w:shd w:val="clear" w:color="auto" w:fill="D9D9D6"/>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40" w:type="dxa"/>
            <w:vAlign w:val="bottom"/>
            <w:shd w:val="clear" w:color="auto" w:fill="D9D9D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shd w:val="clear" w:color="auto" w:fill="D9D9D6"/>
          </w:tcPr>
          <w:p>
            <w:pPr>
              <w:spacing w:after="0"/>
              <w:rPr>
                <w:sz w:val="14"/>
                <w:szCs w:val="14"/>
                <w:color w:val="auto"/>
              </w:rPr>
            </w:pPr>
          </w:p>
        </w:tc>
        <w:tc>
          <w:tcPr>
            <w:tcW w:w="492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60" w:type="dxa"/>
            <w:vAlign w:val="bottom"/>
            <w:shd w:val="clear" w:color="auto" w:fill="D9D9D6"/>
          </w:tcPr>
          <w:p>
            <w:pPr>
              <w:spacing w:after="0"/>
              <w:rPr>
                <w:sz w:val="14"/>
                <w:szCs w:val="14"/>
                <w:color w:val="auto"/>
              </w:rPr>
            </w:pPr>
          </w:p>
        </w:tc>
        <w:tc>
          <w:tcPr>
            <w:tcW w:w="72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2019</w:t>
            </w:r>
          </w:p>
        </w:tc>
        <w:tc>
          <w:tcPr>
            <w:tcW w:w="1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52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7"/>
              </w:rPr>
              <w:t>Change</w:t>
            </w:r>
          </w:p>
        </w:tc>
        <w:tc>
          <w:tcPr>
            <w:tcW w:w="260" w:type="dxa"/>
            <w:vAlign w:val="bottom"/>
            <w:tcBorders>
              <w:right w:val="single" w:sz="8" w:color="97999B"/>
            </w:tcBorders>
            <w:shd w:val="clear" w:color="auto" w:fill="D9D9D6"/>
          </w:tcPr>
          <w:p>
            <w:pPr>
              <w:spacing w:after="0"/>
              <w:rPr>
                <w:sz w:val="14"/>
                <w:szCs w:val="14"/>
                <w:color w:val="auto"/>
              </w:rPr>
            </w:pPr>
          </w:p>
        </w:tc>
        <w:tc>
          <w:tcPr>
            <w:tcW w:w="11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240" w:type="dxa"/>
            <w:vAlign w:val="bottom"/>
            <w:shd w:val="clear" w:color="auto" w:fill="D9D9D6"/>
          </w:tcPr>
          <w:p>
            <w:pPr>
              <w:spacing w:after="0"/>
              <w:rPr>
                <w:sz w:val="14"/>
                <w:szCs w:val="14"/>
                <w:color w:val="auto"/>
              </w:rPr>
            </w:pPr>
          </w:p>
        </w:tc>
        <w:tc>
          <w:tcPr>
            <w:tcW w:w="6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540" w:type="dxa"/>
            <w:vAlign w:val="bottom"/>
            <w:shd w:val="clear" w:color="auto" w:fill="D9D9D6"/>
          </w:tcPr>
          <w:p>
            <w:pPr>
              <w:spacing w:after="0"/>
              <w:rPr>
                <w:sz w:val="14"/>
                <w:szCs w:val="14"/>
                <w:color w:val="auto"/>
              </w:rPr>
            </w:pPr>
          </w:p>
        </w:tc>
        <w:tc>
          <w:tcPr>
            <w:tcW w:w="64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96"/>
        </w:trPr>
        <w:tc>
          <w:tcPr>
            <w:tcW w:w="100" w:type="dxa"/>
            <w:vAlign w:val="bottom"/>
            <w:tcBorders>
              <w:top w:val="single" w:sz="8" w:color="D9D9D6"/>
            </w:tcBorders>
            <w:shd w:val="clear" w:color="auto" w:fill="D9D9D6"/>
          </w:tcPr>
          <w:p>
            <w:pPr>
              <w:spacing w:after="0"/>
              <w:rPr>
                <w:sz w:val="17"/>
                <w:szCs w:val="17"/>
                <w:color w:val="auto"/>
              </w:rPr>
            </w:pPr>
          </w:p>
        </w:tc>
        <w:tc>
          <w:tcPr>
            <w:tcW w:w="4920" w:type="dxa"/>
            <w:vAlign w:val="bottom"/>
            <w:tcBorders>
              <w:top w:val="single" w:sz="8" w:color="D9D9D6"/>
            </w:tcBorders>
            <w:vMerge w:val="continue"/>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right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60" w:type="dxa"/>
            <w:vAlign w:val="bottom"/>
            <w:tcBorders>
              <w:top w:val="single" w:sz="8" w:color="D9D9D6"/>
              <w:right w:val="single" w:sz="8" w:color="97999B"/>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40" w:type="dxa"/>
            <w:vAlign w:val="bottom"/>
            <w:tcBorders>
              <w:top w:val="single" w:sz="8" w:color="D9D9D6"/>
            </w:tcBorders>
            <w:shd w:val="clear" w:color="auto" w:fill="D9D9D6"/>
          </w:tcPr>
          <w:p>
            <w:pPr>
              <w:spacing w:after="0"/>
              <w:rPr>
                <w:sz w:val="17"/>
                <w:szCs w:val="17"/>
                <w:color w:val="auto"/>
              </w:rPr>
            </w:pPr>
          </w:p>
        </w:tc>
        <w:tc>
          <w:tcPr>
            <w:tcW w:w="30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right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Cable Networks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$2,739</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$2,927</w:t>
            </w: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(6.4 %)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$10,849</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$11,513</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Broadcast Television</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2,782</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3,162</w:t>
            </w: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(12.0 %)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10,244</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10,261</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(0.2 %)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Filmed Entertainment</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1,432</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1,562</w:t>
            </w: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(8.3 %)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5,276</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6,493</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(18.7 %)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579</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1,562</w:t>
            </w: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(62.9 %)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1,846</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5,933</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(68.9 %)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other and eliminations</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(32)</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(60)</w:t>
            </w:r>
          </w:p>
        </w:tc>
        <w:tc>
          <w:tcPr>
            <w:tcW w:w="1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52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(133)</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(233)</w:t>
            </w:r>
          </w:p>
        </w:tc>
        <w:tc>
          <w:tcPr>
            <w:tcW w:w="540" w:type="dxa"/>
            <w:vAlign w:val="bottom"/>
            <w:shd w:val="clear" w:color="auto" w:fill="D9D9D6"/>
          </w:tcPr>
          <w:p>
            <w:pPr>
              <w:spacing w:after="0"/>
              <w:rPr>
                <w:sz w:val="16"/>
                <w:szCs w:val="16"/>
                <w:color w:val="auto"/>
              </w:rPr>
            </w:pPr>
          </w:p>
        </w:tc>
        <w:tc>
          <w:tcPr>
            <w:tcW w:w="64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100" w:type="dxa"/>
            <w:vAlign w:val="bottom"/>
            <w:tcBorders>
              <w:top w:val="single" w:sz="8" w:color="D9D9D6"/>
            </w:tcBorders>
            <w:shd w:val="clear" w:color="auto" w:fill="D9D9D6"/>
          </w:tcPr>
          <w:p>
            <w:pPr>
              <w:spacing w:after="0"/>
              <w:rPr>
                <w:sz w:val="15"/>
                <w:szCs w:val="15"/>
                <w:color w:val="auto"/>
              </w:rPr>
            </w:pPr>
          </w:p>
        </w:tc>
        <w:tc>
          <w:tcPr>
            <w:tcW w:w="492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40" w:type="dxa"/>
            <w:vAlign w:val="bottom"/>
            <w:tcBorders>
              <w:top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$7,500</w:t>
            </w:r>
          </w:p>
        </w:tc>
        <w:tc>
          <w:tcPr>
            <w:tcW w:w="20" w:type="dxa"/>
            <w:vAlign w:val="bottom"/>
            <w:tcBorders>
              <w:top w:val="single" w:sz="8" w:color="auto"/>
            </w:tcBorders>
            <w:shd w:val="clear" w:color="auto" w:fill="D9D9D6"/>
          </w:tcPr>
          <w:p>
            <w:pPr>
              <w:spacing w:after="0"/>
              <w:rPr>
                <w:sz w:val="15"/>
                <w:szCs w:val="15"/>
                <w:color w:val="auto"/>
              </w:rPr>
            </w:pPr>
          </w:p>
        </w:tc>
        <w:tc>
          <w:tcPr>
            <w:tcW w:w="880" w:type="dxa"/>
            <w:vAlign w:val="bottom"/>
            <w:tcBorders>
              <w:top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$9,153</w:t>
            </w:r>
          </w:p>
        </w:tc>
        <w:tc>
          <w:tcPr>
            <w:tcW w:w="180" w:type="dxa"/>
            <w:vAlign w:val="bottom"/>
            <w:tcBorders>
              <w:top w:val="single" w:sz="8" w:color="auto"/>
            </w:tcBorders>
            <w:shd w:val="clear" w:color="auto" w:fill="D9D9D6"/>
          </w:tcPr>
          <w:p>
            <w:pPr>
              <w:spacing w:after="0"/>
              <w:rPr>
                <w:sz w:val="15"/>
                <w:szCs w:val="15"/>
                <w:color w:val="auto"/>
              </w:rPr>
            </w:pPr>
          </w:p>
        </w:tc>
        <w:tc>
          <w:tcPr>
            <w:tcW w:w="82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(18.1 %)</w:t>
            </w:r>
          </w:p>
        </w:tc>
        <w:tc>
          <w:tcPr>
            <w:tcW w:w="20" w:type="dxa"/>
            <w:vAlign w:val="bottom"/>
            <w:tcBorders>
              <w:top w:val="single" w:sz="8" w:color="auto"/>
            </w:tcBorders>
            <w:shd w:val="clear" w:color="auto" w:fill="D9D9D6"/>
          </w:tcPr>
          <w:p>
            <w:pPr>
              <w:spacing w:after="0"/>
              <w:rPr>
                <w:sz w:val="15"/>
                <w:szCs w:val="15"/>
                <w:color w:val="auto"/>
              </w:rPr>
            </w:pPr>
          </w:p>
        </w:tc>
        <w:tc>
          <w:tcPr>
            <w:tcW w:w="260" w:type="dxa"/>
            <w:vAlign w:val="bottom"/>
            <w:tcBorders>
              <w:top w:val="single" w:sz="8" w:color="D9D9D6"/>
              <w:right w:val="single" w:sz="8" w:color="97999B"/>
            </w:tcBorders>
            <w:shd w:val="clear" w:color="auto" w:fill="D9D9D6"/>
          </w:tcPr>
          <w:p>
            <w:pPr>
              <w:spacing w:after="0"/>
              <w:rPr>
                <w:sz w:val="15"/>
                <w:szCs w:val="15"/>
                <w:color w:val="auto"/>
              </w:rPr>
            </w:pPr>
          </w:p>
        </w:tc>
        <w:tc>
          <w:tcPr>
            <w:tcW w:w="220" w:type="dxa"/>
            <w:vAlign w:val="bottom"/>
            <w:tcBorders>
              <w:top w:val="single" w:sz="8" w:color="D9D9D6"/>
            </w:tcBorders>
            <w:shd w:val="clear" w:color="auto" w:fill="D9D9D6"/>
          </w:tcPr>
          <w:p>
            <w:pPr>
              <w:spacing w:after="0"/>
              <w:rPr>
                <w:sz w:val="15"/>
                <w:szCs w:val="15"/>
                <w:color w:val="auto"/>
              </w:rPr>
            </w:pPr>
          </w:p>
        </w:tc>
        <w:tc>
          <w:tcPr>
            <w:tcW w:w="860" w:type="dxa"/>
            <w:vAlign w:val="bottom"/>
            <w:tcBorders>
              <w:top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$28,082</w:t>
            </w:r>
          </w:p>
        </w:tc>
        <w:tc>
          <w:tcPr>
            <w:tcW w:w="20" w:type="dxa"/>
            <w:vAlign w:val="bottom"/>
            <w:tcBorders>
              <w:top w:val="single" w:sz="8" w:color="auto"/>
            </w:tcBorders>
            <w:shd w:val="clear" w:color="auto" w:fill="D9D9D6"/>
          </w:tcPr>
          <w:p>
            <w:pPr>
              <w:spacing w:after="0"/>
              <w:rPr>
                <w:sz w:val="15"/>
                <w:szCs w:val="15"/>
                <w:color w:val="auto"/>
              </w:rPr>
            </w:pPr>
          </w:p>
        </w:tc>
        <w:tc>
          <w:tcPr>
            <w:tcW w:w="880" w:type="dxa"/>
            <w:vAlign w:val="bottom"/>
            <w:tcBorders>
              <w:top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$33,967</w:t>
            </w:r>
          </w:p>
        </w:tc>
        <w:tc>
          <w:tcPr>
            <w:tcW w:w="104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(17.3 %)</w:t>
            </w:r>
          </w:p>
        </w:tc>
        <w:tc>
          <w:tcPr>
            <w:tcW w:w="20" w:type="dxa"/>
            <w:vAlign w:val="bottom"/>
            <w:tcBorders>
              <w:top w:val="single" w:sz="8" w:color="auto"/>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0" w:type="dxa"/>
            <w:vAlign w:val="bottom"/>
            <w:shd w:val="clear" w:color="auto" w:fill="D9D9D6"/>
          </w:tcPr>
          <w:p>
            <w:pPr>
              <w:spacing w:after="0"/>
              <w:rPr>
                <w:sz w:val="24"/>
                <w:szCs w:val="24"/>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360" w:type="dxa"/>
            <w:vAlign w:val="bottom"/>
            <w:tcBorders>
              <w:right w:val="single" w:sz="8" w:color="D9D9D6"/>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60" w:type="dxa"/>
            <w:vAlign w:val="bottom"/>
            <w:tcBorders>
              <w:right w:val="single" w:sz="8" w:color="97999B"/>
            </w:tcBorders>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Cable Networks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$1,255</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$1,026</w:t>
            </w: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22.4 %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$4,616</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$4,444</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Broadcast Television</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356</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471</w:t>
            </w: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(24.3 %)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1,934</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1,730</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11.8 %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Filmed Entertainment</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151</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91</w:t>
            </w: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65.2 %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785</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833</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(15)</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636</w:t>
            </w:r>
          </w:p>
        </w:tc>
        <w:tc>
          <w:tcPr>
            <w:tcW w:w="18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(102.3 %)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(541)</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2,455</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(122.0 %)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other and eliminations</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(144)</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(204)</w:t>
            </w:r>
          </w:p>
        </w:tc>
        <w:tc>
          <w:tcPr>
            <w:tcW w:w="1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52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(525)</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(690)</w:t>
            </w:r>
          </w:p>
        </w:tc>
        <w:tc>
          <w:tcPr>
            <w:tcW w:w="540" w:type="dxa"/>
            <w:vAlign w:val="bottom"/>
            <w:shd w:val="clear" w:color="auto" w:fill="D9D9D6"/>
          </w:tcPr>
          <w:p>
            <w:pPr>
              <w:spacing w:after="0"/>
              <w:rPr>
                <w:sz w:val="16"/>
                <w:szCs w:val="16"/>
                <w:color w:val="auto"/>
              </w:rPr>
            </w:pPr>
          </w:p>
        </w:tc>
        <w:tc>
          <w:tcPr>
            <w:tcW w:w="64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17"/>
        </w:trPr>
        <w:tc>
          <w:tcPr>
            <w:tcW w:w="100" w:type="dxa"/>
            <w:vAlign w:val="bottom"/>
            <w:tcBorders>
              <w:top w:val="single" w:sz="8" w:color="D9D9D6"/>
              <w:bottom w:val="single" w:sz="8" w:color="D9D9D6"/>
            </w:tcBorders>
            <w:shd w:val="clear" w:color="auto" w:fill="D9D9D6"/>
          </w:tcPr>
          <w:p>
            <w:pPr>
              <w:spacing w:after="0"/>
              <w:rPr>
                <w:sz w:val="18"/>
                <w:szCs w:val="18"/>
                <w:color w:val="auto"/>
              </w:rPr>
            </w:pPr>
          </w:p>
        </w:tc>
        <w:tc>
          <w:tcPr>
            <w:tcW w:w="4920" w:type="dxa"/>
            <w:vAlign w:val="bottom"/>
            <w:tcBorders>
              <w:top w:val="single" w:sz="8" w:color="D9D9D6"/>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40" w:type="dxa"/>
            <w:vAlign w:val="bottom"/>
            <w:tcBorders>
              <w:top w:val="single" w:sz="8" w:color="auto"/>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$1,603</w:t>
            </w:r>
          </w:p>
        </w:tc>
        <w:tc>
          <w:tcPr>
            <w:tcW w:w="20" w:type="dxa"/>
            <w:vAlign w:val="bottom"/>
            <w:tcBorders>
              <w:top w:val="single" w:sz="8" w:color="auto"/>
              <w:bottom w:val="single" w:sz="8" w:color="D9D9D6"/>
            </w:tcBorders>
            <w:shd w:val="clear" w:color="auto" w:fill="D9D9D6"/>
          </w:tcPr>
          <w:p>
            <w:pPr>
              <w:spacing w:after="0"/>
              <w:rPr>
                <w:sz w:val="18"/>
                <w:szCs w:val="18"/>
                <w:color w:val="auto"/>
              </w:rPr>
            </w:pPr>
          </w:p>
        </w:tc>
        <w:tc>
          <w:tcPr>
            <w:tcW w:w="880" w:type="dxa"/>
            <w:vAlign w:val="bottom"/>
            <w:tcBorders>
              <w:top w:val="single" w:sz="8" w:color="auto"/>
              <w:bottom w:val="single" w:sz="8" w:color="D9D9D6"/>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D9D9D6"/>
            </w:tcBorders>
            <w:shd w:val="clear" w:color="auto" w:fill="D9D9D6"/>
          </w:tcPr>
          <w:p>
            <w:pPr>
              <w:spacing w:after="0"/>
              <w:rPr>
                <w:sz w:val="18"/>
                <w:szCs w:val="18"/>
                <w:color w:val="auto"/>
              </w:rPr>
            </w:pPr>
          </w:p>
        </w:tc>
        <w:tc>
          <w:tcPr>
            <w:tcW w:w="820" w:type="dxa"/>
            <w:vAlign w:val="bottom"/>
            <w:tcBorders>
              <w:top w:val="single" w:sz="8" w:color="auto"/>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(20.7 %)</w:t>
            </w:r>
          </w:p>
        </w:tc>
        <w:tc>
          <w:tcPr>
            <w:tcW w:w="20" w:type="dxa"/>
            <w:vAlign w:val="bottom"/>
            <w:tcBorders>
              <w:top w:val="single" w:sz="8" w:color="auto"/>
              <w:bottom w:val="single" w:sz="8" w:color="D9D9D6"/>
            </w:tcBorders>
            <w:shd w:val="clear" w:color="auto" w:fill="D9D9D6"/>
          </w:tcPr>
          <w:p>
            <w:pPr>
              <w:spacing w:after="0"/>
              <w:rPr>
                <w:sz w:val="18"/>
                <w:szCs w:val="18"/>
                <w:color w:val="auto"/>
              </w:rPr>
            </w:pPr>
          </w:p>
        </w:tc>
        <w:tc>
          <w:tcPr>
            <w:tcW w:w="260" w:type="dxa"/>
            <w:vAlign w:val="bottom"/>
            <w:tcBorders>
              <w:top w:val="single" w:sz="8" w:color="D9D9D6"/>
              <w:bottom w:val="single" w:sz="8" w:color="D9D9D6"/>
              <w:right w:val="single" w:sz="8" w:color="97999B"/>
            </w:tcBorders>
            <w:shd w:val="clear" w:color="auto" w:fill="D9D9D6"/>
          </w:tcPr>
          <w:p>
            <w:pPr>
              <w:spacing w:after="0"/>
              <w:rPr>
                <w:sz w:val="18"/>
                <w:szCs w:val="18"/>
                <w:color w:val="auto"/>
              </w:rPr>
            </w:pPr>
          </w:p>
        </w:tc>
        <w:tc>
          <w:tcPr>
            <w:tcW w:w="220" w:type="dxa"/>
            <w:vAlign w:val="bottom"/>
            <w:tcBorders>
              <w:top w:val="single" w:sz="8" w:color="D9D9D6"/>
              <w:bottom w:val="single" w:sz="8" w:color="D9D9D6"/>
            </w:tcBorders>
            <w:shd w:val="clear" w:color="auto" w:fill="D9D9D6"/>
          </w:tcPr>
          <w:p>
            <w:pPr>
              <w:spacing w:after="0"/>
              <w:rPr>
                <w:sz w:val="18"/>
                <w:szCs w:val="18"/>
                <w:color w:val="auto"/>
              </w:rPr>
            </w:pPr>
          </w:p>
        </w:tc>
        <w:tc>
          <w:tcPr>
            <w:tcW w:w="860" w:type="dxa"/>
            <w:vAlign w:val="bottom"/>
            <w:tcBorders>
              <w:top w:val="single" w:sz="8" w:color="auto"/>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$6,269</w:t>
            </w:r>
          </w:p>
        </w:tc>
        <w:tc>
          <w:tcPr>
            <w:tcW w:w="20" w:type="dxa"/>
            <w:vAlign w:val="bottom"/>
            <w:tcBorders>
              <w:top w:val="single" w:sz="8" w:color="auto"/>
              <w:bottom w:val="single" w:sz="8" w:color="D9D9D6"/>
            </w:tcBorders>
            <w:shd w:val="clear" w:color="auto" w:fill="D9D9D6"/>
          </w:tcPr>
          <w:p>
            <w:pPr>
              <w:spacing w:after="0"/>
              <w:rPr>
                <w:sz w:val="18"/>
                <w:szCs w:val="18"/>
                <w:color w:val="auto"/>
              </w:rPr>
            </w:pPr>
          </w:p>
        </w:tc>
        <w:tc>
          <w:tcPr>
            <w:tcW w:w="880" w:type="dxa"/>
            <w:vAlign w:val="bottom"/>
            <w:tcBorders>
              <w:top w:val="single" w:sz="8" w:color="auto"/>
              <w:bottom w:val="single" w:sz="8" w:color="D9D9D6"/>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$8,772</w:t>
            </w:r>
          </w:p>
        </w:tc>
        <w:tc>
          <w:tcPr>
            <w:tcW w:w="1040" w:type="dxa"/>
            <w:vAlign w:val="bottom"/>
            <w:tcBorders>
              <w:top w:val="single" w:sz="8" w:color="auto"/>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(28.5 %)</w:t>
            </w:r>
          </w:p>
        </w:tc>
        <w:tc>
          <w:tcPr>
            <w:tcW w:w="20" w:type="dxa"/>
            <w:vAlign w:val="bottom"/>
            <w:tcBorders>
              <w:top w:val="single" w:sz="8" w:color="auto"/>
              <w:bottom w:val="single" w:sz="8" w:color="D9D9D6"/>
            </w:tcBorders>
            <w:shd w:val="clear" w:color="auto" w:fill="D9D9D6"/>
          </w:tcPr>
          <w:p>
            <w:pPr>
              <w:spacing w:after="0"/>
              <w:rPr>
                <w:sz w:val="18"/>
                <w:szCs w:val="18"/>
                <w:color w:val="auto"/>
              </w:rPr>
            </w:pPr>
          </w:p>
        </w:tc>
        <w:tc>
          <w:tcPr>
            <w:tcW w:w="120" w:type="dxa"/>
            <w:vAlign w:val="bottom"/>
            <w:tcBorders>
              <w:top w:val="single" w:sz="8" w:color="D9D9D6"/>
              <w:bottom w:val="single" w:sz="8" w:color="D9D9D6"/>
            </w:tcBorders>
            <w:shd w:val="clear" w:color="auto" w:fill="D9D9D6"/>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18.1% to $7.5 billion in the fourth quarter of 2020.</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20.7% to $1.6 billion.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twelve months ended December 31, 2020, NBCUniversal revenue decreased 17.3% to $28.1 billion compared to last year's results.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decreased 28.5% to $6.3 billion.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Cable Networks revenue decreased 6.4% to $2.7 billion in the fourth quarter of 2020, reflecting lower content licensing and other revenue, advertising revenue and distribution revenue. Content licensing and other revenue decreased 37.9% due to the timing of content provided under licensing agreements. Advertising revenue decreased 4.2%, reflecting continued ratings declines at our networks and reduced spending from advertisers related to the delayed start of some professional sports seasons due to COVID-19, partially offset by higher pricing. Distribution revenue was consistent with the prior year period, reflecting a decline in subscribers, offset by contractual rate increases. Adjusted EBITDA increased 22.4% to $ 1.3 billion in the fourth quarter of 2020, primarily reflecting lower revenue, more than offset by lower programming and production expenses. The decrease in programming and production expenses was primarily driven by the reduced number of sporting events resulting from the delayed start of some professional sports seasons due to COVID-19.</w:t>
      </w:r>
    </w:p>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For the twelve months ended December 31, 2020, revenue from the Cable Networks segment decreased 5.8% to $10.8 billion compared to 2019, primarily reflecting lower distribution revenue and advertising revenue. Adjusted EBITDA increased 3.9% to $4.6 billion compared to 2019, reflecting lower revenue, more than offset by lower operating costs. The decrease in operating costs was primarily driven by lower programming and production expenses, reflecting the reduced number of sporting events due to COVID-19.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Broadcast Television revenue decreased 12.0% to $2.8 billion in the fourth quarter of 2020, reflecting lower content licensing revenue and advertising revenue, partially offset by higher distribution and other revenue. Content licensing revenue decreased 38.6%, reflecting the timing of content provided under licensing agreements. Advertising revenue decreased 9.6%, reflecting continued ratings declines which were impacted by a delay in airing new series due to COVID-19, partially offset by an increase in local political advertising and higher pricing. Distribution and other revenue increased 10.0% due to higher retransmission consent fees. Adjusted EBITDA decreased 24.3% to $356 million in the fourth quarter of 2020, reflecting lower revenue, partially offset by lower operating costs. The decrease in operating costs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684" w:right="339" w:bottom="1440" w:gutter="0" w:footer="0" w:header="0"/>
        </w:sectPr>
      </w:pPr>
    </w:p>
    <w:bookmarkStart w:id="8" w:name="page9"/>
    <w:bookmarkEnd w:id="8"/>
    <w:p>
      <w:pPr>
        <w:jc w:val="both"/>
        <w:spacing w:after="0" w:line="276" w:lineRule="auto"/>
        <w:rPr>
          <w:sz w:val="20"/>
          <w:szCs w:val="20"/>
          <w:color w:val="auto"/>
        </w:rPr>
      </w:pPr>
      <w:r>
        <w:rPr>
          <w:rFonts w:ascii="Arial" w:cs="Arial" w:eastAsia="Arial" w:hAnsi="Arial"/>
          <w:sz w:val="18"/>
          <w:szCs w:val="18"/>
          <w:color w:val="auto"/>
        </w:rPr>
        <w:t>was primarily driven by lower programming and production expenses, reflecting a delay in the production and airing of new series due to COVID-19.</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twelve months ended December 31, 2020, Broadcast Television segment revenue of $10.2 billion was consistent with the prior year, reflecting lower advertising revenue, offset by higher content licensing revenue, which included transactions with Peacock, and distribution and other revenue. Adjusted EBITDA increased 11.8% to $1.9 billion compared to 2019, reflecting revenue that was consistent with the prior year and lower operating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Filmed Entertainment revenue decreased 8.3% to $1.4 billion in the fourth quarter of 2020, primarily reflecting lower theatrical revenue and other revenue, partially offset by higher content licensing revenue. Theatrical revenue decreased 70.0%, primarily driven by theater closures as a result of COVID-19, and included the performance of </w:t>
      </w:r>
      <w:r>
        <w:rPr>
          <w:rFonts w:ascii="Arial" w:cs="Arial" w:eastAsia="Arial" w:hAnsi="Arial"/>
          <w:sz w:val="18"/>
          <w:szCs w:val="18"/>
          <w:i w:val="1"/>
          <w:iCs w:val="1"/>
          <w:color w:val="auto"/>
        </w:rPr>
        <w:t>The Croods: A New Age</w:t>
      </w:r>
      <w:r>
        <w:rPr>
          <w:rFonts w:ascii="Arial" w:cs="Arial" w:eastAsia="Arial" w:hAnsi="Arial"/>
          <w:sz w:val="18"/>
          <w:szCs w:val="18"/>
          <w:color w:val="auto"/>
        </w:rPr>
        <w:t xml:space="preserve"> in this year’s fourth quarter. Other revenue decreased 49.6%, primarily due to decreases in revenue from our movie ticketing, entertainment and live stage play businesses, which were impacted by theater and entertainment venue closures as a result of COVID-19. Content licensing revenue increased 22.7%, driven by the performance of certain 2020 releases that were made available on premium video on demand, including </w:t>
      </w:r>
      <w:r>
        <w:rPr>
          <w:rFonts w:ascii="Arial" w:cs="Arial" w:eastAsia="Arial" w:hAnsi="Arial"/>
          <w:sz w:val="18"/>
          <w:szCs w:val="18"/>
          <w:i w:val="1"/>
          <w:iCs w:val="1"/>
          <w:color w:val="auto"/>
        </w:rPr>
        <w:t>The Croods: A New Age</w:t>
      </w:r>
      <w:r>
        <w:rPr>
          <w:rFonts w:ascii="Arial" w:cs="Arial" w:eastAsia="Arial" w:hAnsi="Arial"/>
          <w:sz w:val="18"/>
          <w:szCs w:val="18"/>
          <w:color w:val="auto"/>
        </w:rPr>
        <w:t>, as well as the timing of content provided under licensing agreements. Adjusted EBITDA increased 65.2% to $151 million in the fourth quarter of 2020, reflecting lower revenue, more than offset by lower operating costs. The decrease in operating costs was primarily driven by lower advertising, marketing and promotion expenses due to a reduced number of releases compared to the prior year period as a result of COVID-19.</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the twelve months ended December 31, 2020, revenue from the Filmed Entertainment segment decreased 18.7% to $5.3 billion compared to 2019, primarily reflecting lower theatrical revenue. Adjusted EBITDA decreased 5.8% to $785 million compared to 2019, reflecting lower revenue, partially offset by lower operating costs. The decrease in operating costs was primarily driven by lower advertising, marketing and promotion expenses as well as lower programming and production expenses due to a reduced number of releases compared to the prior year as a result of COVID-19.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Theme Parks revenue decreased 62.9% to $579 million in the fourth quarter of 2020, primarily due to Universal Orlando Resort and Universal Studios Japan operating at limited capacity, while Universal Studios Hollywood remains closed as a result of COVID-19. Theme Parks Adjusted EBITDA loss was $15 million in the fourth quarter of 2020, which included pre-opening costs related to Universal Beijing Resort.</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twelve months ended December 31, 2020, revenue from the Theme Parks segment decreased 68.9% to $1.8 billion compared to 2019, primarily due to the temporary closures of Universal Studios Japan in late February and Universal Orlando Resort and Universal Studios Hollywood in mid-March as a result of COVID-19. Theme Parks Adjusted EBITDA loss was $541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December 31, 2020, NBCUniversal Headquarters, Other and Eliminations Adjusted EBITDA loss was $144 million compared to a loss of $204 million in the fourth quarter of 2019.</w:t>
      </w:r>
    </w:p>
    <w:p>
      <w:pPr>
        <w:spacing w:after="0" w:line="20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the twelve months ended December 31, 2020, NBCUniversal Headquarters, Other and Eliminations Adjusted EBITDA loss was $525 million compared to a loss of $690 million in 2019.</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28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6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6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right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6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4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4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40" w:type="dxa"/>
            <w:vAlign w:val="bottom"/>
            <w:shd w:val="clear" w:color="auto" w:fill="D9D9D6"/>
          </w:tcPr>
          <w:p>
            <w:pPr>
              <w:spacing w:after="0"/>
              <w:rPr>
                <w:sz w:val="16"/>
                <w:szCs w:val="16"/>
                <w:color w:val="auto"/>
              </w:rPr>
            </w:pPr>
          </w:p>
        </w:tc>
        <w:tc>
          <w:tcPr>
            <w:tcW w:w="6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1320" w:type="dxa"/>
            <w:vAlign w:val="bottom"/>
            <w:gridSpan w:val="7"/>
            <w:shd w:val="clear" w:color="auto" w:fill="D9D9D6"/>
          </w:tcPr>
          <w:p>
            <w:pPr>
              <w:ind w:left="60"/>
              <w:spacing w:after="0"/>
              <w:rPr>
                <w:sz w:val="20"/>
                <w:szCs w:val="20"/>
                <w:color w:val="auto"/>
              </w:rPr>
            </w:pPr>
            <w:r>
              <w:rPr>
                <w:rFonts w:ascii="Arial" w:cs="Arial" w:eastAsia="Arial" w:hAnsi="Arial"/>
                <w:sz w:val="14"/>
                <w:szCs w:val="14"/>
                <w:color w:val="auto"/>
              </w:rPr>
              <w:t>4th Quarter</w:t>
            </w:r>
          </w:p>
        </w:tc>
        <w:tc>
          <w:tcPr>
            <w:tcW w:w="50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6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60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Full Year</w:t>
            </w:r>
          </w:p>
        </w:tc>
        <w:tc>
          <w:tcPr>
            <w:tcW w:w="10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0" w:type="dxa"/>
            <w:vAlign w:val="bottom"/>
            <w:tcBorders>
              <w:top w:val="single" w:sz="8" w:color="D9D9D6"/>
            </w:tcBorders>
            <w:shd w:val="clear" w:color="auto" w:fill="D9D9D6"/>
          </w:tcPr>
          <w:p>
            <w:pPr>
              <w:spacing w:after="0"/>
              <w:rPr>
                <w:sz w:val="20"/>
                <w:szCs w:val="20"/>
                <w:color w:val="auto"/>
              </w:rPr>
            </w:pPr>
          </w:p>
        </w:tc>
        <w:tc>
          <w:tcPr>
            <w:tcW w:w="2840" w:type="dxa"/>
            <w:vAlign w:val="bottom"/>
            <w:tcBorders>
              <w:top w:val="single" w:sz="8" w:color="D9D9D6"/>
            </w:tcBorders>
            <w:shd w:val="clear" w:color="auto" w:fill="D9D9D6"/>
          </w:tcPr>
          <w:p>
            <w:pPr>
              <w:spacing w:after="0"/>
              <w:rPr>
                <w:sz w:val="20"/>
                <w:szCs w:val="20"/>
                <w:color w:val="auto"/>
              </w:rPr>
            </w:pPr>
          </w:p>
        </w:tc>
        <w:tc>
          <w:tcPr>
            <w:tcW w:w="60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580" w:type="dxa"/>
            <w:vAlign w:val="bottom"/>
            <w:tcBorders>
              <w:top w:val="single" w:sz="8" w:color="D9D9D6"/>
            </w:tcBorders>
            <w:shd w:val="clear" w:color="auto" w:fill="D9D9D6"/>
          </w:tcPr>
          <w:p>
            <w:pPr>
              <w:spacing w:after="0"/>
              <w:rPr>
                <w:sz w:val="20"/>
                <w:szCs w:val="20"/>
                <w:color w:val="auto"/>
              </w:rPr>
            </w:pPr>
          </w:p>
        </w:tc>
        <w:tc>
          <w:tcPr>
            <w:tcW w:w="60" w:type="dxa"/>
            <w:vAlign w:val="bottom"/>
            <w:tcBorders>
              <w:top w:val="single" w:sz="8" w:color="D9D9D6"/>
            </w:tcBorders>
            <w:shd w:val="clear" w:color="auto" w:fill="D9D9D6"/>
          </w:tcPr>
          <w:p>
            <w:pPr>
              <w:spacing w:after="0"/>
              <w:rPr>
                <w:sz w:val="20"/>
                <w:szCs w:val="20"/>
                <w:color w:val="auto"/>
              </w:rPr>
            </w:pPr>
          </w:p>
        </w:tc>
        <w:tc>
          <w:tcPr>
            <w:tcW w:w="26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460" w:type="dxa"/>
            <w:vAlign w:val="bottom"/>
            <w:tcBorders>
              <w:top w:val="single" w:sz="8" w:color="auto"/>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18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1060" w:type="dxa"/>
            <w:vAlign w:val="bottom"/>
            <w:tcBorders>
              <w:top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40" w:type="dxa"/>
            <w:vAlign w:val="bottom"/>
            <w:tcBorders>
              <w:top w:val="single" w:sz="8" w:color="D9D9D6"/>
              <w:right w:val="single" w:sz="8" w:color="97999B"/>
            </w:tcBorders>
            <w:shd w:val="clear" w:color="auto" w:fill="D9D9D6"/>
          </w:tcPr>
          <w:p>
            <w:pPr>
              <w:spacing w:after="0"/>
              <w:rPr>
                <w:sz w:val="20"/>
                <w:szCs w:val="20"/>
                <w:color w:val="auto"/>
              </w:rPr>
            </w:pPr>
          </w:p>
        </w:tc>
        <w:tc>
          <w:tcPr>
            <w:tcW w:w="100" w:type="dxa"/>
            <w:vAlign w:val="bottom"/>
            <w:tcBorders>
              <w:top w:val="single" w:sz="8" w:color="D9D9D6"/>
            </w:tcBorders>
            <w:shd w:val="clear" w:color="auto" w:fill="D9D9D6"/>
          </w:tcPr>
          <w:p>
            <w:pPr>
              <w:spacing w:after="0"/>
              <w:rPr>
                <w:sz w:val="20"/>
                <w:szCs w:val="20"/>
                <w:color w:val="auto"/>
              </w:rPr>
            </w:pPr>
          </w:p>
        </w:tc>
        <w:tc>
          <w:tcPr>
            <w:tcW w:w="64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40" w:type="dxa"/>
            <w:vAlign w:val="bottom"/>
            <w:tcBorders>
              <w:top w:val="single" w:sz="8" w:color="D9D9D6"/>
            </w:tcBorders>
            <w:shd w:val="clear" w:color="auto" w:fill="D9D9D6"/>
          </w:tcPr>
          <w:p>
            <w:pPr>
              <w:spacing w:after="0"/>
              <w:rPr>
                <w:sz w:val="20"/>
                <w:szCs w:val="20"/>
                <w:color w:val="auto"/>
              </w:rPr>
            </w:pPr>
          </w:p>
        </w:tc>
        <w:tc>
          <w:tcPr>
            <w:tcW w:w="420" w:type="dxa"/>
            <w:vAlign w:val="bottom"/>
            <w:tcBorders>
              <w:top w:val="single" w:sz="8" w:color="D9D9D6"/>
            </w:tcBorders>
            <w:shd w:val="clear" w:color="auto" w:fill="D9D9D6"/>
          </w:tcPr>
          <w:p>
            <w:pPr>
              <w:spacing w:after="0"/>
              <w:rPr>
                <w:sz w:val="20"/>
                <w:szCs w:val="20"/>
                <w:color w:val="auto"/>
              </w:rPr>
            </w:pPr>
          </w:p>
        </w:tc>
        <w:tc>
          <w:tcPr>
            <w:tcW w:w="120" w:type="dxa"/>
            <w:vAlign w:val="bottom"/>
            <w:tcBorders>
              <w:top w:val="single" w:sz="8" w:color="D9D9D6"/>
            </w:tcBorders>
            <w:shd w:val="clear" w:color="auto" w:fill="D9D9D6"/>
          </w:tcPr>
          <w:p>
            <w:pPr>
              <w:spacing w:after="0"/>
              <w:rPr>
                <w:sz w:val="20"/>
                <w:szCs w:val="20"/>
                <w:color w:val="auto"/>
              </w:rPr>
            </w:pPr>
          </w:p>
        </w:tc>
        <w:tc>
          <w:tcPr>
            <w:tcW w:w="200" w:type="dxa"/>
            <w:vAlign w:val="bottom"/>
            <w:tcBorders>
              <w:top w:val="single" w:sz="8" w:color="auto"/>
            </w:tcBorders>
            <w:shd w:val="clear" w:color="auto" w:fill="D9D9D6"/>
          </w:tcPr>
          <w:p>
            <w:pPr>
              <w:spacing w:after="0"/>
              <w:rPr>
                <w:sz w:val="20"/>
                <w:szCs w:val="20"/>
                <w:color w:val="auto"/>
              </w:rPr>
            </w:pPr>
          </w:p>
        </w:tc>
        <w:tc>
          <w:tcPr>
            <w:tcW w:w="360" w:type="dxa"/>
            <w:vAlign w:val="bottom"/>
            <w:tcBorders>
              <w:top w:val="single" w:sz="8" w:color="auto"/>
            </w:tcBorders>
            <w:shd w:val="clear" w:color="auto" w:fill="D9D9D6"/>
          </w:tcPr>
          <w:p>
            <w:pPr>
              <w:spacing w:after="0"/>
              <w:rPr>
                <w:sz w:val="20"/>
                <w:szCs w:val="20"/>
                <w:color w:val="auto"/>
              </w:rPr>
            </w:pPr>
          </w:p>
        </w:tc>
        <w:tc>
          <w:tcPr>
            <w:tcW w:w="40" w:type="dxa"/>
            <w:vAlign w:val="bottom"/>
            <w:tcBorders>
              <w:top w:val="single" w:sz="8" w:color="D9D9D6"/>
            </w:tcBorders>
            <w:shd w:val="clear" w:color="auto" w:fill="D9D9D6"/>
          </w:tcPr>
          <w:p>
            <w:pPr>
              <w:spacing w:after="0"/>
              <w:rPr>
                <w:sz w:val="20"/>
                <w:szCs w:val="20"/>
                <w:color w:val="auto"/>
              </w:rPr>
            </w:pPr>
          </w:p>
        </w:tc>
        <w:tc>
          <w:tcPr>
            <w:tcW w:w="100" w:type="dxa"/>
            <w:vAlign w:val="bottom"/>
            <w:tcBorders>
              <w:top w:val="single" w:sz="8" w:color="D9D9D6"/>
            </w:tcBorders>
            <w:shd w:val="clear" w:color="auto" w:fill="D9D9D6"/>
          </w:tcPr>
          <w:p>
            <w:pPr>
              <w:spacing w:after="0"/>
              <w:rPr>
                <w:sz w:val="20"/>
                <w:szCs w:val="20"/>
                <w:color w:val="auto"/>
              </w:rPr>
            </w:pPr>
          </w:p>
        </w:tc>
        <w:tc>
          <w:tcPr>
            <w:tcW w:w="500" w:type="dxa"/>
            <w:vAlign w:val="bottom"/>
            <w:tcBorders>
              <w:top w:val="single" w:sz="8" w:color="D9D9D6"/>
            </w:tcBorders>
            <w:shd w:val="clear" w:color="auto" w:fill="D9D9D6"/>
          </w:tcPr>
          <w:p>
            <w:pPr>
              <w:spacing w:after="0"/>
              <w:rPr>
                <w:sz w:val="20"/>
                <w:szCs w:val="20"/>
                <w:color w:val="auto"/>
              </w:rPr>
            </w:pPr>
          </w:p>
        </w:tc>
        <w:tc>
          <w:tcPr>
            <w:tcW w:w="220" w:type="dxa"/>
            <w:vAlign w:val="bottom"/>
            <w:tcBorders>
              <w:top w:val="single" w:sz="8" w:color="D9D9D6"/>
            </w:tcBorders>
            <w:shd w:val="clear" w:color="auto" w:fill="D9D9D6"/>
          </w:tcPr>
          <w:p>
            <w:pPr>
              <w:spacing w:after="0"/>
              <w:rPr>
                <w:sz w:val="20"/>
                <w:szCs w:val="20"/>
                <w:color w:val="auto"/>
              </w:rPr>
            </w:pPr>
          </w:p>
        </w:tc>
        <w:tc>
          <w:tcPr>
            <w:tcW w:w="980" w:type="dxa"/>
            <w:vAlign w:val="bottom"/>
            <w:tcBorders>
              <w:top w:val="single" w:sz="8" w:color="D9D9D6"/>
            </w:tcBorders>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35"/>
        </w:trPr>
        <w:tc>
          <w:tcPr>
            <w:tcW w:w="120" w:type="dxa"/>
            <w:vAlign w:val="bottom"/>
            <w:shd w:val="clear" w:color="auto" w:fill="D9D9D6"/>
          </w:tcPr>
          <w:p>
            <w:pPr>
              <w:spacing w:after="0"/>
              <w:rPr>
                <w:sz w:val="11"/>
                <w:szCs w:val="11"/>
                <w:color w:val="auto"/>
              </w:rPr>
            </w:pPr>
          </w:p>
        </w:tc>
        <w:tc>
          <w:tcPr>
            <w:tcW w:w="2840" w:type="dxa"/>
            <w:vAlign w:val="bottom"/>
            <w:shd w:val="clear" w:color="auto" w:fill="D9D9D6"/>
          </w:tcPr>
          <w:p>
            <w:pPr>
              <w:spacing w:after="0"/>
              <w:rPr>
                <w:sz w:val="11"/>
                <w:szCs w:val="11"/>
                <w:color w:val="auto"/>
              </w:rPr>
            </w:pPr>
          </w:p>
        </w:tc>
        <w:tc>
          <w:tcPr>
            <w:tcW w:w="94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9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2019</w:t>
            </w:r>
          </w:p>
        </w:tc>
        <w:tc>
          <w:tcPr>
            <w:tcW w:w="460" w:type="dxa"/>
            <w:vAlign w:val="bottom"/>
            <w:shd w:val="clear" w:color="auto" w:fill="D9D9D6"/>
          </w:tcPr>
          <w:p>
            <w:pPr>
              <w:spacing w:after="0"/>
              <w:rPr>
                <w:sz w:val="11"/>
                <w:szCs w:val="11"/>
                <w:color w:val="auto"/>
              </w:rPr>
            </w:pPr>
          </w:p>
        </w:tc>
        <w:tc>
          <w:tcPr>
            <w:tcW w:w="520" w:type="dxa"/>
            <w:vAlign w:val="bottom"/>
            <w:gridSpan w:val="3"/>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1060" w:type="dxa"/>
            <w:vAlign w:val="bottom"/>
            <w:gridSpan w:val="4"/>
            <w:shd w:val="clear" w:color="auto" w:fill="D9D9D6"/>
          </w:tcPr>
          <w:p>
            <w:pPr>
              <w:jc w:val="right"/>
              <w:ind w:right="60"/>
              <w:spacing w:after="0" w:line="135" w:lineRule="exact"/>
              <w:rPr>
                <w:sz w:val="20"/>
                <w:szCs w:val="20"/>
                <w:color w:val="auto"/>
              </w:rPr>
            </w:pPr>
            <w:r>
              <w:rPr>
                <w:rFonts w:ascii="Arial" w:cs="Arial" w:eastAsia="Arial" w:hAnsi="Arial"/>
                <w:sz w:val="14"/>
                <w:szCs w:val="14"/>
                <w:color w:val="auto"/>
              </w:rPr>
              <w:t>Currency</w:t>
            </w:r>
          </w:p>
        </w:tc>
        <w:tc>
          <w:tcPr>
            <w:tcW w:w="140" w:type="dxa"/>
            <w:vAlign w:val="bottom"/>
            <w:tcBorders>
              <w:right w:val="single" w:sz="8" w:color="97999B"/>
            </w:tcBorders>
            <w:shd w:val="clear" w:color="auto" w:fill="D9D9D6"/>
          </w:tcPr>
          <w:p>
            <w:pPr>
              <w:spacing w:after="0"/>
              <w:rPr>
                <w:sz w:val="11"/>
                <w:szCs w:val="11"/>
                <w:color w:val="auto"/>
              </w:rPr>
            </w:pPr>
          </w:p>
        </w:tc>
        <w:tc>
          <w:tcPr>
            <w:tcW w:w="1300" w:type="dxa"/>
            <w:vAlign w:val="bottom"/>
            <w:gridSpan w:val="4"/>
            <w:vMerge w:val="restart"/>
            <w:shd w:val="clear" w:color="auto" w:fill="D9D9D6"/>
          </w:tcPr>
          <w:p>
            <w:pPr>
              <w:jc w:val="right"/>
              <w:ind w:right="240"/>
              <w:spacing w:after="0"/>
              <w:rPr>
                <w:sz w:val="20"/>
                <w:szCs w:val="20"/>
                <w:color w:val="auto"/>
              </w:rPr>
            </w:pPr>
            <w:r>
              <w:rPr>
                <w:rFonts w:ascii="Arial" w:cs="Arial" w:eastAsia="Arial" w:hAnsi="Arial"/>
                <w:sz w:val="14"/>
                <w:szCs w:val="14"/>
                <w:color w:val="auto"/>
              </w:rPr>
              <w:t>2020</w:t>
            </w:r>
          </w:p>
        </w:tc>
        <w:tc>
          <w:tcPr>
            <w:tcW w:w="1100" w:type="dxa"/>
            <w:vAlign w:val="bottom"/>
            <w:gridSpan w:val="4"/>
            <w:vMerge w:val="restart"/>
            <w:shd w:val="clear" w:color="auto" w:fill="D9D9D6"/>
          </w:tcPr>
          <w:p>
            <w:pPr>
              <w:jc w:val="right"/>
              <w:ind w:right="360"/>
              <w:spacing w:after="0"/>
              <w:rPr>
                <w:sz w:val="20"/>
                <w:szCs w:val="20"/>
                <w:color w:val="auto"/>
              </w:rPr>
            </w:pPr>
            <w:r>
              <w:rPr>
                <w:rFonts w:ascii="Arial" w:cs="Arial" w:eastAsia="Arial" w:hAnsi="Arial"/>
                <w:sz w:val="14"/>
                <w:szCs w:val="14"/>
                <w:color w:val="auto"/>
              </w:rPr>
              <w:t>2019</w:t>
            </w:r>
          </w:p>
        </w:tc>
        <w:tc>
          <w:tcPr>
            <w:tcW w:w="4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72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980" w:type="dxa"/>
            <w:vAlign w:val="bottom"/>
            <w:gridSpan w:val="4"/>
            <w:shd w:val="clear" w:color="auto" w:fill="D9D9D6"/>
          </w:tcPr>
          <w:p>
            <w:pPr>
              <w:jc w:val="right"/>
              <w:ind w:right="180"/>
              <w:spacing w:after="0" w:line="13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8"/>
        </w:trPr>
        <w:tc>
          <w:tcPr>
            <w:tcW w:w="120" w:type="dxa"/>
            <w:vAlign w:val="bottom"/>
            <w:shd w:val="clear" w:color="auto" w:fill="D9D9D6"/>
          </w:tcPr>
          <w:p>
            <w:pPr>
              <w:spacing w:after="0"/>
              <w:rPr>
                <w:sz w:val="12"/>
                <w:szCs w:val="12"/>
                <w:color w:val="auto"/>
              </w:rPr>
            </w:pPr>
          </w:p>
        </w:tc>
        <w:tc>
          <w:tcPr>
            <w:tcW w:w="284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40" w:type="dxa"/>
            <w:vAlign w:val="bottom"/>
            <w:gridSpan w:val="3"/>
            <w:vMerge w:val="continue"/>
            <w:shd w:val="clear" w:color="auto" w:fill="D9D9D6"/>
          </w:tcPr>
          <w:p>
            <w:pPr>
              <w:spacing w:after="0"/>
              <w:rPr>
                <w:sz w:val="12"/>
                <w:szCs w:val="12"/>
                <w:color w:val="auto"/>
              </w:rPr>
            </w:pPr>
          </w:p>
        </w:tc>
        <w:tc>
          <w:tcPr>
            <w:tcW w:w="920" w:type="dxa"/>
            <w:vAlign w:val="bottom"/>
            <w:gridSpan w:val="4"/>
            <w:vMerge w:val="continue"/>
            <w:shd w:val="clear" w:color="auto" w:fill="D9D9D6"/>
          </w:tcPr>
          <w:p>
            <w:pPr>
              <w:spacing w:after="0"/>
              <w:rPr>
                <w:sz w:val="12"/>
                <w:szCs w:val="12"/>
                <w:color w:val="auto"/>
              </w:rPr>
            </w:pPr>
          </w:p>
        </w:tc>
        <w:tc>
          <w:tcPr>
            <w:tcW w:w="460" w:type="dxa"/>
            <w:vAlign w:val="bottom"/>
            <w:shd w:val="clear" w:color="auto" w:fill="D9D9D6"/>
          </w:tcPr>
          <w:p>
            <w:pPr>
              <w:spacing w:after="0"/>
              <w:rPr>
                <w:sz w:val="12"/>
                <w:szCs w:val="12"/>
                <w:color w:val="auto"/>
              </w:rPr>
            </w:pPr>
          </w:p>
        </w:tc>
        <w:tc>
          <w:tcPr>
            <w:tcW w:w="520" w:type="dxa"/>
            <w:vAlign w:val="bottom"/>
            <w:gridSpan w:val="3"/>
            <w:vMerge w:val="continue"/>
            <w:shd w:val="clear" w:color="auto" w:fill="D9D9D6"/>
          </w:tcPr>
          <w:p>
            <w:pPr>
              <w:spacing w:after="0"/>
              <w:rPr>
                <w:sz w:val="12"/>
                <w:szCs w:val="12"/>
                <w:color w:val="auto"/>
              </w:rPr>
            </w:pPr>
          </w:p>
        </w:tc>
        <w:tc>
          <w:tcPr>
            <w:tcW w:w="1060" w:type="dxa"/>
            <w:vAlign w:val="bottom"/>
            <w:gridSpan w:val="4"/>
            <w:shd w:val="clear" w:color="auto" w:fill="D9D9D6"/>
          </w:tcPr>
          <w:p>
            <w:pPr>
              <w:jc w:val="right"/>
              <w:ind w:right="20"/>
              <w:spacing w:after="0" w:line="149"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color w:val="auto"/>
              </w:rPr>
              <w:t>6</w:t>
            </w:r>
          </w:p>
        </w:tc>
        <w:tc>
          <w:tcPr>
            <w:tcW w:w="140" w:type="dxa"/>
            <w:vAlign w:val="bottom"/>
            <w:tcBorders>
              <w:right w:val="single" w:sz="8" w:color="97999B"/>
            </w:tcBorders>
            <w:shd w:val="clear" w:color="auto" w:fill="D9D9D6"/>
          </w:tcPr>
          <w:p>
            <w:pPr>
              <w:spacing w:after="0"/>
              <w:rPr>
                <w:sz w:val="12"/>
                <w:szCs w:val="12"/>
                <w:color w:val="auto"/>
              </w:rPr>
            </w:pPr>
          </w:p>
        </w:tc>
        <w:tc>
          <w:tcPr>
            <w:tcW w:w="1300" w:type="dxa"/>
            <w:vAlign w:val="bottom"/>
            <w:gridSpan w:val="4"/>
            <w:vMerge w:val="continue"/>
            <w:shd w:val="clear" w:color="auto" w:fill="D9D9D6"/>
          </w:tcPr>
          <w:p>
            <w:pPr>
              <w:spacing w:after="0"/>
              <w:rPr>
                <w:sz w:val="12"/>
                <w:szCs w:val="12"/>
                <w:color w:val="auto"/>
              </w:rPr>
            </w:pPr>
          </w:p>
        </w:tc>
        <w:tc>
          <w:tcPr>
            <w:tcW w:w="1100" w:type="dxa"/>
            <w:vAlign w:val="bottom"/>
            <w:gridSpan w:val="4"/>
            <w:vMerge w:val="continue"/>
            <w:shd w:val="clear" w:color="auto" w:fill="D9D9D6"/>
          </w:tcPr>
          <w:p>
            <w:pPr>
              <w:spacing w:after="0"/>
              <w:rPr>
                <w:sz w:val="12"/>
                <w:szCs w:val="12"/>
                <w:color w:val="auto"/>
              </w:rPr>
            </w:pPr>
          </w:p>
        </w:tc>
        <w:tc>
          <w:tcPr>
            <w:tcW w:w="40" w:type="dxa"/>
            <w:vAlign w:val="bottom"/>
            <w:shd w:val="clear" w:color="auto" w:fill="D9D9D6"/>
          </w:tcPr>
          <w:p>
            <w:pPr>
              <w:spacing w:after="0"/>
              <w:rPr>
                <w:sz w:val="12"/>
                <w:szCs w:val="12"/>
                <w:color w:val="auto"/>
              </w:rPr>
            </w:pPr>
          </w:p>
        </w:tc>
        <w:tc>
          <w:tcPr>
            <w:tcW w:w="100" w:type="dxa"/>
            <w:vAlign w:val="bottom"/>
            <w:shd w:val="clear" w:color="auto" w:fill="D9D9D6"/>
          </w:tcPr>
          <w:p>
            <w:pPr>
              <w:spacing w:after="0"/>
              <w:rPr>
                <w:sz w:val="12"/>
                <w:szCs w:val="12"/>
                <w:color w:val="auto"/>
              </w:rPr>
            </w:pPr>
          </w:p>
        </w:tc>
        <w:tc>
          <w:tcPr>
            <w:tcW w:w="720" w:type="dxa"/>
            <w:vAlign w:val="bottom"/>
            <w:gridSpan w:val="2"/>
            <w:vMerge w:val="continue"/>
            <w:shd w:val="clear" w:color="auto" w:fill="D9D9D6"/>
          </w:tcPr>
          <w:p>
            <w:pPr>
              <w:spacing w:after="0"/>
              <w:rPr>
                <w:sz w:val="12"/>
                <w:szCs w:val="12"/>
                <w:color w:val="auto"/>
              </w:rPr>
            </w:pPr>
          </w:p>
        </w:tc>
        <w:tc>
          <w:tcPr>
            <w:tcW w:w="280" w:type="dxa"/>
            <w:vAlign w:val="bottom"/>
            <w:shd w:val="clear" w:color="auto" w:fill="D9D9D6"/>
          </w:tcPr>
          <w:p>
            <w:pPr>
              <w:spacing w:after="0"/>
              <w:rPr>
                <w:sz w:val="12"/>
                <w:szCs w:val="12"/>
                <w:color w:val="auto"/>
              </w:rPr>
            </w:pPr>
          </w:p>
        </w:tc>
        <w:tc>
          <w:tcPr>
            <w:tcW w:w="700" w:type="dxa"/>
            <w:vAlign w:val="bottom"/>
            <w:gridSpan w:val="3"/>
            <w:shd w:val="clear" w:color="auto" w:fill="D9D9D6"/>
          </w:tcPr>
          <w:p>
            <w:pPr>
              <w:spacing w:after="0" w:line="149"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2840" w:type="dxa"/>
            <w:vAlign w:val="bottom"/>
            <w:tcBorders>
              <w:top w:val="single" w:sz="8" w:color="D9D9D6"/>
            </w:tcBorders>
            <w:vMerge w:val="continue"/>
            <w:shd w:val="clear" w:color="auto" w:fill="D9D9D6"/>
          </w:tcPr>
          <w:p>
            <w:pPr>
              <w:spacing w:after="0"/>
              <w:rPr>
                <w:sz w:val="17"/>
                <w:szCs w:val="17"/>
                <w:color w:val="auto"/>
              </w:rPr>
            </w:pPr>
          </w:p>
        </w:tc>
        <w:tc>
          <w:tcPr>
            <w:tcW w:w="6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60" w:type="dxa"/>
            <w:vAlign w:val="bottom"/>
            <w:tcBorders>
              <w:top w:val="single" w:sz="8" w:color="auto"/>
            </w:tcBorders>
            <w:shd w:val="clear" w:color="auto" w:fill="D9D9D6"/>
          </w:tcPr>
          <w:p>
            <w:pPr>
              <w:spacing w:after="0"/>
              <w:rPr>
                <w:sz w:val="17"/>
                <w:szCs w:val="17"/>
                <w:color w:val="auto"/>
              </w:rPr>
            </w:pPr>
          </w:p>
        </w:tc>
        <w:tc>
          <w:tcPr>
            <w:tcW w:w="2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14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right w:val="single" w:sz="8" w:color="97999B"/>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6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40" w:type="dxa"/>
            <w:vAlign w:val="bottom"/>
            <w:tcBorders>
              <w:top w:val="single" w:sz="8" w:color="D9D9D6"/>
            </w:tcBorders>
            <w:shd w:val="clear" w:color="auto" w:fill="D9D9D6"/>
          </w:tcPr>
          <w:p>
            <w:pPr>
              <w:spacing w:after="0"/>
              <w:rPr>
                <w:sz w:val="17"/>
                <w:szCs w:val="17"/>
                <w:color w:val="auto"/>
              </w:rPr>
            </w:pPr>
          </w:p>
        </w:tc>
        <w:tc>
          <w:tcPr>
            <w:tcW w:w="4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360" w:type="dxa"/>
            <w:vAlign w:val="bottom"/>
            <w:tcBorders>
              <w:top w:val="single" w:sz="8" w:color="D9D9D6"/>
            </w:tcBorders>
            <w:shd w:val="clear" w:color="auto" w:fill="D9D9D6"/>
          </w:tcPr>
          <w:p>
            <w:pPr>
              <w:spacing w:after="0"/>
              <w:rPr>
                <w:sz w:val="17"/>
                <w:szCs w:val="17"/>
                <w:color w:val="auto"/>
              </w:rPr>
            </w:pPr>
          </w:p>
        </w:tc>
        <w:tc>
          <w:tcPr>
            <w:tcW w:w="4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8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Direct-to-Consumer</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$4,077</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$4,022</w:t>
            </w: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16"/>
                <w:szCs w:val="16"/>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(2.8 %)</w:t>
            </w:r>
          </w:p>
        </w:tc>
        <w:tc>
          <w:tcPr>
            <w:tcW w:w="14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$15,223</w:t>
            </w:r>
          </w:p>
        </w:tc>
        <w:tc>
          <w:tcPr>
            <w:tcW w:w="1100" w:type="dxa"/>
            <w:vAlign w:val="bottom"/>
            <w:gridSpan w:val="4"/>
            <w:shd w:val="clear" w:color="auto" w:fill="D9D9D6"/>
          </w:tcPr>
          <w:p>
            <w:pPr>
              <w:jc w:val="right"/>
              <w:ind w:right="360"/>
              <w:spacing w:after="0"/>
              <w:rPr>
                <w:sz w:val="20"/>
                <w:szCs w:val="20"/>
                <w:color w:val="auto"/>
              </w:rPr>
            </w:pPr>
            <w:r>
              <w:rPr>
                <w:rFonts w:ascii="Arial" w:cs="Arial" w:eastAsia="Arial" w:hAnsi="Arial"/>
                <w:sz w:val="14"/>
                <w:szCs w:val="14"/>
                <w:color w:val="auto"/>
              </w:rPr>
              <w:t>$15,538</w:t>
            </w:r>
          </w:p>
        </w:tc>
        <w:tc>
          <w:tcPr>
            <w:tcW w:w="40" w:type="dxa"/>
            <w:vAlign w:val="bottom"/>
            <w:shd w:val="clear" w:color="auto" w:fill="D9D9D6"/>
          </w:tcPr>
          <w:p>
            <w:pPr>
              <w:spacing w:after="0"/>
              <w:rPr>
                <w:sz w:val="16"/>
                <w:szCs w:val="16"/>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(2.0 %)</w:t>
            </w:r>
          </w:p>
        </w:tc>
        <w:tc>
          <w:tcPr>
            <w:tcW w:w="2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426</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371</w:t>
            </w: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14.8</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16"/>
                <w:szCs w:val="16"/>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10.4 %</w:t>
            </w:r>
          </w:p>
        </w:tc>
        <w:tc>
          <w:tcPr>
            <w:tcW w:w="6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1,373</w:t>
            </w:r>
          </w:p>
        </w:tc>
        <w:tc>
          <w:tcPr>
            <w:tcW w:w="1100" w:type="dxa"/>
            <w:vAlign w:val="bottom"/>
            <w:gridSpan w:val="4"/>
            <w:shd w:val="clear" w:color="auto" w:fill="D9D9D6"/>
          </w:tcPr>
          <w:p>
            <w:pPr>
              <w:jc w:val="right"/>
              <w:ind w:right="360"/>
              <w:spacing w:after="0"/>
              <w:rPr>
                <w:sz w:val="20"/>
                <w:szCs w:val="20"/>
                <w:color w:val="auto"/>
              </w:rPr>
            </w:pPr>
            <w:r>
              <w:rPr>
                <w:rFonts w:ascii="Arial" w:cs="Arial" w:eastAsia="Arial" w:hAnsi="Arial"/>
                <w:sz w:val="14"/>
                <w:szCs w:val="14"/>
                <w:color w:val="auto"/>
              </w:rPr>
              <w:t>1,432</w:t>
            </w:r>
          </w:p>
        </w:tc>
        <w:tc>
          <w:tcPr>
            <w:tcW w:w="40" w:type="dxa"/>
            <w:vAlign w:val="bottom"/>
            <w:shd w:val="clear" w:color="auto" w:fill="D9D9D6"/>
          </w:tcPr>
          <w:p>
            <w:pPr>
              <w:spacing w:after="0"/>
              <w:rPr>
                <w:sz w:val="16"/>
                <w:szCs w:val="16"/>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(4.1 %)</w:t>
            </w:r>
          </w:p>
        </w:tc>
        <w:tc>
          <w:tcPr>
            <w:tcW w:w="2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(4.9 %)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702</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647</w:t>
            </w: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8.5</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3.9</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color w:val="auto"/>
              </w:rPr>
              <w:t>1,998</w:t>
            </w:r>
          </w:p>
        </w:tc>
        <w:tc>
          <w:tcPr>
            <w:tcW w:w="1100" w:type="dxa"/>
            <w:vAlign w:val="bottom"/>
            <w:gridSpan w:val="4"/>
            <w:shd w:val="clear" w:color="auto" w:fill="D9D9D6"/>
          </w:tcPr>
          <w:p>
            <w:pPr>
              <w:jc w:val="right"/>
              <w:ind w:right="360"/>
              <w:spacing w:after="0"/>
              <w:rPr>
                <w:sz w:val="20"/>
                <w:szCs w:val="20"/>
                <w:color w:val="auto"/>
              </w:rPr>
            </w:pPr>
            <w:r>
              <w:rPr>
                <w:rFonts w:ascii="Arial" w:cs="Arial" w:eastAsia="Arial" w:hAnsi="Arial"/>
                <w:sz w:val="14"/>
                <w:szCs w:val="14"/>
                <w:color w:val="auto"/>
              </w:rPr>
              <w:t>2,249</w:t>
            </w:r>
          </w:p>
        </w:tc>
        <w:tc>
          <w:tcPr>
            <w:tcW w:w="40" w:type="dxa"/>
            <w:vAlign w:val="bottom"/>
            <w:shd w:val="clear" w:color="auto" w:fill="D9D9D6"/>
          </w:tcPr>
          <w:p>
            <w:pPr>
              <w:spacing w:after="0"/>
              <w:rPr>
                <w:sz w:val="16"/>
                <w:szCs w:val="16"/>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(11.2 %)</w:t>
            </w:r>
          </w:p>
        </w:tc>
        <w:tc>
          <w:tcPr>
            <w:tcW w:w="2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(12.0 %)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28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40" w:type="dxa"/>
            <w:vAlign w:val="bottom"/>
            <w:tcBorders>
              <w:top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$5,205</w:t>
            </w:r>
          </w:p>
        </w:tc>
        <w:tc>
          <w:tcPr>
            <w:tcW w:w="920" w:type="dxa"/>
            <w:vAlign w:val="bottom"/>
            <w:tcBorders>
              <w:top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$5,040</w:t>
            </w:r>
          </w:p>
        </w:tc>
        <w:tc>
          <w:tcPr>
            <w:tcW w:w="78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3.3</w:t>
            </w:r>
          </w:p>
        </w:tc>
        <w:tc>
          <w:tcPr>
            <w:tcW w:w="180" w:type="dxa"/>
            <w:vAlign w:val="bottom"/>
            <w:tcBorders>
              <w:top w:val="single" w:sz="8" w:color="auto"/>
            </w:tcBorders>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tcBorders>
              <w:top w:val="single" w:sz="8" w:color="auto"/>
            </w:tcBorders>
            <w:shd w:val="clear" w:color="auto" w:fill="D9D9D6"/>
          </w:tcPr>
          <w:p>
            <w:pPr>
              <w:spacing w:after="0"/>
              <w:rPr>
                <w:sz w:val="15"/>
                <w:szCs w:val="15"/>
                <w:color w:val="auto"/>
              </w:rPr>
            </w:pPr>
          </w:p>
        </w:tc>
        <w:tc>
          <w:tcPr>
            <w:tcW w:w="860" w:type="dxa"/>
            <w:vAlign w:val="bottom"/>
            <w:tcBorders>
              <w:top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(0.9</w:t>
            </w:r>
          </w:p>
        </w:tc>
        <w:tc>
          <w:tcPr>
            <w:tcW w:w="200" w:type="dxa"/>
            <w:vAlign w:val="bottom"/>
            <w:tcBorders>
              <w:top w:val="single" w:sz="8" w:color="auto"/>
            </w:tcBorders>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D9D9D6"/>
              <w:right w:val="single" w:sz="8" w:color="97999B"/>
            </w:tcBorders>
            <w:shd w:val="clear" w:color="auto" w:fill="D9D9D6"/>
          </w:tcPr>
          <w:p>
            <w:pPr>
              <w:spacing w:after="0"/>
              <w:rPr>
                <w:sz w:val="15"/>
                <w:szCs w:val="15"/>
                <w:color w:val="auto"/>
              </w:rPr>
            </w:pPr>
          </w:p>
        </w:tc>
        <w:tc>
          <w:tcPr>
            <w:tcW w:w="100" w:type="dxa"/>
            <w:vAlign w:val="bottom"/>
            <w:tcBorders>
              <w:top w:val="single" w:sz="8" w:color="D9D9D6"/>
            </w:tcBorders>
            <w:shd w:val="clear" w:color="auto" w:fill="D9D9D6"/>
          </w:tcPr>
          <w:p>
            <w:pPr>
              <w:spacing w:after="0"/>
              <w:rPr>
                <w:sz w:val="15"/>
                <w:szCs w:val="15"/>
                <w:color w:val="auto"/>
              </w:rPr>
            </w:pPr>
          </w:p>
        </w:tc>
        <w:tc>
          <w:tcPr>
            <w:tcW w:w="1200" w:type="dxa"/>
            <w:vAlign w:val="bottom"/>
            <w:tcBorders>
              <w:top w:val="single" w:sz="8" w:color="auto"/>
            </w:tcBorders>
            <w:gridSpan w:val="3"/>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$18,594</w:t>
            </w:r>
          </w:p>
        </w:tc>
        <w:tc>
          <w:tcPr>
            <w:tcW w:w="1100" w:type="dxa"/>
            <w:vAlign w:val="bottom"/>
            <w:tcBorders>
              <w:top w:val="single" w:sz="8" w:color="auto"/>
            </w:tcBorders>
            <w:gridSpan w:val="4"/>
            <w:shd w:val="clear" w:color="auto" w:fill="D9D9D6"/>
          </w:tcPr>
          <w:p>
            <w:pPr>
              <w:jc w:val="right"/>
              <w:ind w:right="360"/>
              <w:spacing w:after="0"/>
              <w:rPr>
                <w:sz w:val="20"/>
                <w:szCs w:val="20"/>
                <w:color w:val="auto"/>
              </w:rPr>
            </w:pPr>
            <w:r>
              <w:rPr>
                <w:rFonts w:ascii="Arial" w:cs="Arial" w:eastAsia="Arial" w:hAnsi="Arial"/>
                <w:sz w:val="14"/>
                <w:szCs w:val="14"/>
                <w:b w:val="1"/>
                <w:bCs w:val="1"/>
                <w:color w:val="auto"/>
              </w:rPr>
              <w:t>$19,219</w:t>
            </w:r>
          </w:p>
        </w:tc>
        <w:tc>
          <w:tcPr>
            <w:tcW w:w="40" w:type="dxa"/>
            <w:vAlign w:val="bottom"/>
            <w:tcBorders>
              <w:top w:val="single" w:sz="8" w:color="auto"/>
            </w:tcBorders>
            <w:shd w:val="clear" w:color="auto" w:fill="D9D9D6"/>
          </w:tcPr>
          <w:p>
            <w:pPr>
              <w:spacing w:after="0"/>
              <w:rPr>
                <w:sz w:val="15"/>
                <w:szCs w:val="15"/>
                <w:color w:val="auto"/>
              </w:rPr>
            </w:pPr>
          </w:p>
        </w:tc>
        <w:tc>
          <w:tcPr>
            <w:tcW w:w="60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(3.3 %)</w:t>
            </w:r>
          </w:p>
        </w:tc>
        <w:tc>
          <w:tcPr>
            <w:tcW w:w="220" w:type="dxa"/>
            <w:vAlign w:val="bottom"/>
            <w:tcBorders>
              <w:top w:val="single" w:sz="8" w:color="auto"/>
            </w:tcBorders>
            <w:shd w:val="clear" w:color="auto" w:fill="D9D9D6"/>
          </w:tcPr>
          <w:p>
            <w:pPr>
              <w:spacing w:after="0"/>
              <w:rPr>
                <w:sz w:val="15"/>
                <w:szCs w:val="15"/>
                <w:color w:val="auto"/>
              </w:rPr>
            </w:pPr>
          </w:p>
        </w:tc>
        <w:tc>
          <w:tcPr>
            <w:tcW w:w="860" w:type="dxa"/>
            <w:vAlign w:val="bottom"/>
            <w:tcBorders>
              <w:top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(4.2 %)</w:t>
            </w:r>
          </w:p>
        </w:tc>
        <w:tc>
          <w:tcPr>
            <w:tcW w:w="120" w:type="dxa"/>
            <w:vAlign w:val="bottom"/>
            <w:tcBorders>
              <w:top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2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$5,066</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$4,275</w:t>
            </w:r>
          </w:p>
        </w:tc>
        <w:tc>
          <w:tcPr>
            <w:tcW w:w="9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18.5 %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13.4 %</w:t>
            </w:r>
          </w:p>
        </w:tc>
        <w:tc>
          <w:tcPr>
            <w:tcW w:w="60" w:type="dxa"/>
            <w:vAlign w:val="bottom"/>
            <w:shd w:val="clear" w:color="auto" w:fill="D9D9D6"/>
          </w:tcPr>
          <w:p>
            <w:pPr>
              <w:spacing w:after="0"/>
              <w:rPr>
                <w:sz w:val="24"/>
                <w:szCs w:val="24"/>
                <w:color w:val="auto"/>
              </w:rPr>
            </w:pPr>
          </w:p>
        </w:tc>
        <w:tc>
          <w:tcPr>
            <w:tcW w:w="140" w:type="dxa"/>
            <w:vAlign w:val="bottom"/>
            <w:tcBorders>
              <w:right w:val="single" w:sz="8" w:color="97999B"/>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$16,640</w:t>
            </w:r>
          </w:p>
        </w:tc>
        <w:tc>
          <w:tcPr>
            <w:tcW w:w="1100" w:type="dxa"/>
            <w:vAlign w:val="bottom"/>
            <w:gridSpan w:val="4"/>
            <w:shd w:val="clear" w:color="auto" w:fill="D9D9D6"/>
          </w:tcPr>
          <w:p>
            <w:pPr>
              <w:jc w:val="right"/>
              <w:ind w:right="360"/>
              <w:spacing w:after="0"/>
              <w:rPr>
                <w:sz w:val="20"/>
                <w:szCs w:val="20"/>
                <w:color w:val="auto"/>
              </w:rPr>
            </w:pPr>
            <w:r>
              <w:rPr>
                <w:rFonts w:ascii="Arial" w:cs="Arial" w:eastAsia="Arial" w:hAnsi="Arial"/>
                <w:sz w:val="14"/>
                <w:szCs w:val="14"/>
                <w:b w:val="1"/>
                <w:bCs w:val="1"/>
                <w:color w:val="auto"/>
              </w:rPr>
              <w:t>$16,120</w:t>
            </w:r>
          </w:p>
        </w:tc>
        <w:tc>
          <w:tcPr>
            <w:tcW w:w="40" w:type="dxa"/>
            <w:vAlign w:val="bottom"/>
            <w:shd w:val="clear" w:color="auto" w:fill="D9D9D6"/>
          </w:tcPr>
          <w:p>
            <w:pPr>
              <w:spacing w:after="0"/>
              <w:rPr>
                <w:sz w:val="24"/>
                <w:szCs w:val="24"/>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3.2 %</w:t>
            </w:r>
          </w:p>
        </w:tc>
        <w:tc>
          <w:tcPr>
            <w:tcW w:w="22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2.2 %</w:t>
            </w: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2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$139</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$765</w:t>
            </w:r>
          </w:p>
        </w:tc>
        <w:tc>
          <w:tcPr>
            <w:tcW w:w="9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(81.8 %)</w:t>
            </w:r>
          </w:p>
        </w:tc>
        <w:tc>
          <w:tcPr>
            <w:tcW w:w="20" w:type="dxa"/>
            <w:vAlign w:val="bottom"/>
            <w:shd w:val="clear" w:color="auto" w:fill="D9D9D6"/>
          </w:tcPr>
          <w:p>
            <w:pPr>
              <w:spacing w:after="0"/>
              <w:rPr>
                <w:sz w:val="24"/>
                <w:szCs w:val="24"/>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(82.3 %)</w:t>
            </w:r>
          </w:p>
        </w:tc>
        <w:tc>
          <w:tcPr>
            <w:tcW w:w="140" w:type="dxa"/>
            <w:vAlign w:val="bottom"/>
            <w:tcBorders>
              <w:right w:val="single" w:sz="8" w:color="97999B"/>
            </w:tcBorders>
            <w:shd w:val="clear" w:color="auto" w:fill="D9D9D6"/>
          </w:tcPr>
          <w:p>
            <w:pPr>
              <w:spacing w:after="0"/>
              <w:rPr>
                <w:sz w:val="24"/>
                <w:szCs w:val="24"/>
                <w:color w:val="auto"/>
              </w:rPr>
            </w:pPr>
          </w:p>
        </w:tc>
        <w:tc>
          <w:tcPr>
            <w:tcW w:w="1300" w:type="dxa"/>
            <w:vAlign w:val="bottom"/>
            <w:gridSpan w:val="4"/>
            <w:shd w:val="clear" w:color="auto" w:fill="D9D9D6"/>
          </w:tcPr>
          <w:p>
            <w:pPr>
              <w:jc w:val="right"/>
              <w:ind w:right="240"/>
              <w:spacing w:after="0"/>
              <w:rPr>
                <w:sz w:val="20"/>
                <w:szCs w:val="20"/>
                <w:color w:val="auto"/>
              </w:rPr>
            </w:pPr>
            <w:r>
              <w:rPr>
                <w:rFonts w:ascii="Arial" w:cs="Arial" w:eastAsia="Arial" w:hAnsi="Arial"/>
                <w:sz w:val="14"/>
                <w:szCs w:val="14"/>
                <w:b w:val="1"/>
                <w:bCs w:val="1"/>
                <w:color w:val="auto"/>
              </w:rPr>
              <w:t>$1,954</w:t>
            </w:r>
          </w:p>
        </w:tc>
        <w:tc>
          <w:tcPr>
            <w:tcW w:w="1100" w:type="dxa"/>
            <w:vAlign w:val="bottom"/>
            <w:gridSpan w:val="4"/>
            <w:shd w:val="clear" w:color="auto" w:fill="D9D9D6"/>
          </w:tcPr>
          <w:p>
            <w:pPr>
              <w:jc w:val="right"/>
              <w:ind w:right="360"/>
              <w:spacing w:after="0"/>
              <w:rPr>
                <w:sz w:val="20"/>
                <w:szCs w:val="20"/>
                <w:color w:val="auto"/>
              </w:rPr>
            </w:pPr>
            <w:r>
              <w:rPr>
                <w:rFonts w:ascii="Arial" w:cs="Arial" w:eastAsia="Arial" w:hAnsi="Arial"/>
                <w:sz w:val="14"/>
                <w:szCs w:val="14"/>
                <w:b w:val="1"/>
                <w:bCs w:val="1"/>
                <w:color w:val="auto"/>
              </w:rPr>
              <w:t>$3,099</w:t>
            </w:r>
          </w:p>
        </w:tc>
        <w:tc>
          <w:tcPr>
            <w:tcW w:w="40" w:type="dxa"/>
            <w:vAlign w:val="bottom"/>
            <w:shd w:val="clear" w:color="auto" w:fill="D9D9D6"/>
          </w:tcPr>
          <w:p>
            <w:pPr>
              <w:spacing w:after="0"/>
              <w:rPr>
                <w:sz w:val="24"/>
                <w:szCs w:val="24"/>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(37.0 %)</w:t>
            </w:r>
          </w:p>
        </w:tc>
        <w:tc>
          <w:tcPr>
            <w:tcW w:w="2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(37.6 %)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4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2.7 %</w:t>
            </w:r>
          </w:p>
        </w:tc>
        <w:tc>
          <w:tcPr>
            <w:tcW w:w="20" w:type="dxa"/>
            <w:vAlign w:val="bottom"/>
            <w:shd w:val="clear" w:color="auto" w:fill="D9D9D6"/>
          </w:tcPr>
          <w:p>
            <w:pPr>
              <w:spacing w:after="0"/>
              <w:rPr>
                <w:sz w:val="16"/>
                <w:szCs w:val="16"/>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15.2 %</w:t>
            </w: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10.5 %</w:t>
            </w:r>
          </w:p>
        </w:tc>
        <w:tc>
          <w:tcPr>
            <w:tcW w:w="240" w:type="dxa"/>
            <w:vAlign w:val="bottom"/>
            <w:shd w:val="clear" w:color="auto" w:fill="D9D9D6"/>
          </w:tcPr>
          <w:p>
            <w:pPr>
              <w:spacing w:after="0"/>
              <w:rPr>
                <w:sz w:val="16"/>
                <w:szCs w:val="16"/>
                <w:color w:val="auto"/>
              </w:rPr>
            </w:pPr>
          </w:p>
        </w:tc>
        <w:tc>
          <w:tcPr>
            <w:tcW w:w="74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16.1 %</w:t>
            </w:r>
          </w:p>
        </w:tc>
        <w:tc>
          <w:tcPr>
            <w:tcW w:w="36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2840" w:type="dxa"/>
            <w:vAlign w:val="bottom"/>
            <w:shd w:val="clear" w:color="auto" w:fill="D9D9D6"/>
          </w:tcPr>
          <w:p>
            <w:pPr>
              <w:spacing w:after="0"/>
              <w:rPr>
                <w:sz w:val="4"/>
                <w:szCs w:val="4"/>
                <w:color w:val="auto"/>
              </w:rPr>
            </w:pPr>
          </w:p>
        </w:tc>
        <w:tc>
          <w:tcPr>
            <w:tcW w:w="6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8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2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140" w:type="dxa"/>
            <w:vAlign w:val="bottom"/>
            <w:tcBorders>
              <w:right w:val="single" w:sz="8" w:color="97999B"/>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6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4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4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i w:val="1"/>
          <w:iCs w:val="1"/>
          <w:color w:val="auto"/>
        </w:rPr>
        <w:t xml:space="preserve">Revenue </w:t>
      </w:r>
      <w:r>
        <w:rPr>
          <w:rFonts w:ascii="Arial" w:cs="Arial" w:eastAsia="Arial" w:hAnsi="Arial"/>
          <w:sz w:val="17"/>
          <w:szCs w:val="17"/>
          <w:color w:val="auto"/>
        </w:rPr>
        <w:t>for Sky increased 3.3% to $5.2 billion in the fourth quarter of 2020. Excluding the impact of currency, revenue decreased 0.9%,</w:t>
      </w:r>
      <w:r>
        <w:rPr>
          <w:rFonts w:ascii="Arial" w:cs="Arial" w:eastAsia="Arial" w:hAnsi="Arial"/>
          <w:sz w:val="20"/>
          <w:szCs w:val="20"/>
          <w:b w:val="1"/>
          <w:bCs w:val="1"/>
          <w:i w:val="1"/>
          <w:iCs w:val="1"/>
          <w:color w:val="auto"/>
        </w:rPr>
        <w:t xml:space="preserve"> </w:t>
      </w:r>
      <w:r>
        <w:rPr>
          <w:rFonts w:ascii="Arial" w:cs="Arial" w:eastAsia="Arial" w:hAnsi="Arial"/>
          <w:sz w:val="17"/>
          <w:szCs w:val="17"/>
          <w:color w:val="auto"/>
        </w:rPr>
        <w:t>reflecting lower direct-to-consumer revenue, partially offset by higher content revenue and advertising revenue. Direct-to-consumer revenue decreased 2.8% to $4.1 billion, driven by a decrease in average revenue per customer relationship, primarily reflecting lower hospitality revenue due to COVID-19. Content revenue increased 10.4% to $426 million primarily due to monetization of our original programming. Advertising revenue increased 3.9% to $702 million due to growth in the U.K. advertising market.</w:t>
      </w:r>
    </w:p>
    <w:p>
      <w:pPr>
        <w:spacing w:after="0" w:line="19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For the twelve months ended December 31, 2020, Sky revenue decreased 3.3% to $18.6 billion compared to 2019. Excluding the impact of currency, revenue decreased 4.2% due to lower direct-to-consumer, advertising and content revenue.</w:t>
      </w:r>
    </w:p>
    <w:p>
      <w:pPr>
        <w:spacing w:after="0" w:line="17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244,000 to 23.9 million in the fourth quarter of 2020. For the twelve months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total customer relationships decreased by 56,000.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shd w:val="clear" w:color="auto" w:fill="D9D9D6"/>
          </w:tcPr>
          <w:p>
            <w:pPr>
              <w:ind w:left="140"/>
              <w:spacing w:after="0"/>
              <w:rPr>
                <w:sz w:val="20"/>
                <w:szCs w:val="20"/>
                <w:color w:val="auto"/>
              </w:rPr>
            </w:pPr>
            <w:r>
              <w:rPr>
                <w:rFonts w:ascii="Arial" w:cs="Arial" w:eastAsia="Arial" w:hAnsi="Arial"/>
                <w:sz w:val="11"/>
                <w:szCs w:val="11"/>
                <w:i w:val="1"/>
                <w:iCs w:val="1"/>
                <w:color w:val="auto"/>
              </w:rPr>
              <w:t>(in thousands)</w:t>
            </w:r>
          </w:p>
        </w:tc>
        <w:tc>
          <w:tcPr>
            <w:tcW w:w="640" w:type="dxa"/>
            <w:vAlign w:val="bottom"/>
            <w:tcBorders>
              <w:right w:val="single" w:sz="8" w:color="D9D9D6"/>
            </w:tcBorders>
            <w:shd w:val="clear" w:color="auto" w:fill="D9D9D6"/>
          </w:tcPr>
          <w:p>
            <w:pPr>
              <w:spacing w:after="0"/>
              <w:rPr>
                <w:sz w:val="17"/>
                <w:szCs w:val="17"/>
                <w:color w:val="auto"/>
              </w:rPr>
            </w:pPr>
          </w:p>
        </w:tc>
        <w:tc>
          <w:tcPr>
            <w:tcW w:w="34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340" w:type="dxa"/>
            <w:vAlign w:val="bottom"/>
            <w:shd w:val="clear" w:color="auto" w:fill="D9D9D6"/>
          </w:tcPr>
          <w:p>
            <w:pPr>
              <w:spacing w:after="0"/>
              <w:rPr>
                <w:sz w:val="17"/>
                <w:szCs w:val="17"/>
                <w:color w:val="auto"/>
              </w:rPr>
            </w:pPr>
          </w:p>
        </w:tc>
        <w:tc>
          <w:tcPr>
            <w:tcW w:w="162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64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240" w:type="dxa"/>
            <w:vAlign w:val="bottom"/>
            <w:tcBorders>
              <w:right w:val="single" w:sz="8" w:color="D9D9D6"/>
            </w:tcBorders>
            <w:shd w:val="clear" w:color="auto" w:fill="D9D9D6"/>
          </w:tcPr>
          <w:p>
            <w:pPr>
              <w:spacing w:after="0"/>
              <w:rPr>
                <w:sz w:val="17"/>
                <w:szCs w:val="17"/>
                <w:color w:val="auto"/>
              </w:rPr>
            </w:pPr>
          </w:p>
        </w:tc>
        <w:tc>
          <w:tcPr>
            <w:tcW w:w="340" w:type="dxa"/>
            <w:vAlign w:val="bottom"/>
            <w:shd w:val="clear" w:color="auto" w:fill="D9D9D6"/>
          </w:tcPr>
          <w:p>
            <w:pPr>
              <w:spacing w:after="0"/>
              <w:rPr>
                <w:sz w:val="17"/>
                <w:szCs w:val="17"/>
                <w:color w:val="auto"/>
              </w:rPr>
            </w:pPr>
          </w:p>
        </w:tc>
        <w:tc>
          <w:tcPr>
            <w:tcW w:w="4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r>
      <w:tr>
        <w:trPr>
          <w:trHeight w:val="182"/>
        </w:trPr>
        <w:tc>
          <w:tcPr>
            <w:tcW w:w="3900" w:type="dxa"/>
            <w:vAlign w:val="bottom"/>
            <w:shd w:val="clear" w:color="auto" w:fill="D9D9D6"/>
          </w:tcPr>
          <w:p>
            <w:pPr>
              <w:spacing w:after="0"/>
              <w:rPr>
                <w:sz w:val="15"/>
                <w:szCs w:val="15"/>
                <w:color w:val="auto"/>
              </w:rPr>
            </w:pPr>
          </w:p>
        </w:tc>
        <w:tc>
          <w:tcPr>
            <w:tcW w:w="640" w:type="dxa"/>
            <w:vAlign w:val="bottom"/>
            <w:tcBorders>
              <w:right w:val="single" w:sz="8" w:color="D9D9D6"/>
            </w:tcBorders>
            <w:shd w:val="clear" w:color="auto" w:fill="D9D9D6"/>
          </w:tcPr>
          <w:p>
            <w:pPr>
              <w:spacing w:after="0"/>
              <w:rPr>
                <w:sz w:val="15"/>
                <w:szCs w:val="15"/>
                <w:color w:val="auto"/>
              </w:rPr>
            </w:pPr>
          </w:p>
        </w:tc>
        <w:tc>
          <w:tcPr>
            <w:tcW w:w="70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Customers</w:t>
            </w:r>
          </w:p>
        </w:tc>
        <w:tc>
          <w:tcPr>
            <w:tcW w:w="280" w:type="dxa"/>
            <w:vAlign w:val="bottom"/>
            <w:shd w:val="clear" w:color="auto" w:fill="D9D9D6"/>
          </w:tcPr>
          <w:p>
            <w:pPr>
              <w:spacing w:after="0"/>
              <w:rPr>
                <w:sz w:val="15"/>
                <w:szCs w:val="15"/>
                <w:color w:val="auto"/>
              </w:rPr>
            </w:pPr>
          </w:p>
        </w:tc>
        <w:tc>
          <w:tcPr>
            <w:tcW w:w="340" w:type="dxa"/>
            <w:vAlign w:val="bottom"/>
            <w:shd w:val="clear" w:color="auto" w:fill="D9D9D6"/>
          </w:tcPr>
          <w:p>
            <w:pPr>
              <w:spacing w:after="0"/>
              <w:rPr>
                <w:sz w:val="15"/>
                <w:szCs w:val="15"/>
                <w:color w:val="auto"/>
              </w:rPr>
            </w:pPr>
          </w:p>
        </w:tc>
        <w:tc>
          <w:tcPr>
            <w:tcW w:w="162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64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130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Net Additions</w:t>
            </w:r>
          </w:p>
        </w:tc>
        <w:tc>
          <w:tcPr>
            <w:tcW w:w="320" w:type="dxa"/>
            <w:vAlign w:val="bottom"/>
            <w:shd w:val="clear" w:color="auto" w:fill="D9D9D6"/>
          </w:tcPr>
          <w:p>
            <w:pPr>
              <w:spacing w:after="0"/>
              <w:rPr>
                <w:sz w:val="15"/>
                <w:szCs w:val="15"/>
                <w:color w:val="auto"/>
              </w:rPr>
            </w:pPr>
          </w:p>
        </w:tc>
        <w:tc>
          <w:tcPr>
            <w:tcW w:w="60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r>
      <w:tr>
        <w:trPr>
          <w:trHeight w:val="20"/>
        </w:trPr>
        <w:tc>
          <w:tcPr>
            <w:tcW w:w="3900" w:type="dxa"/>
            <w:vAlign w:val="bottom"/>
            <w:shd w:val="clear" w:color="auto" w:fill="D9D9D6"/>
          </w:tcPr>
          <w:p>
            <w:pPr>
              <w:spacing w:after="0" w:line="20" w:lineRule="exact"/>
              <w:rPr>
                <w:sz w:val="1"/>
                <w:szCs w:val="1"/>
                <w:color w:val="auto"/>
              </w:rPr>
            </w:pPr>
          </w:p>
        </w:tc>
        <w:tc>
          <w:tcPr>
            <w:tcW w:w="640" w:type="dxa"/>
            <w:vAlign w:val="bottom"/>
            <w:tcBorders>
              <w:right w:val="single" w:sz="8" w:color="D9D9D6"/>
            </w:tcBorders>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16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169"/>
        </w:trPr>
        <w:tc>
          <w:tcPr>
            <w:tcW w:w="3900" w:type="dxa"/>
            <w:vAlign w:val="bottom"/>
            <w:shd w:val="clear" w:color="auto" w:fill="D9D9D6"/>
          </w:tcPr>
          <w:p>
            <w:pPr>
              <w:spacing w:after="0"/>
              <w:rPr>
                <w:sz w:val="14"/>
                <w:szCs w:val="14"/>
                <w:color w:val="auto"/>
              </w:rPr>
            </w:pPr>
          </w:p>
        </w:tc>
        <w:tc>
          <w:tcPr>
            <w:tcW w:w="640" w:type="dxa"/>
            <w:vAlign w:val="bottom"/>
            <w:tcBorders>
              <w:right w:val="single" w:sz="8" w:color="D9D9D6"/>
            </w:tcBorders>
            <w:shd w:val="clear" w:color="auto" w:fill="D9D9D6"/>
          </w:tcPr>
          <w:p>
            <w:pPr>
              <w:spacing w:after="0"/>
              <w:rPr>
                <w:sz w:val="14"/>
                <w:szCs w:val="14"/>
                <w:color w:val="auto"/>
              </w:rPr>
            </w:pPr>
          </w:p>
        </w:tc>
        <w:tc>
          <w:tcPr>
            <w:tcW w:w="3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3"/>
              </w:rPr>
              <w:t>4Q20</w:t>
            </w:r>
          </w:p>
        </w:tc>
        <w:tc>
          <w:tcPr>
            <w:tcW w:w="360" w:type="dxa"/>
            <w:vAlign w:val="bottom"/>
            <w:shd w:val="clear" w:color="auto" w:fill="D9D9D6"/>
          </w:tcPr>
          <w:p>
            <w:pPr>
              <w:spacing w:after="0"/>
              <w:rPr>
                <w:sz w:val="14"/>
                <w:szCs w:val="14"/>
                <w:color w:val="auto"/>
              </w:rPr>
            </w:pPr>
          </w:p>
        </w:tc>
        <w:tc>
          <w:tcPr>
            <w:tcW w:w="280" w:type="dxa"/>
            <w:vAlign w:val="bottom"/>
            <w:shd w:val="clear" w:color="auto" w:fill="D9D9D6"/>
          </w:tcPr>
          <w:p>
            <w:pPr>
              <w:spacing w:after="0"/>
              <w:rPr>
                <w:sz w:val="14"/>
                <w:szCs w:val="14"/>
                <w:color w:val="auto"/>
              </w:rPr>
            </w:pPr>
          </w:p>
        </w:tc>
        <w:tc>
          <w:tcPr>
            <w:tcW w:w="196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4Q19</w:t>
            </w:r>
          </w:p>
        </w:tc>
        <w:tc>
          <w:tcPr>
            <w:tcW w:w="1000" w:type="dxa"/>
            <w:vAlign w:val="bottom"/>
            <w:gridSpan w:val="2"/>
            <w:shd w:val="clear" w:color="auto" w:fill="D9D9D6"/>
          </w:tcPr>
          <w:p>
            <w:pPr>
              <w:jc w:val="center"/>
              <w:ind w:right="640"/>
              <w:spacing w:after="0"/>
              <w:rPr>
                <w:sz w:val="20"/>
                <w:szCs w:val="20"/>
                <w:color w:val="auto"/>
              </w:rPr>
            </w:pPr>
            <w:r>
              <w:rPr>
                <w:rFonts w:ascii="Arial" w:cs="Arial" w:eastAsia="Arial" w:hAnsi="Arial"/>
                <w:sz w:val="14"/>
                <w:szCs w:val="14"/>
                <w:color w:val="auto"/>
              </w:rPr>
              <w:t>4Q20</w:t>
            </w:r>
          </w:p>
        </w:tc>
        <w:tc>
          <w:tcPr>
            <w:tcW w:w="600" w:type="dxa"/>
            <w:vAlign w:val="bottom"/>
            <w:tcBorders>
              <w:right w:val="single" w:sz="8" w:color="97999B"/>
            </w:tcBorders>
            <w:gridSpan w:val="3"/>
            <w:shd w:val="clear" w:color="auto" w:fill="D9D9D6"/>
          </w:tcPr>
          <w:p>
            <w:pPr>
              <w:spacing w:after="0"/>
              <w:rPr>
                <w:sz w:val="20"/>
                <w:szCs w:val="20"/>
                <w:color w:val="auto"/>
              </w:rPr>
            </w:pPr>
            <w:r>
              <w:rPr>
                <w:rFonts w:ascii="Arial" w:cs="Arial" w:eastAsia="Arial" w:hAnsi="Arial"/>
                <w:sz w:val="14"/>
                <w:szCs w:val="14"/>
                <w:color w:val="auto"/>
              </w:rPr>
              <w:t>4Q19</w:t>
            </w:r>
          </w:p>
        </w:tc>
        <w:tc>
          <w:tcPr>
            <w:tcW w:w="340" w:type="dxa"/>
            <w:vAlign w:val="bottom"/>
            <w:shd w:val="clear" w:color="auto" w:fill="D9D9D6"/>
          </w:tcPr>
          <w:p>
            <w:pPr>
              <w:spacing w:after="0"/>
              <w:rPr>
                <w:sz w:val="14"/>
                <w:szCs w:val="14"/>
                <w:color w:val="auto"/>
              </w:rPr>
            </w:pPr>
          </w:p>
        </w:tc>
        <w:tc>
          <w:tcPr>
            <w:tcW w:w="440" w:type="dxa"/>
            <w:vAlign w:val="bottom"/>
            <w:shd w:val="clear" w:color="auto" w:fill="D9D9D6"/>
          </w:tcPr>
          <w:p>
            <w:pPr>
              <w:spacing w:after="0"/>
              <w:rPr>
                <w:sz w:val="14"/>
                <w:szCs w:val="14"/>
                <w:color w:val="auto"/>
              </w:rPr>
            </w:pPr>
          </w:p>
        </w:tc>
        <w:tc>
          <w:tcPr>
            <w:tcW w:w="920" w:type="dxa"/>
            <w:vAlign w:val="bottom"/>
            <w:gridSpan w:val="2"/>
            <w:shd w:val="clear" w:color="auto" w:fill="D9D9D6"/>
          </w:tcPr>
          <w:p>
            <w:pPr>
              <w:jc w:val="right"/>
              <w:ind w:right="600"/>
              <w:spacing w:after="0"/>
              <w:rPr>
                <w:sz w:val="20"/>
                <w:szCs w:val="20"/>
                <w:color w:val="auto"/>
              </w:rPr>
            </w:pPr>
            <w:r>
              <w:rPr>
                <w:rFonts w:ascii="Arial" w:cs="Arial" w:eastAsia="Arial" w:hAnsi="Arial"/>
                <w:sz w:val="14"/>
                <w:szCs w:val="14"/>
                <w:color w:val="auto"/>
                <w:w w:val="96"/>
              </w:rPr>
              <w:t>2020</w:t>
            </w:r>
          </w:p>
        </w:tc>
        <w:tc>
          <w:tcPr>
            <w:tcW w:w="460" w:type="dxa"/>
            <w:vAlign w:val="bottom"/>
            <w:gridSpan w:val="2"/>
            <w:shd w:val="clear" w:color="auto" w:fill="D9D9D6"/>
          </w:tcPr>
          <w:p>
            <w:pPr>
              <w:jc w:val="right"/>
              <w:ind w:right="140"/>
              <w:spacing w:after="0"/>
              <w:rPr>
                <w:sz w:val="20"/>
                <w:szCs w:val="20"/>
                <w:color w:val="auto"/>
              </w:rPr>
            </w:pPr>
            <w:r>
              <w:rPr>
                <w:rFonts w:ascii="Arial" w:cs="Arial" w:eastAsia="Arial" w:hAnsi="Arial"/>
                <w:sz w:val="14"/>
                <w:szCs w:val="14"/>
                <w:color w:val="auto"/>
                <w:w w:val="96"/>
              </w:rPr>
              <w:t>2019</w:t>
            </w:r>
          </w:p>
        </w:tc>
      </w:tr>
      <w:tr>
        <w:trPr>
          <w:trHeight w:val="20"/>
        </w:trPr>
        <w:tc>
          <w:tcPr>
            <w:tcW w:w="3900" w:type="dxa"/>
            <w:vAlign w:val="bottom"/>
            <w:shd w:val="clear" w:color="auto" w:fill="D9D9D6"/>
          </w:tcPr>
          <w:p>
            <w:pPr>
              <w:spacing w:after="0" w:line="20" w:lineRule="exact"/>
              <w:rPr>
                <w:sz w:val="1"/>
                <w:szCs w:val="1"/>
                <w:color w:val="auto"/>
              </w:rPr>
            </w:pPr>
          </w:p>
        </w:tc>
        <w:tc>
          <w:tcPr>
            <w:tcW w:w="640" w:type="dxa"/>
            <w:vAlign w:val="bottom"/>
            <w:tcBorders>
              <w:right w:val="single" w:sz="8" w:color="auto"/>
            </w:tcBorders>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2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230"/>
        </w:trPr>
        <w:tc>
          <w:tcPr>
            <w:tcW w:w="3900" w:type="dxa"/>
            <w:vAlign w:val="bottom"/>
            <w:tcBorders>
              <w:bottom w:val="single" w:sz="8" w:color="D9D9D6"/>
            </w:tcBorders>
            <w:shd w:val="clear" w:color="auto" w:fill="D9D9D6"/>
          </w:tcPr>
          <w:p>
            <w:pPr>
              <w:ind w:left="260"/>
              <w:spacing w:after="0"/>
              <w:rPr>
                <w:sz w:val="20"/>
                <w:szCs w:val="20"/>
                <w:color w:val="auto"/>
              </w:rPr>
            </w:pPr>
            <w:r>
              <w:rPr>
                <w:rFonts w:ascii="Arial" w:cs="Arial" w:eastAsia="Arial" w:hAnsi="Arial"/>
                <w:sz w:val="14"/>
                <w:szCs w:val="14"/>
                <w:b w:val="1"/>
                <w:bCs w:val="1"/>
                <w:color w:val="auto"/>
              </w:rPr>
              <w:t>Total Customer Relationships</w:t>
            </w:r>
          </w:p>
        </w:tc>
        <w:tc>
          <w:tcPr>
            <w:tcW w:w="9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23,939</w:t>
            </w:r>
          </w:p>
        </w:tc>
        <w:tc>
          <w:tcPr>
            <w:tcW w:w="360" w:type="dxa"/>
            <w:vAlign w:val="bottom"/>
            <w:tcBorders>
              <w:bottom w:val="single" w:sz="8" w:color="D9D9D6"/>
            </w:tcBorders>
            <w:shd w:val="clear" w:color="auto" w:fill="D9D9D6"/>
          </w:tcPr>
          <w:p>
            <w:pPr>
              <w:spacing w:after="0"/>
              <w:rPr>
                <w:sz w:val="20"/>
                <w:szCs w:val="20"/>
                <w:color w:val="auto"/>
              </w:rPr>
            </w:pPr>
          </w:p>
        </w:tc>
        <w:tc>
          <w:tcPr>
            <w:tcW w:w="62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23,994</w:t>
            </w:r>
          </w:p>
        </w:tc>
        <w:tc>
          <w:tcPr>
            <w:tcW w:w="1620" w:type="dxa"/>
            <w:vAlign w:val="bottom"/>
            <w:tcBorders>
              <w:bottom w:val="single" w:sz="8" w:color="D9D9D6"/>
            </w:tcBorders>
            <w:shd w:val="clear" w:color="auto" w:fill="D9D9D6"/>
          </w:tcPr>
          <w:p>
            <w:pPr>
              <w:spacing w:after="0"/>
              <w:rPr>
                <w:sz w:val="20"/>
                <w:szCs w:val="20"/>
                <w:color w:val="auto"/>
              </w:rPr>
            </w:pPr>
          </w:p>
        </w:tc>
        <w:tc>
          <w:tcPr>
            <w:tcW w:w="36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244</w:t>
            </w:r>
          </w:p>
        </w:tc>
        <w:tc>
          <w:tcPr>
            <w:tcW w:w="640" w:type="dxa"/>
            <w:vAlign w:val="bottom"/>
            <w:tcBorders>
              <w:bottom w:val="single" w:sz="8" w:color="D9D9D6"/>
            </w:tcBorders>
            <w:shd w:val="clear" w:color="auto" w:fill="D9D9D6"/>
          </w:tcPr>
          <w:p>
            <w:pPr>
              <w:spacing w:after="0"/>
              <w:rPr>
                <w:sz w:val="20"/>
                <w:szCs w:val="20"/>
                <w:color w:val="auto"/>
              </w:rPr>
            </w:pPr>
          </w:p>
        </w:tc>
        <w:tc>
          <w:tcPr>
            <w:tcW w:w="36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77</w:t>
            </w:r>
          </w:p>
        </w:tc>
        <w:tc>
          <w:tcPr>
            <w:tcW w:w="240" w:type="dxa"/>
            <w:vAlign w:val="bottom"/>
            <w:tcBorders>
              <w:bottom w:val="single" w:sz="8" w:color="D9D9D6"/>
              <w:right w:val="single" w:sz="8" w:color="97999B"/>
            </w:tcBorders>
            <w:shd w:val="clear" w:color="auto" w:fill="D9D9D6"/>
          </w:tcPr>
          <w:p>
            <w:pPr>
              <w:spacing w:after="0"/>
              <w:rPr>
                <w:sz w:val="20"/>
                <w:szCs w:val="20"/>
                <w:color w:val="auto"/>
              </w:rPr>
            </w:pPr>
          </w:p>
        </w:tc>
        <w:tc>
          <w:tcPr>
            <w:tcW w:w="340" w:type="dxa"/>
            <w:vAlign w:val="bottom"/>
            <w:tcBorders>
              <w:bottom w:val="single" w:sz="8" w:color="D9D9D6"/>
            </w:tcBorders>
            <w:shd w:val="clear" w:color="auto" w:fill="D9D9D6"/>
          </w:tcPr>
          <w:p>
            <w:pPr>
              <w:spacing w:after="0"/>
              <w:rPr>
                <w:sz w:val="20"/>
                <w:szCs w:val="20"/>
                <w:color w:val="auto"/>
              </w:rPr>
            </w:pPr>
          </w:p>
        </w:tc>
        <w:tc>
          <w:tcPr>
            <w:tcW w:w="440" w:type="dxa"/>
            <w:vAlign w:val="bottom"/>
            <w:tcBorders>
              <w:bottom w:val="single" w:sz="8" w:color="D9D9D6"/>
            </w:tcBorders>
            <w:shd w:val="clear" w:color="auto" w:fill="D9D9D6"/>
          </w:tcPr>
          <w:p>
            <w:pPr>
              <w:spacing w:after="0"/>
              <w:rPr>
                <w:sz w:val="20"/>
                <w:szCs w:val="20"/>
                <w:color w:val="auto"/>
              </w:rPr>
            </w:pPr>
          </w:p>
        </w:tc>
        <w:tc>
          <w:tcPr>
            <w:tcW w:w="32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(56)</w:t>
            </w:r>
          </w:p>
        </w:tc>
        <w:tc>
          <w:tcPr>
            <w:tcW w:w="600" w:type="dxa"/>
            <w:vAlign w:val="bottom"/>
            <w:tcBorders>
              <w:bottom w:val="single" w:sz="8" w:color="D9D9D6"/>
            </w:tcBorders>
            <w:shd w:val="clear" w:color="auto" w:fill="D9D9D6"/>
          </w:tcPr>
          <w:p>
            <w:pPr>
              <w:spacing w:after="0"/>
              <w:rPr>
                <w:sz w:val="20"/>
                <w:szCs w:val="20"/>
                <w:color w:val="auto"/>
              </w:rPr>
            </w:pPr>
          </w:p>
        </w:tc>
        <w:tc>
          <w:tcPr>
            <w:tcW w:w="32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394</w:t>
            </w:r>
          </w:p>
        </w:tc>
        <w:tc>
          <w:tcPr>
            <w:tcW w:w="140" w:type="dxa"/>
            <w:vAlign w:val="bottom"/>
            <w:tcBorders>
              <w:bottom w:val="single" w:sz="8" w:color="D9D9D6"/>
            </w:tcBorders>
            <w:shd w:val="clear" w:color="auto" w:fill="D9D9D6"/>
          </w:tcPr>
          <w:p>
            <w:pPr>
              <w:spacing w:after="0"/>
              <w:rPr>
                <w:sz w:val="20"/>
                <w:szCs w:val="20"/>
                <w:color w:val="auto"/>
              </w:rPr>
            </w:pPr>
          </w:p>
        </w:tc>
      </w:tr>
    </w:tbl>
    <w:p>
      <w:pPr>
        <w:spacing w:after="0" w:line="3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decreased 81.8% to $139 million in the fourth quarter of 2020. Excluding the impact of currency,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82.3%, reflecting lower revenue and higher operating costs. The increase in operating costs was due to an increase in programming and production expenses as well as higher marketing costs.</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the twelve months ended December 31, 2020, Sky Adjusted EBITDA decreased 37.0% to $2.0 billion compared to 2019. Excluding the impact of currency, Adjusted EBITDA decreased 37.6%.</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Corporate and Other primarily relates to corporate operations, Comcast Spectacor and Peacock. Revenue for the quarter ended December 31, 2020 was $116 million, a decrease of $11 million compared to 2019. Corporate and Other Adjusted EBITDA loss was $1.2 billion, an increase of $950 million compared to 2019 due to certain costs incurred in the fourth quarter of 2020 in response to COVID-19, including severance charges related to our Sky segment, which are presented in Corporate and Other, and costs associated with Peacock.</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twelve months ended December 31, 2020, Corporate and Other revenue was $366 million, an increase of $33 million compared to 2019. Corporate and Other Adjusted EBITDA loss was $2.4 billion, an increase of $1.6 billion compared to 2019 due to certain costs incurred in response to COVID-19,</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684" w:right="339" w:bottom="1440" w:gutter="0" w:footer="0" w:header="0"/>
        </w:sectPr>
      </w:pPr>
    </w:p>
    <w:bookmarkStart w:id="10" w:name="page11"/>
    <w:bookmarkEnd w:id="10"/>
    <w:p>
      <w:pPr>
        <w:jc w:val="both"/>
        <w:ind w:right="20"/>
        <w:spacing w:after="0" w:line="276" w:lineRule="auto"/>
        <w:rPr>
          <w:sz w:val="20"/>
          <w:szCs w:val="20"/>
          <w:color w:val="auto"/>
        </w:rPr>
      </w:pPr>
      <w:r>
        <w:rPr>
          <w:rFonts w:ascii="Arial" w:cs="Arial" w:eastAsia="Arial" w:hAnsi="Arial"/>
          <w:sz w:val="18"/>
          <w:szCs w:val="18"/>
          <w:color w:val="auto"/>
        </w:rPr>
        <w:t>including severance charges related to our Sky and NBCUniversal segments, which are presented in Corporate and Other, and costs associated with Peacock.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Eliminations reflect the accounting for transactions between Cable Communications, NBCUniversal, Sky and Corporate and Other. Revenue eliminations for the quarter ended December 31, 2020 were $ 818 million compared to $690 million in 2019, and Adjusted EBITDA eliminations were a benefit of $30 million compared to a benefit of $11 million in 2019. The year-over-year changes were primarily driven by the licensing of content between our NBCUniversal segments and Peacock. The benefit to Adjusted EBITDA eliminations in the fourth quarter of 2020 was primarily driven by the amortization of content at Peacock that had been licensed from NBCUniversal in prior periods.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twelve months ended December 31, 2020, revenue eliminations were $3.5 billion compared to $2.7 billion in 2019, and Adjusted EBITDA eliminations were $220 million compared to a benefit of $1.0 million in 2019. The year-over-year changes were primarily driven by the licensing of content between our NBCUniversal segments and Peacock.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212090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335" w:lineRule="exact"/>
        <w:rPr>
          <w:sz w:val="20"/>
          <w:szCs w:val="20"/>
          <w:color w:val="auto"/>
        </w:rPr>
      </w:pPr>
    </w:p>
    <w:p>
      <w:pPr>
        <w:jc w:val="both"/>
        <w:ind w:left="180" w:hanging="172"/>
        <w:spacing w:after="0" w:line="260" w:lineRule="auto"/>
        <w:tabs>
          <w:tab w:leader="none" w:pos="23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1" w:lineRule="exact"/>
        <w:rPr>
          <w:sz w:val="20"/>
          <w:szCs w:val="20"/>
          <w:color w:val="auto"/>
        </w:rPr>
      </w:pPr>
    </w:p>
    <w:p>
      <w:pPr>
        <w:jc w:val="both"/>
        <w:ind w:left="180" w:hanging="161"/>
        <w:spacing w:after="0" w:line="258"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8"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3" w:lineRule="exact"/>
        <w:rPr>
          <w:sz w:val="20"/>
          <w:szCs w:val="20"/>
          <w:color w:val="auto"/>
        </w:rPr>
      </w:pPr>
    </w:p>
    <w:p>
      <w:pPr>
        <w:jc w:val="both"/>
        <w:ind w:left="180" w:hanging="161"/>
        <w:spacing w:after="0" w:line="271" w:lineRule="auto"/>
        <w:rPr>
          <w:sz w:val="20"/>
          <w:szCs w:val="20"/>
          <w:color w:val="auto"/>
        </w:rPr>
      </w:pPr>
      <w:r>
        <w:rPr>
          <w:rFonts w:ascii="Arial" w:cs="Arial" w:eastAsia="Arial" w:hAnsi="Arial"/>
          <w:sz w:val="18"/>
          <w:szCs w:val="18"/>
          <w:color w:val="auto"/>
        </w:rPr>
        <w:t>5 Cable Communications reported results for 2020 include the impacts of RSN related adjustments, affecting period-to-period comparability of our operating performance. We also present adjusted information, excluding the impacts of the RSN related adjustments. See Table 7 for reconciliation of non-GAAP financial measures.</w:t>
      </w:r>
    </w:p>
    <w:p>
      <w:pPr>
        <w:spacing w:after="0" w:line="109" w:lineRule="exact"/>
        <w:rPr>
          <w:sz w:val="20"/>
          <w:szCs w:val="20"/>
          <w:color w:val="auto"/>
        </w:rPr>
      </w:pPr>
    </w:p>
    <w:p>
      <w:pPr>
        <w:jc w:val="both"/>
        <w:ind w:left="180" w:hanging="161"/>
        <w:spacing w:after="0" w:line="271" w:lineRule="auto"/>
        <w:rPr>
          <w:sz w:val="20"/>
          <w:szCs w:val="20"/>
          <w:color w:val="auto"/>
        </w:rPr>
      </w:pPr>
      <w:r>
        <w:rPr>
          <w:rFonts w:ascii="Arial" w:cs="Arial" w:eastAsia="Arial" w:hAnsi="Arial"/>
          <w:sz w:val="18"/>
          <w:szCs w:val="18"/>
          <w:color w:val="auto"/>
        </w:rPr>
        <w:t>6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6 for reconciliation of Sky's constant currency growth.</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January 28, 2021 at 8:30 a.m. Eastern Time (ET). The conference call and related materials will be broadcast live and posted on its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(800) 263-8495 with the conference ID number 7964167. A replay of the call will be available starting at 12:00 p.m. ET on January 28, 2021, on the Investor Relations website or by telephone. To access the telephone replay, which will be available until Thursday, February 4, 2021 at midnight ET, please dial (855) 859-2056 and enter the conference ID number 7964167.</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21"/>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9"/>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Comcast Corporation (Nasdaq: CMCSA) is a global media and technology company with three primary businesses: Comcast Cable, NBCUniversal, and Sky. Comcast Cable is one of the United States’ largest high-speed internet, video,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 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 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686"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389255</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22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$27,708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$28,398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$103,564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$108,942</w:t>
            </w:r>
          </w:p>
        </w:tc>
        <w:tc>
          <w:tcPr>
            <w:tcW w:w="0" w:type="dxa"/>
            <w:vAlign w:val="bottom"/>
          </w:tcPr>
          <w:p>
            <w:pPr>
              <w:spacing w:after="0"/>
              <w:rPr>
                <w:sz w:val="1"/>
                <w:szCs w:val="1"/>
                <w:color w:val="auto"/>
              </w:rPr>
            </w:pPr>
          </w:p>
        </w:tc>
      </w:tr>
      <w:tr>
        <w:trPr>
          <w:trHeight w:val="469"/>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9,438</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33,121</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9,300</w:t>
            </w: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34,440</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9,150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8,731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33,109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32,807</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1,950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6,741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7,617</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1,992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8,320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8,663</w:t>
            </w:r>
          </w:p>
        </w:tc>
        <w:tc>
          <w:tcPr>
            <w:tcW w:w="0" w:type="dxa"/>
            <w:vAlign w:val="bottom"/>
          </w:tcPr>
          <w:p>
            <w:pPr>
              <w:spacing w:after="0"/>
              <w:rPr>
                <w:sz w:val="1"/>
                <w:szCs w:val="1"/>
                <w:color w:val="auto"/>
              </w:rPr>
            </w:pPr>
          </w:p>
        </w:tc>
      </w:tr>
      <w:tr>
        <w:trPr>
          <w:trHeight w:val="223"/>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1,260</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4,780</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23,790</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23,151</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86,071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87,817</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3,918</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5,247</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17,493</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21,125</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(1,044)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(4,588)</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(4,567)</w:t>
            </w:r>
          </w:p>
        </w:tc>
        <w:tc>
          <w:tcPr>
            <w:tcW w:w="0" w:type="dxa"/>
            <w:vAlign w:val="bottom"/>
          </w:tcPr>
          <w:p>
            <w:pPr>
              <w:spacing w:after="0"/>
              <w:rPr>
                <w:sz w:val="1"/>
                <w:szCs w:val="1"/>
                <w:color w:val="auto"/>
              </w:rPr>
            </w:pPr>
          </w:p>
        </w:tc>
      </w:tr>
      <w:tr>
        <w:trPr>
          <w:trHeight w:val="475"/>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521</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(113)</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949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1,014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23"/>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1,160</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4,416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4,061</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14,065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16,996</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(979)</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(3,364)</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3,437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10,701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13,323</w:t>
            </w:r>
          </w:p>
        </w:tc>
        <w:tc>
          <w:tcPr>
            <w:tcW w:w="0" w:type="dxa"/>
            <w:vAlign w:val="bottom"/>
          </w:tcPr>
          <w:p>
            <w:pPr>
              <w:spacing w:after="0"/>
              <w:rPr>
                <w:sz w:val="1"/>
                <w:szCs w:val="1"/>
                <w:color w:val="auto"/>
              </w:rPr>
            </w:pPr>
          </w:p>
        </w:tc>
      </w:tr>
      <w:tr>
        <w:trPr>
          <w:trHeight w:val="42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 subsidiary</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57</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167</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22"/>
        </w:trPr>
        <w:tc>
          <w:tcPr>
            <w:tcW w:w="654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$3,380</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$10,534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$13,057</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$0.73</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$0.68</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$2.28</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4,645</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4,623</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4,624</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834"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414655</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407"/>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$10,701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$13,323</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13,100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12,953</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1,193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697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(970)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8"/>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23"/>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1,096</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24,737</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25,697</w:t>
            </w:r>
          </w:p>
        </w:tc>
        <w:tc>
          <w:tcPr>
            <w:tcW w:w="0" w:type="dxa"/>
            <w:vAlign w:val="bottom"/>
          </w:tcPr>
          <w:p>
            <w:pPr>
              <w:spacing w:after="0"/>
              <w:rPr>
                <w:sz w:val="1"/>
                <w:szCs w:val="1"/>
                <w:color w:val="auto"/>
              </w:rPr>
            </w:pPr>
          </w:p>
        </w:tc>
      </w:tr>
      <w:tr>
        <w:trPr>
          <w:trHeight w:val="407"/>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(9,179)</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(9,953)</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(2,455)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218"/>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(1,498)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28"/>
        </w:trPr>
        <w:tc>
          <w:tcPr>
            <w:tcW w:w="8900" w:type="dxa"/>
            <w:vAlign w:val="bottom"/>
          </w:tcPr>
          <w:p>
            <w:pPr>
              <w:ind w:left="200"/>
              <w:spacing w:after="0"/>
              <w:rPr>
                <w:sz w:val="20"/>
                <w:szCs w:val="20"/>
                <w:color w:val="auto"/>
              </w:rPr>
            </w:pPr>
            <w:r>
              <w:rPr>
                <w:rFonts w:ascii="Arial" w:cs="Arial" w:eastAsia="Arial" w:hAnsi="Arial"/>
                <w:sz w:val="16"/>
                <w:szCs w:val="16"/>
                <w:color w:val="auto"/>
              </w:rPr>
              <w:t>Purchase of spectrum</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(459)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2,339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(812)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(1,899)</w:t>
            </w:r>
          </w:p>
        </w:tc>
        <w:tc>
          <w:tcPr>
            <w:tcW w:w="0" w:type="dxa"/>
            <w:vAlign w:val="bottom"/>
          </w:tcPr>
          <w:p>
            <w:pPr>
              <w:spacing w:after="0"/>
              <w:rPr>
                <w:sz w:val="1"/>
                <w:szCs w:val="1"/>
                <w:color w:val="auto"/>
              </w:rPr>
            </w:pPr>
          </w:p>
        </w:tc>
      </w:tr>
      <w:tr>
        <w:trPr>
          <w:trHeight w:val="223"/>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(12,047)</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(14,841)</w:t>
            </w:r>
          </w:p>
        </w:tc>
        <w:tc>
          <w:tcPr>
            <w:tcW w:w="0" w:type="dxa"/>
            <w:vAlign w:val="bottom"/>
          </w:tcPr>
          <w:p>
            <w:pPr>
              <w:spacing w:after="0"/>
              <w:rPr>
                <w:sz w:val="1"/>
                <w:szCs w:val="1"/>
                <w:color w:val="auto"/>
              </w:rPr>
            </w:pPr>
          </w:p>
        </w:tc>
      </w:tr>
      <w:tr>
        <w:trPr>
          <w:trHeight w:val="407"/>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(repayments of) short-term borrowings, net</w:t>
            </w:r>
          </w:p>
        </w:tc>
        <w:tc>
          <w:tcPr>
            <w:tcW w:w="1260" w:type="dxa"/>
            <w:vAlign w:val="bottom"/>
            <w:gridSpan w:val="2"/>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18,644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5,479</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collateralized obligation</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5,175</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(18,777)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(14,354)</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(534)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(4,140)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(3,735)</w:t>
            </w:r>
          </w:p>
        </w:tc>
        <w:tc>
          <w:tcPr>
            <w:tcW w:w="0" w:type="dxa"/>
            <w:vAlign w:val="bottom"/>
          </w:tcPr>
          <w:p>
            <w:pPr>
              <w:spacing w:after="0"/>
              <w:rPr>
                <w:sz w:val="1"/>
                <w:szCs w:val="1"/>
                <w:color w:val="auto"/>
              </w:rPr>
            </w:pPr>
          </w:p>
        </w:tc>
      </w:tr>
      <w:tr>
        <w:trPr>
          <w:trHeight w:val="223"/>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(1,706)</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(6,513)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(9,181)</w:t>
            </w:r>
          </w:p>
        </w:tc>
        <w:tc>
          <w:tcPr>
            <w:tcW w:w="0" w:type="dxa"/>
            <w:vAlign w:val="bottom"/>
          </w:tcPr>
          <w:p>
            <w:pPr>
              <w:spacing w:after="0"/>
              <w:rPr>
                <w:sz w:val="1"/>
                <w:szCs w:val="1"/>
                <w:color w:val="auto"/>
              </w:rPr>
            </w:pP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6,179</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5,589</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w:t>
            </w:r>
          </w:p>
        </w:tc>
        <w:tc>
          <w:tcPr>
            <w:tcW w:w="0" w:type="dxa"/>
            <w:vAlign w:val="bottom"/>
          </w:tcPr>
          <w:p>
            <w:pPr>
              <w:spacing w:after="0"/>
              <w:rPr>
                <w:sz w:val="1"/>
                <w:szCs w:val="1"/>
                <w:color w:val="auto"/>
              </w:rPr>
            </w:pP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$11,768</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$5,589</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875"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389255</wp:posOffset>
            </wp:positionV>
            <wp:extent cx="102870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(in millions)</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1"/>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1"/>
        </w:trPr>
        <w:tc>
          <w:tcPr>
            <w:tcW w:w="778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$11,740</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7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11,466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Programming rights</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41"/>
        </w:trPr>
        <w:tc>
          <w:tcPr>
            <w:tcW w:w="77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3,535</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26,741</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437"/>
        </w:trPr>
        <w:tc>
          <w:tcPr>
            <w:tcW w:w="77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13,340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7,820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447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51,995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48,322</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70,669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68,725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35,389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36,128</w:t>
            </w:r>
          </w:p>
        </w:tc>
        <w:tc>
          <w:tcPr>
            <w:tcW w:w="0" w:type="dxa"/>
            <w:vAlign w:val="bottom"/>
          </w:tcPr>
          <w:p>
            <w:pPr>
              <w:spacing w:after="0"/>
              <w:rPr>
                <w:sz w:val="1"/>
                <w:szCs w:val="1"/>
                <w:color w:val="auto"/>
              </w:rPr>
            </w:pPr>
          </w:p>
        </w:tc>
      </w:tr>
      <w:tr>
        <w:trPr>
          <w:trHeight w:val="434"/>
        </w:trPr>
        <w:tc>
          <w:tcPr>
            <w:tcW w:w="77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8,103</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$273,869</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$263,414</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$11,364</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78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1,706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2,963</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9,617</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41"/>
        </w:trPr>
        <w:tc>
          <w:tcPr>
            <w:tcW w:w="77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3,146</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28,796</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30,292</w:t>
            </w:r>
          </w:p>
        </w:tc>
        <w:tc>
          <w:tcPr>
            <w:tcW w:w="0" w:type="dxa"/>
            <w:vAlign w:val="bottom"/>
          </w:tcPr>
          <w:p>
            <w:pPr>
              <w:spacing w:after="0"/>
              <w:rPr>
                <w:sz w:val="1"/>
                <w:szCs w:val="1"/>
                <w:color w:val="auto"/>
              </w:rPr>
            </w:pPr>
          </w:p>
        </w:tc>
      </w:tr>
      <w:tr>
        <w:trPr>
          <w:trHeight w:val="437"/>
        </w:trPr>
        <w:tc>
          <w:tcPr>
            <w:tcW w:w="77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100,614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97,765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5,168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28,051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28,180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18,222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16,765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1,280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424"/>
        </w:trPr>
        <w:tc>
          <w:tcPr>
            <w:tcW w:w="778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90,323</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780" w:type="dxa"/>
            <w:vAlign w:val="bottom"/>
          </w:tcPr>
          <w:p>
            <w:pPr>
              <w:ind w:left="340"/>
              <w:spacing w:after="0"/>
              <w:rPr>
                <w:sz w:val="20"/>
                <w:szCs w:val="20"/>
                <w:color w:val="auto"/>
              </w:rPr>
            </w:pPr>
            <w:r>
              <w:rPr>
                <w:rFonts w:ascii="Arial" w:cs="Arial" w:eastAsia="Arial" w:hAnsi="Arial"/>
                <w:sz w:val="18"/>
                <w:szCs w:val="18"/>
                <w:color w:val="auto"/>
              </w:rPr>
              <w:t>Comcast Corporation shareholders' equity</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82,726</w:t>
            </w:r>
          </w:p>
        </w:tc>
        <w:tc>
          <w:tcPr>
            <w:tcW w:w="0" w:type="dxa"/>
            <w:vAlign w:val="bottom"/>
          </w:tcPr>
          <w:p>
            <w:pPr>
              <w:spacing w:after="0"/>
              <w:rPr>
                <w:sz w:val="1"/>
                <w:szCs w:val="1"/>
                <w:color w:val="auto"/>
              </w:rPr>
            </w:pPr>
          </w:p>
        </w:tc>
      </w:tr>
      <w:tr>
        <w:trPr>
          <w:trHeight w:val="241"/>
        </w:trPr>
        <w:tc>
          <w:tcPr>
            <w:tcW w:w="77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91,738</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83,874</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$273,869</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$263,414</w:t>
            </w:r>
          </w:p>
        </w:tc>
        <w:tc>
          <w:tcPr>
            <w:tcW w:w="0" w:type="dxa"/>
            <w:vAlign w:val="bottom"/>
          </w:tcPr>
          <w:p>
            <w:pPr>
              <w:spacing w:after="0"/>
              <w:rPr>
                <w:sz w:val="1"/>
                <w:szCs w:val="1"/>
                <w:color w:val="auto"/>
              </w:rPr>
            </w:pPr>
          </w:p>
        </w:tc>
      </w:tr>
      <w:tr>
        <w:trPr>
          <w:trHeight w:val="21"/>
        </w:trPr>
        <w:tc>
          <w:tcPr>
            <w:tcW w:w="7780" w:type="dxa"/>
            <w:vAlign w:val="bottom"/>
            <w:vMerge w:val="restart"/>
          </w:tcPr>
          <w:p>
            <w:pPr>
              <w:ind w:left="5520"/>
              <w:spacing w:after="0"/>
              <w:rPr>
                <w:sz w:val="20"/>
                <w:szCs w:val="20"/>
                <w:color w:val="auto"/>
              </w:rPr>
            </w:pPr>
            <w:r>
              <w:rPr>
                <w:rFonts w:ascii="Arial" w:cs="Arial" w:eastAsia="Arial" w:hAnsi="Arial"/>
                <w:sz w:val="14"/>
                <w:szCs w:val="14"/>
                <w:color w:val="auto"/>
              </w:rPr>
              <w:t>12</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5"/>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34"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-177165</wp:posOffset>
            </wp:positionV>
            <wp:extent cx="1028700" cy="436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0" cy="43688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32320" cy="1414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ectPr>
          <w:pgSz w:w="11900" w:h="16838" w:orient="portrait"/>
          <w:cols w:equalWidth="0" w:num="1">
            <w:col w:w="11200"/>
          </w:cols>
          <w:pgMar w:left="340" w:top="983" w:right="359" w:bottom="1440" w:gutter="0" w:footer="0" w:header="0"/>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8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7300" w:type="dxa"/>
            <w:vAlign w:val="bottom"/>
          </w:tcPr>
          <w:p>
            <w:pPr>
              <w:spacing w:after="0"/>
              <w:rPr>
                <w:sz w:val="15"/>
                <w:szCs w:val="15"/>
                <w:color w:val="auto"/>
              </w:rPr>
            </w:pPr>
          </w:p>
        </w:tc>
        <w:tc>
          <w:tcPr>
            <w:tcW w:w="180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2019</w:t>
            </w:r>
          </w:p>
        </w:tc>
      </w:tr>
      <w:tr>
        <w:trPr>
          <w:trHeight w:val="181"/>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$3,380</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$3,162</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979</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861</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1,044</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1,113</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(1,542)</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3,252</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3,177</w:t>
            </w:r>
          </w:p>
        </w:tc>
      </w:tr>
      <w:tr>
        <w:trPr>
          <w:trHeight w:val="191"/>
        </w:trPr>
        <w:tc>
          <w:tcPr>
            <w:tcW w:w="7300" w:type="dxa"/>
            <w:vAlign w:val="bottom"/>
          </w:tcPr>
          <w:p>
            <w:pPr>
              <w:spacing w:after="0" w:line="19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$7,186</w:t>
            </w: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$8,436</w:t>
            </w:r>
          </w:p>
        </w:tc>
      </w:tr>
      <w:tr>
        <w:trPr>
          <w:trHeight w:val="21"/>
        </w:trPr>
        <w:tc>
          <w:tcPr>
            <w:tcW w:w="7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Twelve Months Ended</w:t>
      </w:r>
    </w:p>
    <w:p>
      <w:pPr>
        <w:jc w:val="center"/>
        <w:ind w:right="180"/>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10795</wp:posOffset>
            </wp:positionV>
            <wp:extent cx="1208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8"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4"/>
          <w:szCs w:val="14"/>
          <w:b w:val="1"/>
          <w:bCs w:val="1"/>
          <w:color w:val="auto"/>
        </w:rPr>
        <w:t>$10,534</w:t>
      </w:r>
      <w:r>
        <w:rPr>
          <w:sz w:val="20"/>
          <w:szCs w:val="20"/>
          <w:color w:val="auto"/>
        </w:rPr>
        <w:tab/>
      </w:r>
      <w:r>
        <w:rPr>
          <w:rFonts w:ascii="Arial" w:cs="Arial" w:eastAsia="Arial" w:hAnsi="Arial"/>
          <w:sz w:val="14"/>
          <w:szCs w:val="14"/>
          <w:color w:val="auto"/>
        </w:rPr>
        <w:t>$13,057</w:t>
      </w:r>
    </w:p>
    <w:p>
      <w:pPr>
        <w:spacing w:after="0" w:line="41" w:lineRule="exact"/>
        <w:rPr>
          <w:sz w:val="20"/>
          <w:szCs w:val="20"/>
          <w:color w:val="auto"/>
        </w:rPr>
      </w:pPr>
    </w:p>
    <w:p>
      <w:pPr>
        <w:ind w:left="1400" w:hanging="1019"/>
        <w:spacing w:after="0"/>
        <w:tabs>
          <w:tab w:leader="none" w:pos="140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266</w:t>
      </w:r>
    </w:p>
    <w:p>
      <w:pPr>
        <w:spacing w:after="0" w:line="28"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3,364</w:t>
      </w:r>
      <w:r>
        <w:rPr>
          <w:rFonts w:ascii="Arial" w:cs="Arial" w:eastAsia="Arial" w:hAnsi="Arial"/>
          <w:sz w:val="14"/>
          <w:szCs w:val="14"/>
          <w:color w:val="auto"/>
        </w:rPr>
        <w:t>3,673</w:t>
      </w:r>
    </w:p>
    <w:p>
      <w:pPr>
        <w:spacing w:after="0" w:line="28"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4,588</w:t>
      </w:r>
      <w:r>
        <w:rPr>
          <w:rFonts w:ascii="Arial" w:cs="Arial" w:eastAsia="Arial" w:hAnsi="Arial"/>
          <w:sz w:val="14"/>
          <w:szCs w:val="14"/>
          <w:color w:val="auto"/>
        </w:rPr>
        <w:t>4,567</w:t>
      </w:r>
    </w:p>
    <w:p>
      <w:pPr>
        <w:spacing w:after="0" w:line="28" w:lineRule="exact"/>
        <w:rPr>
          <w:sz w:val="20"/>
          <w:szCs w:val="20"/>
          <w:color w:val="auto"/>
        </w:rPr>
      </w:pPr>
    </w:p>
    <w:p>
      <w:pPr>
        <w:jc w:val="both"/>
        <w:ind w:left="200"/>
        <w:spacing w:after="0"/>
        <w:tabs>
          <w:tab w:leader="none" w:pos="1320" w:val="left"/>
        </w:tabs>
        <w:rPr>
          <w:sz w:val="20"/>
          <w:szCs w:val="20"/>
          <w:color w:val="auto"/>
        </w:rPr>
      </w:pPr>
      <w:r>
        <w:rPr>
          <w:rFonts w:ascii="Arial" w:cs="Arial" w:eastAsia="Arial" w:hAnsi="Arial"/>
          <w:sz w:val="14"/>
          <w:szCs w:val="14"/>
          <w:b w:val="1"/>
          <w:bCs w:val="1"/>
          <w:color w:val="auto"/>
        </w:rPr>
        <w:t>(1,160)</w:t>
      </w:r>
      <w:r>
        <w:rPr>
          <w:sz w:val="20"/>
          <w:szCs w:val="20"/>
          <w:color w:val="auto"/>
        </w:rPr>
        <w:tab/>
      </w:r>
      <w:r>
        <w:rPr>
          <w:rFonts w:ascii="Arial" w:cs="Arial" w:eastAsia="Arial" w:hAnsi="Arial"/>
          <w:sz w:val="14"/>
          <w:szCs w:val="14"/>
          <w:color w:val="auto"/>
        </w:rPr>
        <w:t>(438)</w:t>
      </w:r>
    </w:p>
    <w:p>
      <w:pPr>
        <w:spacing w:after="0" w:line="28" w:lineRule="exact"/>
        <w:rPr>
          <w:sz w:val="20"/>
          <w:szCs w:val="20"/>
          <w:color w:val="auto"/>
        </w:rPr>
      </w:pPr>
    </w:p>
    <w:p>
      <w:pPr>
        <w:ind w:left="180"/>
        <w:spacing w:after="0"/>
        <w:tabs>
          <w:tab w:leader="none" w:pos="1180" w:val="left"/>
        </w:tabs>
        <w:rPr>
          <w:sz w:val="20"/>
          <w:szCs w:val="20"/>
          <w:color w:val="auto"/>
        </w:rPr>
      </w:pPr>
      <w:r>
        <w:rPr>
          <w:rFonts w:ascii="Arial" w:cs="Arial" w:eastAsia="Arial" w:hAnsi="Arial"/>
          <w:sz w:val="14"/>
          <w:szCs w:val="14"/>
          <w:b w:val="1"/>
          <w:bCs w:val="1"/>
          <w:color w:val="auto"/>
        </w:rPr>
        <w:t>13,100</w:t>
      </w:r>
      <w:r>
        <w:rPr>
          <w:sz w:val="20"/>
          <w:szCs w:val="20"/>
          <w:color w:val="auto"/>
        </w:rPr>
        <w:tab/>
      </w:r>
      <w:r>
        <w:rPr>
          <w:rFonts w:ascii="Arial" w:cs="Arial" w:eastAsia="Arial" w:hAnsi="Arial"/>
          <w:sz w:val="14"/>
          <w:szCs w:val="14"/>
          <w:color w:val="auto"/>
        </w:rPr>
        <w:t>12,953</w:t>
      </w:r>
    </w:p>
    <w:p>
      <w:pPr>
        <w:spacing w:after="0" w:line="28" w:lineRule="exact"/>
        <w:rPr>
          <w:sz w:val="20"/>
          <w:szCs w:val="20"/>
          <w:color w:val="auto"/>
        </w:rPr>
      </w:pPr>
    </w:p>
    <w:p>
      <w:pPr>
        <w:ind w:left="1400" w:hanging="1019"/>
        <w:spacing w:after="0"/>
        <w:tabs>
          <w:tab w:leader="none" w:pos="140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180</w:t>
      </w:r>
    </w:p>
    <w:p>
      <w:pPr>
        <w:spacing w:after="0" w:line="28" w:lineRule="exact"/>
        <w:rPr>
          <w:rFonts w:ascii="Arial" w:cs="Arial" w:eastAsia="Arial" w:hAnsi="Arial"/>
          <w:sz w:val="14"/>
          <w:szCs w:val="14"/>
          <w:b w:val="1"/>
          <w:bCs w:val="1"/>
          <w:color w:val="auto"/>
        </w:rPr>
      </w:pPr>
    </w:p>
    <w:p>
      <w:pPr>
        <w:ind w:left="1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$30,826</w:t>
      </w:r>
      <w:r>
        <w:rPr>
          <w:rFonts w:ascii="Arial" w:cs="Arial" w:eastAsia="Arial" w:hAnsi="Arial"/>
          <w:sz w:val="14"/>
          <w:szCs w:val="14"/>
          <w:color w:val="auto"/>
        </w:rPr>
        <w:t>$34,258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19050</wp:posOffset>
            </wp:positionV>
            <wp:extent cx="1208405"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8405" cy="342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-109220</wp:posOffset>
            </wp:positionV>
            <wp:extent cx="12084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9100" w:space="420"/>
            <w:col w:w="1680"/>
          </w:cols>
          <w:pgMar w:left="340" w:top="983" w:right="359" w:bottom="1440" w:gutter="0" w:footer="0" w:header="0"/>
          <w:type w:val="continuous"/>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7115175" cy="1062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062990"/>
                    </a:xfrm>
                    <a:prstGeom prst="rect">
                      <a:avLst/>
                    </a:prstGeom>
                    <a:noFill/>
                  </pic:spPr>
                </pic:pic>
              </a:graphicData>
            </a:graphic>
          </wp:anchor>
        </w:drawing>
      </w:r>
    </w:p>
    <w:p>
      <w:pPr>
        <w:sectPr>
          <w:pgSz w:w="11900" w:h="16838" w:orient="portrait"/>
          <w:cols w:equalWidth="0" w:num="1">
            <w:col w:w="11200"/>
          </w:cols>
          <w:pgMar w:left="340" w:top="983" w:right="359" w:bottom="1440" w:gutter="0" w:footer="0" w:header="0"/>
          <w:type w:val="continuous"/>
        </w:sectPr>
      </w:pP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8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7200" w:type="dxa"/>
            <w:vAlign w:val="bottom"/>
          </w:tcPr>
          <w:p>
            <w:pPr>
              <w:spacing w:after="0"/>
              <w:rPr>
                <w:sz w:val="15"/>
                <w:szCs w:val="15"/>
                <w:color w:val="auto"/>
              </w:rPr>
            </w:pPr>
          </w:p>
        </w:tc>
        <w:tc>
          <w:tcPr>
            <w:tcW w:w="186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r>
      <w:tr>
        <w:trPr>
          <w:trHeight w:val="181"/>
        </w:trPr>
        <w:tc>
          <w:tcPr>
            <w:tcW w:w="72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$5,042</w:t>
            </w:r>
          </w:p>
        </w:tc>
        <w:tc>
          <w:tcPr>
            <w:tcW w:w="1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$6,235</w:t>
            </w:r>
          </w:p>
        </w:tc>
      </w:tr>
      <w:tr>
        <w:trPr>
          <w:trHeight w:val="189"/>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(2,835)</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(3,087)</w:t>
            </w:r>
          </w:p>
        </w:tc>
      </w:tr>
      <w:tr>
        <w:trPr>
          <w:trHeight w:val="189"/>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(684)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(789)</w:t>
            </w:r>
          </w:p>
        </w:tc>
      </w:tr>
      <w:tr>
        <w:trPr>
          <w:trHeight w:val="191"/>
        </w:trPr>
        <w:tc>
          <w:tcPr>
            <w:tcW w:w="7200" w:type="dxa"/>
            <w:vAlign w:val="bottom"/>
          </w:tcPr>
          <w:p>
            <w:pPr>
              <w:spacing w:after="0" w:line="19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177</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r>
      <w:tr>
        <w:trPr>
          <w:trHeight w:val="183"/>
        </w:trPr>
        <w:tc>
          <w:tcPr>
            <w:tcW w:w="720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$1,700</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$2,484</w:t>
            </w:r>
          </w:p>
        </w:tc>
      </w:tr>
      <w:tr>
        <w:trPr>
          <w:trHeight w:val="20"/>
        </w:trPr>
        <w:tc>
          <w:tcPr>
            <w:tcW w:w="7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Twelve Months Ended</w:t>
      </w:r>
    </w:p>
    <w:p>
      <w:pPr>
        <w:jc w:val="center"/>
        <w:ind w:right="200"/>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p>
      <w:pPr>
        <w:ind w:left="80"/>
        <w:spacing w:after="0"/>
        <w:tabs>
          <w:tab w:leader="none" w:pos="10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10795</wp:posOffset>
            </wp:positionV>
            <wp:extent cx="12172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8"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4"/>
          <w:szCs w:val="14"/>
          <w:b w:val="1"/>
          <w:bCs w:val="1"/>
          <w:color w:val="auto"/>
        </w:rPr>
        <w:t>$24,737</w:t>
      </w:r>
      <w:r>
        <w:rPr>
          <w:sz w:val="20"/>
          <w:szCs w:val="20"/>
          <w:color w:val="auto"/>
        </w:rPr>
        <w:tab/>
      </w:r>
      <w:r>
        <w:rPr>
          <w:rFonts w:ascii="Arial" w:cs="Arial" w:eastAsia="Arial" w:hAnsi="Arial"/>
          <w:sz w:val="14"/>
          <w:szCs w:val="14"/>
          <w:color w:val="auto"/>
        </w:rPr>
        <w:t>$25,697</w:t>
      </w:r>
    </w:p>
    <w:p>
      <w:pPr>
        <w:spacing w:after="0" w:line="41" w:lineRule="exact"/>
        <w:rPr>
          <w:sz w:val="20"/>
          <w:szCs w:val="20"/>
          <w:color w:val="auto"/>
        </w:rPr>
      </w:pPr>
    </w:p>
    <w:p>
      <w:pPr>
        <w:jc w:val="both"/>
        <w:ind w:left="200"/>
        <w:spacing w:after="0"/>
        <w:tabs>
          <w:tab w:leader="none" w:pos="1200" w:val="left"/>
        </w:tabs>
        <w:rPr>
          <w:sz w:val="20"/>
          <w:szCs w:val="20"/>
          <w:color w:val="auto"/>
        </w:rPr>
      </w:pPr>
      <w:r>
        <w:rPr>
          <w:rFonts w:ascii="Arial" w:cs="Arial" w:eastAsia="Arial" w:hAnsi="Arial"/>
          <w:sz w:val="14"/>
          <w:szCs w:val="14"/>
          <w:b w:val="1"/>
          <w:bCs w:val="1"/>
          <w:color w:val="auto"/>
        </w:rPr>
        <w:t>(9,179)</w:t>
      </w:r>
      <w:r>
        <w:rPr>
          <w:sz w:val="20"/>
          <w:szCs w:val="20"/>
          <w:color w:val="auto"/>
        </w:rPr>
        <w:tab/>
      </w:r>
      <w:r>
        <w:rPr>
          <w:rFonts w:ascii="Arial" w:cs="Arial" w:eastAsia="Arial" w:hAnsi="Arial"/>
          <w:sz w:val="14"/>
          <w:szCs w:val="14"/>
          <w:color w:val="auto"/>
        </w:rPr>
        <w:t>(9,953)</w:t>
      </w:r>
    </w:p>
    <w:p>
      <w:pPr>
        <w:spacing w:after="0" w:line="28" w:lineRule="exact"/>
        <w:rPr>
          <w:sz w:val="20"/>
          <w:szCs w:val="20"/>
          <w:color w:val="auto"/>
        </w:rPr>
      </w:pPr>
    </w:p>
    <w:p>
      <w:pPr>
        <w:jc w:val="both"/>
        <w:ind w:left="200"/>
        <w:spacing w:after="0"/>
        <w:tabs>
          <w:tab w:leader="none" w:pos="1200" w:val="left"/>
        </w:tabs>
        <w:rPr>
          <w:sz w:val="20"/>
          <w:szCs w:val="20"/>
          <w:color w:val="auto"/>
        </w:rPr>
      </w:pPr>
      <w:r>
        <w:rPr>
          <w:rFonts w:ascii="Arial" w:cs="Arial" w:eastAsia="Arial" w:hAnsi="Arial"/>
          <w:sz w:val="14"/>
          <w:szCs w:val="14"/>
          <w:b w:val="1"/>
          <w:bCs w:val="1"/>
          <w:color w:val="auto"/>
        </w:rPr>
        <w:t>(2,455)</w:t>
      </w:r>
      <w:r>
        <w:rPr>
          <w:sz w:val="20"/>
          <w:szCs w:val="20"/>
          <w:color w:val="auto"/>
        </w:rPr>
        <w:tab/>
      </w:r>
      <w:r>
        <w:rPr>
          <w:rFonts w:ascii="Arial" w:cs="Arial" w:eastAsia="Arial" w:hAnsi="Arial"/>
          <w:sz w:val="14"/>
          <w:szCs w:val="14"/>
          <w:color w:val="auto"/>
        </w:rPr>
        <w:t>(2,475)</w:t>
      </w:r>
    </w:p>
    <w:p>
      <w:pPr>
        <w:spacing w:after="0" w:line="28" w:lineRule="exact"/>
        <w:rPr>
          <w:sz w:val="20"/>
          <w:szCs w:val="20"/>
          <w:color w:val="auto"/>
        </w:rPr>
      </w:pPr>
    </w:p>
    <w:p>
      <w:pPr>
        <w:ind w:left="1400" w:hanging="1026"/>
        <w:spacing w:after="0"/>
        <w:tabs>
          <w:tab w:leader="none" w:pos="140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125</w:t>
      </w:r>
    </w:p>
    <w:p>
      <w:pPr>
        <w:spacing w:after="0" w:line="28" w:lineRule="exact"/>
        <w:rPr>
          <w:rFonts w:ascii="Arial" w:cs="Arial" w:eastAsia="Arial" w:hAnsi="Arial"/>
          <w:sz w:val="14"/>
          <w:szCs w:val="14"/>
          <w:b w:val="1"/>
          <w:bCs w:val="1"/>
          <w:color w:val="auto"/>
        </w:rPr>
      </w:pPr>
    </w:p>
    <w:p>
      <w:pPr>
        <w:ind w:left="1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$13,280</w:t>
      </w:r>
      <w:r>
        <w:rPr>
          <w:rFonts w:ascii="Arial" w:cs="Arial" w:eastAsia="Arial" w:hAnsi="Arial"/>
          <w:sz w:val="14"/>
          <w:szCs w:val="14"/>
          <w:color w:val="auto"/>
        </w:rPr>
        <w:t>$13,394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19050</wp:posOffset>
            </wp:positionV>
            <wp:extent cx="1217295"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1729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-109220</wp:posOffset>
            </wp:positionV>
            <wp:extent cx="12172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9080" w:space="420"/>
            <w:col w:w="1700"/>
          </w:cols>
          <w:pgMar w:left="340" w:top="983" w:right="35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7115175" cy="1628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628775"/>
                    </a:xfrm>
                    <a:prstGeom prst="rect">
                      <a:avLst/>
                    </a:prstGeom>
                    <a:noFill/>
                  </pic:spPr>
                </pic:pic>
              </a:graphicData>
            </a:graphic>
          </wp:anchor>
        </w:drawing>
      </w:r>
    </w:p>
    <w:p>
      <w:pPr>
        <w:sectPr>
          <w:pgSz w:w="11900" w:h="16838" w:orient="portrait"/>
          <w:cols w:equalWidth="0" w:num="1">
            <w:col w:w="11200"/>
          </w:cols>
          <w:pgMar w:left="340" w:top="983" w:right="359" w:bottom="1440" w:gutter="0" w:footer="0" w:header="0"/>
          <w:type w:val="continuous"/>
        </w:sectPr>
      </w:pP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8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7200" w:type="dxa"/>
            <w:vAlign w:val="bottom"/>
          </w:tcPr>
          <w:p>
            <w:pPr>
              <w:spacing w:after="0"/>
              <w:rPr>
                <w:sz w:val="15"/>
                <w:szCs w:val="15"/>
                <w:color w:val="auto"/>
              </w:rPr>
            </w:pPr>
          </w:p>
        </w:tc>
        <w:tc>
          <w:tcPr>
            <w:tcW w:w="186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r>
      <w:tr>
        <w:trPr>
          <w:trHeight w:val="181"/>
        </w:trPr>
        <w:tc>
          <w:tcPr>
            <w:tcW w:w="72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$7,186</w:t>
            </w:r>
          </w:p>
        </w:tc>
        <w:tc>
          <w:tcPr>
            <w:tcW w:w="1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$8,436</w:t>
            </w:r>
          </w:p>
        </w:tc>
      </w:tr>
      <w:tr>
        <w:trPr>
          <w:trHeight w:val="189"/>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(2,835)</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(3,087)</w:t>
            </w:r>
          </w:p>
        </w:tc>
      </w:tr>
      <w:tr>
        <w:trPr>
          <w:trHeight w:val="189"/>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(684)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(789)</w:t>
            </w:r>
          </w:p>
        </w:tc>
      </w:tr>
      <w:tr>
        <w:trPr>
          <w:trHeight w:val="189"/>
        </w:trPr>
        <w:tc>
          <w:tcPr>
            <w:tcW w:w="7200" w:type="dxa"/>
            <w:vAlign w:val="bottom"/>
          </w:tcPr>
          <w:p>
            <w:pPr>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(1,033)</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(1,087)</w:t>
            </w:r>
          </w:p>
        </w:tc>
      </w:tr>
      <w:tr>
        <w:trPr>
          <w:trHeight w:val="189"/>
        </w:trPr>
        <w:tc>
          <w:tcPr>
            <w:tcW w:w="7200" w:type="dxa"/>
            <w:vAlign w:val="bottom"/>
          </w:tcPr>
          <w:p>
            <w:pPr>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(885)</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(741)</w:t>
            </w:r>
          </w:p>
        </w:tc>
      </w:tr>
      <w:tr>
        <w:trPr>
          <w:trHeight w:val="189"/>
        </w:trPr>
        <w:tc>
          <w:tcPr>
            <w:tcW w:w="72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(539)</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(665)</w:t>
            </w:r>
          </w:p>
        </w:tc>
      </w:tr>
      <w:tr>
        <w:trPr>
          <w:trHeight w:val="189"/>
        </w:trPr>
        <w:tc>
          <w:tcPr>
            <w:tcW w:w="720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271</w:t>
            </w: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231</w:t>
            </w:r>
          </w:p>
        </w:tc>
      </w:tr>
      <w:tr>
        <w:trPr>
          <w:trHeight w:val="189"/>
        </w:trPr>
        <w:tc>
          <w:tcPr>
            <w:tcW w:w="7200" w:type="dxa"/>
            <w:vAlign w:val="bottom"/>
          </w:tcPr>
          <w:p>
            <w:pPr>
              <w:spacing w:after="0" w:line="189"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(3)</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61</w:t>
            </w:r>
          </w:p>
        </w:tc>
      </w:tr>
      <w:tr>
        <w:trPr>
          <w:trHeight w:val="191"/>
        </w:trPr>
        <w:tc>
          <w:tcPr>
            <w:tcW w:w="7200" w:type="dxa"/>
            <w:vAlign w:val="bottom"/>
          </w:tcPr>
          <w:p>
            <w:pPr>
              <w:spacing w:after="0" w:line="19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177</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r>
      <w:tr>
        <w:trPr>
          <w:trHeight w:val="183"/>
        </w:trPr>
        <w:tc>
          <w:tcPr>
            <w:tcW w:w="720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$1,700</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$2,484</w:t>
            </w:r>
          </w:p>
        </w:tc>
      </w:tr>
      <w:tr>
        <w:trPr>
          <w:trHeight w:val="20"/>
        </w:trPr>
        <w:tc>
          <w:tcPr>
            <w:tcW w:w="7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Twelve Months Ended</w:t>
      </w:r>
    </w:p>
    <w:p>
      <w:pPr>
        <w:jc w:val="center"/>
        <w:ind w:right="200"/>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p>
      <w:pPr>
        <w:ind w:left="80"/>
        <w:spacing w:after="0"/>
        <w:tabs>
          <w:tab w:leader="none" w:pos="10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10795</wp:posOffset>
            </wp:positionV>
            <wp:extent cx="12172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8"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4"/>
          <w:szCs w:val="14"/>
          <w:b w:val="1"/>
          <w:bCs w:val="1"/>
          <w:color w:val="auto"/>
        </w:rPr>
        <w:t>$30,826</w:t>
      </w:r>
      <w:r>
        <w:rPr>
          <w:sz w:val="20"/>
          <w:szCs w:val="20"/>
          <w:color w:val="auto"/>
        </w:rPr>
        <w:tab/>
      </w:r>
      <w:r>
        <w:rPr>
          <w:rFonts w:ascii="Arial" w:cs="Arial" w:eastAsia="Arial" w:hAnsi="Arial"/>
          <w:sz w:val="14"/>
          <w:szCs w:val="14"/>
          <w:color w:val="auto"/>
        </w:rPr>
        <w:t>$34,258</w:t>
      </w:r>
    </w:p>
    <w:p>
      <w:pPr>
        <w:spacing w:after="0" w:line="41" w:lineRule="exact"/>
        <w:rPr>
          <w:sz w:val="20"/>
          <w:szCs w:val="20"/>
          <w:color w:val="auto"/>
        </w:rPr>
      </w:pPr>
    </w:p>
    <w:p>
      <w:pPr>
        <w:jc w:val="both"/>
        <w:ind w:left="200"/>
        <w:spacing w:after="0"/>
        <w:tabs>
          <w:tab w:leader="none" w:pos="1200" w:val="left"/>
        </w:tabs>
        <w:rPr>
          <w:sz w:val="20"/>
          <w:szCs w:val="20"/>
          <w:color w:val="auto"/>
        </w:rPr>
      </w:pPr>
      <w:r>
        <w:rPr>
          <w:rFonts w:ascii="Arial" w:cs="Arial" w:eastAsia="Arial" w:hAnsi="Arial"/>
          <w:sz w:val="14"/>
          <w:szCs w:val="14"/>
          <w:b w:val="1"/>
          <w:bCs w:val="1"/>
          <w:color w:val="auto"/>
        </w:rPr>
        <w:t>(9,179)</w:t>
      </w:r>
      <w:r>
        <w:rPr>
          <w:sz w:val="20"/>
          <w:szCs w:val="20"/>
          <w:color w:val="auto"/>
        </w:rPr>
        <w:tab/>
      </w:r>
      <w:r>
        <w:rPr>
          <w:rFonts w:ascii="Arial" w:cs="Arial" w:eastAsia="Arial" w:hAnsi="Arial"/>
          <w:sz w:val="14"/>
          <w:szCs w:val="14"/>
          <w:color w:val="auto"/>
        </w:rPr>
        <w:t>(9,953)</w:t>
      </w:r>
    </w:p>
    <w:p>
      <w:pPr>
        <w:spacing w:after="0" w:line="28" w:lineRule="exact"/>
        <w:rPr>
          <w:sz w:val="20"/>
          <w:szCs w:val="20"/>
          <w:color w:val="auto"/>
        </w:rPr>
      </w:pPr>
    </w:p>
    <w:p>
      <w:pPr>
        <w:jc w:val="both"/>
        <w:ind w:left="200"/>
        <w:spacing w:after="0"/>
        <w:tabs>
          <w:tab w:leader="none" w:pos="1200" w:val="left"/>
        </w:tabs>
        <w:rPr>
          <w:sz w:val="20"/>
          <w:szCs w:val="20"/>
          <w:color w:val="auto"/>
        </w:rPr>
      </w:pPr>
      <w:r>
        <w:rPr>
          <w:rFonts w:ascii="Arial" w:cs="Arial" w:eastAsia="Arial" w:hAnsi="Arial"/>
          <w:sz w:val="14"/>
          <w:szCs w:val="14"/>
          <w:b w:val="1"/>
          <w:bCs w:val="1"/>
          <w:color w:val="auto"/>
        </w:rPr>
        <w:t>(2,455)</w:t>
      </w:r>
      <w:r>
        <w:rPr>
          <w:sz w:val="20"/>
          <w:szCs w:val="20"/>
          <w:color w:val="auto"/>
        </w:rPr>
        <w:tab/>
      </w:r>
      <w:r>
        <w:rPr>
          <w:rFonts w:ascii="Arial" w:cs="Arial" w:eastAsia="Arial" w:hAnsi="Arial"/>
          <w:sz w:val="14"/>
          <w:szCs w:val="14"/>
          <w:color w:val="auto"/>
        </w:rPr>
        <w:t>(2,475)</w:t>
      </w:r>
    </w:p>
    <w:p>
      <w:pPr>
        <w:spacing w:after="0" w:line="28" w:lineRule="exact"/>
        <w:rPr>
          <w:sz w:val="20"/>
          <w:szCs w:val="20"/>
          <w:color w:val="auto"/>
        </w:rPr>
      </w:pPr>
    </w:p>
    <w:p>
      <w:pPr>
        <w:jc w:val="both"/>
        <w:ind w:left="200"/>
        <w:spacing w:after="0"/>
        <w:tabs>
          <w:tab w:leader="none" w:pos="1200" w:val="left"/>
        </w:tabs>
        <w:rPr>
          <w:sz w:val="20"/>
          <w:szCs w:val="20"/>
          <w:color w:val="auto"/>
        </w:rPr>
      </w:pPr>
      <w:r>
        <w:rPr>
          <w:rFonts w:ascii="Arial" w:cs="Arial" w:eastAsia="Arial" w:hAnsi="Arial"/>
          <w:sz w:val="14"/>
          <w:szCs w:val="14"/>
          <w:b w:val="1"/>
          <w:bCs w:val="1"/>
          <w:color w:val="auto"/>
        </w:rPr>
        <w:t>(3,878)</w:t>
      </w:r>
      <w:r>
        <w:rPr>
          <w:sz w:val="20"/>
          <w:szCs w:val="20"/>
          <w:color w:val="auto"/>
        </w:rPr>
        <w:tab/>
      </w:r>
      <w:r>
        <w:rPr>
          <w:rFonts w:ascii="Arial" w:cs="Arial" w:eastAsia="Arial" w:hAnsi="Arial"/>
          <w:sz w:val="14"/>
          <w:szCs w:val="14"/>
          <w:color w:val="auto"/>
        </w:rPr>
        <w:t>(4,254)</w:t>
      </w:r>
    </w:p>
    <w:p>
      <w:pPr>
        <w:spacing w:after="0" w:line="28" w:lineRule="exact"/>
        <w:rPr>
          <w:sz w:val="20"/>
          <w:szCs w:val="20"/>
          <w:color w:val="auto"/>
        </w:rPr>
      </w:pPr>
    </w:p>
    <w:p>
      <w:pPr>
        <w:jc w:val="both"/>
        <w:ind w:left="200"/>
        <w:spacing w:after="0"/>
        <w:tabs>
          <w:tab w:leader="none" w:pos="1200" w:val="left"/>
        </w:tabs>
        <w:rPr>
          <w:sz w:val="20"/>
          <w:szCs w:val="20"/>
          <w:color w:val="auto"/>
        </w:rPr>
      </w:pPr>
      <w:r>
        <w:rPr>
          <w:rFonts w:ascii="Arial" w:cs="Arial" w:eastAsia="Arial" w:hAnsi="Arial"/>
          <w:sz w:val="14"/>
          <w:szCs w:val="14"/>
          <w:b w:val="1"/>
          <w:bCs w:val="1"/>
          <w:color w:val="auto"/>
        </w:rPr>
        <w:t>(3,183)</w:t>
      </w:r>
      <w:r>
        <w:rPr>
          <w:sz w:val="20"/>
          <w:szCs w:val="20"/>
          <w:color w:val="auto"/>
        </w:rPr>
        <w:tab/>
      </w:r>
      <w:r>
        <w:rPr>
          <w:rFonts w:ascii="Arial" w:cs="Arial" w:eastAsia="Arial" w:hAnsi="Arial"/>
          <w:sz w:val="14"/>
          <w:szCs w:val="14"/>
          <w:color w:val="auto"/>
        </w:rPr>
        <w:t>(3,231)</w:t>
      </w:r>
    </w:p>
    <w:p>
      <w:pPr>
        <w:spacing w:after="0" w:line="28" w:lineRule="exact"/>
        <w:rPr>
          <w:sz w:val="20"/>
          <w:szCs w:val="20"/>
          <w:color w:val="auto"/>
        </w:rPr>
      </w:pPr>
    </w:p>
    <w:p>
      <w:pPr>
        <w:ind w:left="1220" w:hanging="902"/>
        <w:spacing w:after="0"/>
        <w:tabs>
          <w:tab w:leader="none" w:pos="122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(2,335)</w:t>
      </w:r>
    </w:p>
    <w:p>
      <w:pPr>
        <w:spacing w:after="0" w:line="28" w:lineRule="exact"/>
        <w:rPr>
          <w:sz w:val="20"/>
          <w:szCs w:val="20"/>
          <w:color w:val="auto"/>
        </w:rPr>
      </w:pPr>
    </w:p>
    <w:p>
      <w:pPr>
        <w:ind w:left="260"/>
        <w:spacing w:after="0"/>
        <w:tabs>
          <w:tab w:leader="none" w:pos="1260" w:val="left"/>
        </w:tabs>
        <w:rPr>
          <w:sz w:val="20"/>
          <w:szCs w:val="20"/>
          <w:color w:val="auto"/>
        </w:rPr>
      </w:pPr>
      <w:r>
        <w:rPr>
          <w:rFonts w:ascii="Arial" w:cs="Arial" w:eastAsia="Arial" w:hAnsi="Arial"/>
          <w:sz w:val="14"/>
          <w:szCs w:val="14"/>
          <w:b w:val="1"/>
          <w:bCs w:val="1"/>
          <w:color w:val="auto"/>
        </w:rPr>
        <w:t>1,193</w:t>
      </w:r>
      <w:r>
        <w:rPr>
          <w:sz w:val="20"/>
          <w:szCs w:val="20"/>
          <w:color w:val="auto"/>
        </w:rPr>
        <w:tab/>
      </w:r>
      <w:r>
        <w:rPr>
          <w:rFonts w:ascii="Arial" w:cs="Arial" w:eastAsia="Arial" w:hAnsi="Arial"/>
          <w:sz w:val="14"/>
          <w:szCs w:val="14"/>
          <w:color w:val="auto"/>
        </w:rPr>
        <w:t>1,021</w:t>
      </w:r>
    </w:p>
    <w:p>
      <w:pPr>
        <w:spacing w:after="0" w:line="28" w:lineRule="exact"/>
        <w:rPr>
          <w:sz w:val="20"/>
          <w:szCs w:val="20"/>
          <w:color w:val="auto"/>
        </w:rPr>
      </w:pPr>
    </w:p>
    <w:p>
      <w:pPr>
        <w:ind w:left="1400" w:hanging="1002"/>
        <w:spacing w:after="0"/>
        <w:tabs>
          <w:tab w:leader="none" w:pos="140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238</w:t>
      </w:r>
    </w:p>
    <w:p>
      <w:pPr>
        <w:spacing w:after="0" w:line="28"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177</w:t>
      </w: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10795</wp:posOffset>
            </wp:positionV>
            <wp:extent cx="12172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8"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4"/>
          <w:szCs w:val="14"/>
          <w:b w:val="1"/>
          <w:bCs w:val="1"/>
          <w:color w:val="auto"/>
        </w:rPr>
        <w:t>$13,280</w:t>
      </w:r>
      <w:r>
        <w:rPr>
          <w:sz w:val="20"/>
          <w:szCs w:val="20"/>
          <w:color w:val="auto"/>
        </w:rPr>
        <w:tab/>
      </w:r>
      <w:r>
        <w:rPr>
          <w:rFonts w:ascii="Arial" w:cs="Arial" w:eastAsia="Arial" w:hAnsi="Arial"/>
          <w:sz w:val="14"/>
          <w:szCs w:val="14"/>
          <w:color w:val="auto"/>
        </w:rPr>
        <w:t>$13,394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19050</wp:posOffset>
            </wp:positionV>
            <wp:extent cx="121729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17295" cy="3429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9080" w:space="420"/>
            <w:col w:w="1700"/>
          </w:cols>
          <w:pgMar w:left="340" w:top="983" w:right="359" w:bottom="1440" w:gutter="0" w:footer="0" w:header="0"/>
          <w:type w:val="continuous"/>
        </w:sectPr>
      </w:pPr>
    </w:p>
    <w:p>
      <w:pPr>
        <w:jc w:val="both"/>
        <w:ind w:left="340" w:right="20" w:hanging="321"/>
        <w:spacing w:after="0" w:line="196"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4th quarter and year to date 2020 Adjusted EBITDA exclude $16 million and $56 million of other operating and administrative expense, respectively, related to the Sky transaction, primarily relating to the replacement of share-based compensation awards and costs related to integration activities. Year to date 2020 Adjusted EBITDA also excludes $177 million of other operating and administrative expense related to a legal settlement. 4th quarter and year to date 2019 Adjusted EBITDA exclude $12 million and $180 million of other operating and administrative expense, respectively, related to the Sky transaction, primarily relating to the replacement of share-based compensation awards and costs related to integration activities.</w:t>
      </w:r>
    </w:p>
    <w:p>
      <w:pPr>
        <w:spacing w:after="0" w:line="50" w:lineRule="exact"/>
        <w:rPr>
          <w:rFonts w:ascii="Arial" w:cs="Arial" w:eastAsia="Arial" w:hAnsi="Arial"/>
          <w:sz w:val="22"/>
          <w:szCs w:val="22"/>
          <w:color w:val="auto"/>
          <w:vertAlign w:val="superscript"/>
        </w:rPr>
      </w:pPr>
    </w:p>
    <w:p>
      <w:pPr>
        <w:ind w:left="340" w:right="20" w:hanging="321"/>
        <w:spacing w:after="0" w:line="190"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4th quarter and year to date 2020 adjustments for this presentation include a $177 million payment related to a legal settlement. 4th quarter and year to date 2019 adjustments for this presentation include a $125 million payment related to a legal settlement.</w:t>
      </w:r>
    </w:p>
    <w:p>
      <w:pPr>
        <w:spacing w:after="0" w:line="50" w:lineRule="exact"/>
        <w:rPr>
          <w:rFonts w:ascii="Arial" w:cs="Arial" w:eastAsia="Arial" w:hAnsi="Arial"/>
          <w:sz w:val="22"/>
          <w:szCs w:val="22"/>
          <w:color w:val="auto"/>
          <w:vertAlign w:val="superscript"/>
        </w:rPr>
      </w:pPr>
    </w:p>
    <w:p>
      <w:pPr>
        <w:jc w:val="both"/>
        <w:ind w:left="340" w:right="20" w:hanging="321"/>
        <w:spacing w:after="0" w:line="195"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4th quarter and year to date 2020 include decreases of $16 million and $56 million of costs related to the Sky transaction, respectively, as these amounts are excluded from Adjusted EBITDA. Year to date 2020 also includes a decrease of $177 million related to a legal settlement, as this amount is excluded from Adjusted EBITDA. 4th quarter and year to date 2019 include decreases of $12 million and $180 million of costs related to the Sky transaction, respectively, as these amounts are excluded from Adjusted EBITDA.</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00"/>
          </w:cols>
          <w:pgMar w:left="340" w:top="983" w:right="35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5994400</wp:posOffset>
            </wp:positionH>
            <wp:positionV relativeFrom="page">
              <wp:posOffset>586105</wp:posOffset>
            </wp:positionV>
            <wp:extent cx="1080135" cy="462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2" w:right="339" w:bottom="1440" w:gutter="0" w:footer="0" w:header="0"/>
        </w:sectPr>
      </w:pP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94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98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11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980" w:type="dxa"/>
            <w:vAlign w:val="bottom"/>
            <w:vMerge w:val="continue"/>
          </w:tcPr>
          <w:p>
            <w:pPr>
              <w:spacing w:after="0"/>
              <w:rPr>
                <w:sz w:val="15"/>
                <w:szCs w:val="15"/>
                <w:color w:val="auto"/>
              </w:rPr>
            </w:pPr>
          </w:p>
        </w:tc>
        <w:tc>
          <w:tcPr>
            <w:tcW w:w="118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72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w:t>
            </w:r>
          </w:p>
        </w:tc>
        <w:tc>
          <w:tcPr>
            <w:tcW w:w="1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line="135" w:lineRule="exact"/>
              <w:rPr>
                <w:sz w:val="20"/>
                <w:szCs w:val="20"/>
                <w:color w:val="auto"/>
              </w:rPr>
            </w:pPr>
            <w:r>
              <w:rPr>
                <w:rFonts w:ascii="Arial" w:cs="Arial" w:eastAsia="Arial" w:hAnsi="Arial"/>
                <w:sz w:val="14"/>
                <w:szCs w:val="14"/>
                <w:b w:val="1"/>
                <w:bCs w:val="1"/>
                <w:color w:val="auto"/>
              </w:rPr>
              <w:t>diluted earnings per share attributable to Comcast</w:t>
            </w: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$3,380</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$0.73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color w:val="auto"/>
                <w:w w:val="97"/>
              </w:rPr>
              <w:t>$3,162</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78"/>
        </w:trPr>
        <w:tc>
          <w:tcPr>
            <w:tcW w:w="3980" w:type="dxa"/>
            <w:vAlign w:val="bottom"/>
          </w:tcPr>
          <w:p>
            <w:pPr>
              <w:spacing w:after="0"/>
              <w:rPr>
                <w:sz w:val="20"/>
                <w:szCs w:val="20"/>
                <w:color w:val="auto"/>
              </w:rPr>
            </w:pPr>
            <w:r>
              <w:rPr>
                <w:rFonts w:ascii="Arial" w:cs="Arial" w:eastAsia="Arial" w:hAnsi="Arial"/>
                <w:sz w:val="14"/>
                <w:szCs w:val="14"/>
                <w:b w:val="1"/>
                <w:bCs w:val="1"/>
                <w:color w:val="auto"/>
              </w:rPr>
              <w:t>Corporation shareholders</w:t>
            </w:r>
          </w:p>
        </w:tc>
        <w:tc>
          <w:tcPr>
            <w:tcW w:w="11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80" w:type="dxa"/>
            <w:vAlign w:val="bottom"/>
          </w:tcPr>
          <w:p>
            <w:pPr>
              <w:jc w:val="right"/>
              <w:ind w:right="308"/>
              <w:spacing w:after="0"/>
              <w:rPr>
                <w:sz w:val="20"/>
                <w:szCs w:val="20"/>
                <w:color w:val="auto"/>
              </w:rPr>
            </w:pPr>
            <w:r>
              <w:rPr>
                <w:rFonts w:ascii="Arial" w:cs="Arial" w:eastAsia="Arial" w:hAnsi="Arial"/>
                <w:sz w:val="14"/>
                <w:szCs w:val="14"/>
                <w:i w:val="1"/>
                <w:iCs w:val="1"/>
                <w:color w:val="auto"/>
              </w:rPr>
              <w:t>6.9 %</w:t>
            </w:r>
          </w:p>
        </w:tc>
        <w:tc>
          <w:tcPr>
            <w:tcW w:w="680" w:type="dxa"/>
            <w:vAlign w:val="bottom"/>
          </w:tcPr>
          <w:p>
            <w:pPr>
              <w:jc w:val="right"/>
              <w:ind w:right="8"/>
              <w:spacing w:after="0"/>
              <w:rPr>
                <w:sz w:val="20"/>
                <w:szCs w:val="20"/>
                <w:color w:val="auto"/>
              </w:rPr>
            </w:pPr>
            <w:r>
              <w:rPr>
                <w:rFonts w:ascii="Arial" w:cs="Arial" w:eastAsia="Arial" w:hAnsi="Arial"/>
                <w:sz w:val="14"/>
                <w:szCs w:val="14"/>
                <w:i w:val="1"/>
                <w:iCs w:val="1"/>
                <w:color w:val="auto"/>
              </w:rPr>
              <w:t>7.4 %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8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471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401</w:t>
            </w:r>
          </w:p>
        </w:tc>
        <w:tc>
          <w:tcPr>
            <w:tcW w:w="54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(1,155)</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90</w:t>
            </w:r>
          </w:p>
        </w:tc>
        <w:tc>
          <w:tcPr>
            <w:tcW w:w="54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94"/>
        </w:trPr>
        <w:tc>
          <w:tcPr>
            <w:tcW w:w="398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-96520</wp:posOffset>
            </wp:positionV>
            <wp:extent cx="8255" cy="2297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22974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60" w:type="dxa"/>
            <w:vAlign w:val="bottom"/>
            <w:tcBorders>
              <w:bottom w:val="single" w:sz="8" w:color="auto"/>
            </w:tcBorders>
          </w:tcPr>
          <w:p>
            <w:pPr>
              <w:spacing w:after="0"/>
              <w:rPr>
                <w:sz w:val="15"/>
                <w:szCs w:val="15"/>
                <w:color w:val="auto"/>
              </w:rPr>
            </w:pPr>
          </w:p>
        </w:tc>
      </w:tr>
      <w:tr>
        <w:trPr>
          <w:trHeight w:val="358"/>
        </w:trPr>
        <w:tc>
          <w:tcPr>
            <w:tcW w:w="120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EPS</w:t>
            </w:r>
          </w:p>
        </w:tc>
        <w:tc>
          <w:tcPr>
            <w:tcW w:w="100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560" w:type="dxa"/>
            <w:vAlign w:val="bottom"/>
          </w:tcPr>
          <w:p>
            <w:pPr>
              <w:ind w:left="60"/>
              <w:spacing w:after="0"/>
              <w:rPr>
                <w:sz w:val="20"/>
                <w:szCs w:val="20"/>
                <w:color w:val="auto"/>
              </w:rPr>
            </w:pPr>
            <w:r>
              <w:rPr>
                <w:rFonts w:ascii="Arial" w:cs="Arial" w:eastAsia="Arial" w:hAnsi="Arial"/>
                <w:sz w:val="14"/>
                <w:szCs w:val="14"/>
                <w:color w:val="auto"/>
              </w:rPr>
              <w:t>EPS</w:t>
            </w:r>
          </w:p>
        </w:tc>
      </w:tr>
      <w:tr>
        <w:trPr>
          <w:trHeight w:val="495"/>
        </w:trPr>
        <w:tc>
          <w:tcPr>
            <w:tcW w:w="12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$10,534</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$2.28</w:t>
            </w:r>
          </w:p>
        </w:tc>
        <w:tc>
          <w:tcPr>
            <w:tcW w:w="100" w:type="dxa"/>
            <w:vAlign w:val="bottom"/>
          </w:tcPr>
          <w:p>
            <w:pPr>
              <w:spacing w:after="0"/>
              <w:rPr>
                <w:sz w:val="24"/>
                <w:szCs w:val="24"/>
                <w:color w:val="auto"/>
              </w:rPr>
            </w:pPr>
          </w:p>
        </w:tc>
        <w:tc>
          <w:tcPr>
            <w:tcW w:w="10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$13,057</w:t>
            </w:r>
          </w:p>
        </w:tc>
        <w:tc>
          <w:tcPr>
            <w:tcW w:w="560" w:type="dxa"/>
            <w:vAlign w:val="bottom"/>
            <w:tcBorders>
              <w:top w:val="single" w:sz="8" w:color="auto"/>
            </w:tcBorders>
          </w:tcPr>
          <w:p>
            <w:pPr>
              <w:jc w:val="center"/>
              <w:ind w:left="88"/>
              <w:spacing w:after="0"/>
              <w:rPr>
                <w:sz w:val="20"/>
                <w:szCs w:val="20"/>
                <w:color w:val="auto"/>
              </w:rPr>
            </w:pPr>
            <w:r>
              <w:rPr>
                <w:rFonts w:ascii="Arial" w:cs="Arial" w:eastAsia="Arial" w:hAnsi="Arial"/>
                <w:sz w:val="14"/>
                <w:szCs w:val="14"/>
                <w:color w:val="auto"/>
              </w:rPr>
              <w:t>$2.83</w:t>
            </w:r>
          </w:p>
        </w:tc>
      </w:tr>
      <w:tr>
        <w:trPr>
          <w:trHeight w:val="192"/>
        </w:trPr>
        <w:tc>
          <w:tcPr>
            <w:tcW w:w="1200" w:type="dxa"/>
            <w:vAlign w:val="bottom"/>
          </w:tcPr>
          <w:p>
            <w:pPr>
              <w:jc w:val="right"/>
              <w:ind w:right="268"/>
              <w:spacing w:after="0"/>
              <w:rPr>
                <w:sz w:val="20"/>
                <w:szCs w:val="20"/>
                <w:color w:val="auto"/>
              </w:rPr>
            </w:pPr>
            <w:r>
              <w:rPr>
                <w:rFonts w:ascii="Arial" w:cs="Arial" w:eastAsia="Arial" w:hAnsi="Arial"/>
                <w:sz w:val="14"/>
                <w:szCs w:val="14"/>
                <w:i w:val="1"/>
                <w:iCs w:val="1"/>
                <w:color w:val="auto"/>
              </w:rPr>
              <w:t>(19.3 %)</w:t>
            </w: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(19.4 %)</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6"/>
        </w:trPr>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1,836</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0.40</w:t>
            </w:r>
          </w:p>
        </w:tc>
        <w:tc>
          <w:tcPr>
            <w:tcW w:w="100" w:type="dxa"/>
            <w:vAlign w:val="bottom"/>
          </w:tcPr>
          <w:p>
            <w:pPr>
              <w:spacing w:after="0"/>
              <w:rPr>
                <w:sz w:val="20"/>
                <w:szCs w:val="20"/>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1,581</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0.35</w:t>
            </w:r>
          </w:p>
        </w:tc>
      </w:tr>
      <w:tr>
        <w:trPr>
          <w:trHeight w:val="202"/>
        </w:trPr>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(821)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(0.18)</w:t>
            </w:r>
          </w:p>
        </w:tc>
        <w:tc>
          <w:tcPr>
            <w:tcW w:w="100" w:type="dxa"/>
            <w:vAlign w:val="bottom"/>
          </w:tcPr>
          <w:p>
            <w:pPr>
              <w:spacing w:after="0"/>
              <w:rPr>
                <w:sz w:val="17"/>
                <w:szCs w:val="17"/>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(227)</w:t>
            </w:r>
          </w:p>
        </w:tc>
        <w:tc>
          <w:tcPr>
            <w:tcW w:w="560" w:type="dxa"/>
            <w:vAlign w:val="bottom"/>
          </w:tcPr>
          <w:p>
            <w:pPr>
              <w:jc w:val="center"/>
              <w:ind w:left="68"/>
              <w:spacing w:after="0"/>
              <w:rPr>
                <w:sz w:val="20"/>
                <w:szCs w:val="20"/>
                <w:color w:val="auto"/>
              </w:rPr>
            </w:pPr>
            <w:r>
              <w:rPr>
                <w:rFonts w:ascii="Arial" w:cs="Arial" w:eastAsia="Arial" w:hAnsi="Arial"/>
                <w:sz w:val="14"/>
                <w:szCs w:val="14"/>
                <w:color w:val="auto"/>
              </w:rPr>
              <w:t>(0.05)</w:t>
            </w:r>
          </w:p>
        </w:tc>
      </w:tr>
    </w:tbl>
    <w:p>
      <w:pPr>
        <w:spacing w:after="0" w:line="184" w:lineRule="exact"/>
        <w:rPr>
          <w:sz w:val="20"/>
          <w:szCs w:val="20"/>
          <w:color w:val="auto"/>
        </w:rPr>
      </w:pPr>
    </w:p>
    <w:p>
      <w:pPr>
        <w:sectPr>
          <w:pgSz w:w="11900" w:h="16838" w:orient="portrait"/>
          <w:cols w:equalWidth="0" w:num="2">
            <w:col w:w="7480" w:space="220"/>
            <w:col w:w="3540"/>
          </w:cols>
          <w:pgMar w:left="320" w:top="942" w:right="339" w:bottom="1440" w:gutter="0" w:footer="0" w:header="0"/>
          <w:type w:val="continuous"/>
        </w:sectPr>
      </w:pPr>
    </w:p>
    <w:tbl>
      <w:tblPr>
        <w:tblLayout w:type="fixed"/>
        <w:tblInd w:w="20" w:type="dxa"/>
        <w:tblCellMar>
          <w:top w:w="0" w:type="dxa"/>
          <w:left w:w="0" w:type="dxa"/>
          <w:bottom w:w="0" w:type="dxa"/>
          <w:right w:w="0" w:type="dxa"/>
        </w:tblCellMar>
      </w:tblPr>
      <w:tr>
        <w:trPr>
          <w:trHeight w:val="181"/>
        </w:trPr>
        <w:tc>
          <w:tcPr>
            <w:tcW w:w="3980" w:type="dxa"/>
            <w:vAlign w:val="bottom"/>
          </w:tcPr>
          <w:p>
            <w:pPr>
              <w:ind w:left="120"/>
              <w:spacing w:after="0" w:line="182" w:lineRule="exact"/>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18"/>
                <w:szCs w:val="18"/>
                <w:color w:val="auto"/>
                <w:vertAlign w:val="superscript"/>
              </w:rPr>
              <w:t>(3)</w:t>
            </w: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18"/>
                <w:szCs w:val="18"/>
                <w:color w:val="auto"/>
                <w:vertAlign w:val="superscript"/>
              </w:rPr>
              <w:t>(4)</w:t>
            </w: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Legal settlement </w:t>
            </w:r>
            <w:r>
              <w:rPr>
                <w:rFonts w:ascii="Arial" w:cs="Arial" w:eastAsia="Arial" w:hAnsi="Arial"/>
                <w:sz w:val="18"/>
                <w:szCs w:val="18"/>
                <w:color w:val="auto"/>
                <w:vertAlign w:val="superscript"/>
              </w:rPr>
              <w:t>(5)</w:t>
            </w: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18"/>
                <w:szCs w:val="18"/>
                <w:color w:val="auto"/>
                <w:vertAlign w:val="superscript"/>
              </w:rPr>
              <w:t>(6)</w:t>
            </w: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(92)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0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18"/>
                <w:szCs w:val="18"/>
                <w:color w:val="auto"/>
                <w:vertAlign w:val="superscript"/>
              </w:rPr>
              <w:t>(7)</w:t>
            </w: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13</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10</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980" w:type="dxa"/>
            <w:vAlign w:val="bottom"/>
          </w:tcPr>
          <w:p>
            <w:pPr>
              <w:ind w:left="120"/>
              <w:spacing w:after="0" w:line="191" w:lineRule="exact"/>
              <w:rPr>
                <w:sz w:val="20"/>
                <w:szCs w:val="20"/>
                <w:color w:val="auto"/>
              </w:rPr>
            </w:pPr>
            <w:r>
              <w:rPr>
                <w:rFonts w:ascii="Arial" w:cs="Arial" w:eastAsia="Arial" w:hAnsi="Arial"/>
                <w:sz w:val="14"/>
                <w:szCs w:val="14"/>
                <w:color w:val="auto"/>
              </w:rPr>
              <w:t xml:space="preserve">Purchase accounting adjustments </w:t>
            </w:r>
            <w:r>
              <w:rPr>
                <w:rFonts w:ascii="Arial" w:cs="Arial" w:eastAsia="Arial" w:hAnsi="Arial"/>
                <w:sz w:val="18"/>
                <w:szCs w:val="18"/>
                <w:color w:val="auto"/>
                <w:vertAlign w:val="superscript"/>
              </w:rPr>
              <w:t>(8)</w:t>
            </w: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$2,617</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$0.56</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$3,663</w:t>
            </w:r>
          </w:p>
        </w:tc>
        <w:tc>
          <w:tcPr>
            <w:tcW w:w="6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4"/>
                <w:szCs w:val="14"/>
                <w:i w:val="1"/>
                <w:iCs w:val="1"/>
                <w:color w:val="auto"/>
              </w:rPr>
              <w:t>Change</w:t>
            </w: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980" w:type="dxa"/>
            <w:vAlign w:val="bottom"/>
            <w:vMerge w:val="continue"/>
          </w:tcPr>
          <w:p>
            <w:pPr>
              <w:spacing w:after="0"/>
              <w:rPr>
                <w:sz w:val="16"/>
                <w:szCs w:val="16"/>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i w:val="1"/>
                <w:iCs w:val="1"/>
                <w:color w:val="auto"/>
              </w:rPr>
              <w:t>(28.5 %)</w:t>
            </w: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(29.1 %)</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00" w:type="dxa"/>
        <w:tblCellMar>
          <w:top w:w="0" w:type="dxa"/>
          <w:left w:w="0" w:type="dxa"/>
          <w:bottom w:w="0" w:type="dxa"/>
          <w:right w:w="0" w:type="dxa"/>
        </w:tblCellMar>
      </w:tblPr>
      <w:tr>
        <w:trPr>
          <w:trHeight w:val="182"/>
        </w:trPr>
        <w:tc>
          <w:tcPr>
            <w:tcW w:w="600" w:type="dxa"/>
            <w:vAlign w:val="bottom"/>
          </w:tcPr>
          <w:p>
            <w:pPr>
              <w:jc w:val="right"/>
              <w:ind w:right="288"/>
              <w:spacing w:after="0"/>
              <w:rPr>
                <w:sz w:val="20"/>
                <w:szCs w:val="20"/>
                <w:color w:val="auto"/>
              </w:rPr>
            </w:pPr>
            <w:r>
              <w:rPr>
                <w:rFonts w:ascii="Arial" w:cs="Arial" w:eastAsia="Arial" w:hAnsi="Arial"/>
                <w:sz w:val="14"/>
                <w:szCs w:val="14"/>
                <w:b w:val="1"/>
                <w:bCs w:val="1"/>
                <w:color w:val="auto"/>
                <w:w w:val="94"/>
              </w:rPr>
              <w:t>272</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0.06</w:t>
            </w:r>
          </w:p>
        </w:tc>
      </w:tr>
      <w:tr>
        <w:trPr>
          <w:trHeight w:val="189"/>
        </w:trPr>
        <w:tc>
          <w:tcPr>
            <w:tcW w:w="600" w:type="dxa"/>
            <w:vAlign w:val="bottom"/>
          </w:tcPr>
          <w:p>
            <w:pPr>
              <w:jc w:val="right"/>
              <w:ind w:right="288"/>
              <w:spacing w:after="0"/>
              <w:rPr>
                <w:sz w:val="20"/>
                <w:szCs w:val="20"/>
                <w:color w:val="auto"/>
              </w:rPr>
            </w:pPr>
            <w:r>
              <w:rPr>
                <w:rFonts w:ascii="Arial" w:cs="Arial" w:eastAsia="Arial" w:hAnsi="Arial"/>
                <w:sz w:val="14"/>
                <w:szCs w:val="14"/>
                <w:b w:val="1"/>
                <w:bCs w:val="1"/>
                <w:color w:val="auto"/>
                <w:w w:val="94"/>
              </w:rPr>
              <w:t>145</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0.03</w:t>
            </w:r>
          </w:p>
        </w:tc>
      </w:tr>
      <w:tr>
        <w:trPr>
          <w:trHeight w:val="202"/>
        </w:trPr>
        <w:tc>
          <w:tcPr>
            <w:tcW w:w="600" w:type="dxa"/>
            <w:vAlign w:val="bottom"/>
          </w:tcPr>
          <w:p>
            <w:pPr>
              <w:jc w:val="right"/>
              <w:ind w:right="288"/>
              <w:spacing w:after="0"/>
              <w:rPr>
                <w:sz w:val="20"/>
                <w:szCs w:val="20"/>
                <w:color w:val="auto"/>
              </w:rPr>
            </w:pPr>
            <w:r>
              <w:rPr>
                <w:rFonts w:ascii="Arial" w:cs="Arial" w:eastAsia="Arial" w:hAnsi="Arial"/>
                <w:sz w:val="14"/>
                <w:szCs w:val="14"/>
                <w:b w:val="1"/>
                <w:bCs w:val="1"/>
                <w:color w:val="auto"/>
                <w:w w:val="94"/>
              </w:rPr>
              <w:t>134</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0.03</w:t>
            </w:r>
          </w:p>
        </w:tc>
      </w:tr>
    </w:tbl>
    <w:p>
      <w:pPr>
        <w:ind w:left="1160" w:hanging="873"/>
        <w:spacing w:after="0"/>
        <w:tabs>
          <w:tab w:leader="none" w:pos="116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(0.02)</w:t>
      </w:r>
    </w:p>
    <w:p>
      <w:pPr>
        <w:spacing w:after="0" w:line="28" w:lineRule="exact"/>
        <w:rPr>
          <w:sz w:val="20"/>
          <w:szCs w:val="20"/>
          <w:color w:val="auto"/>
        </w:rPr>
      </w:pPr>
    </w:p>
    <w:p>
      <w:pPr>
        <w:ind w:left="1260" w:hanging="877"/>
        <w:spacing w:after="0"/>
        <w:tabs>
          <w:tab w:leader="none" w:pos="1260" w:val="left"/>
        </w:tabs>
        <w:numPr>
          <w:ilvl w:val="1"/>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0.01</w:t>
      </w:r>
    </w:p>
    <w:p>
      <w:pPr>
        <w:spacing w:after="0" w:line="28" w:lineRule="exact"/>
        <w:rPr>
          <w:rFonts w:ascii="Arial" w:cs="Arial" w:eastAsia="Arial" w:hAnsi="Arial"/>
          <w:sz w:val="14"/>
          <w:szCs w:val="14"/>
          <w:b w:val="1"/>
          <w:bCs w:val="1"/>
          <w:color w:val="auto"/>
        </w:rPr>
      </w:pPr>
    </w:p>
    <w:p>
      <w:pPr>
        <w:ind w:left="1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10795</wp:posOffset>
            </wp:positionV>
            <wp:extent cx="11912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4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4"/>
          <w:szCs w:val="14"/>
          <w:b w:val="1"/>
          <w:bCs w:val="1"/>
          <w:color w:val="auto"/>
        </w:rPr>
        <w:t>$12,053</w:t>
      </w:r>
      <w:r>
        <w:rPr>
          <w:sz w:val="20"/>
          <w:szCs w:val="20"/>
          <w:color w:val="auto"/>
        </w:rPr>
        <w:tab/>
      </w:r>
      <w:r>
        <w:rPr>
          <w:rFonts w:ascii="Arial" w:cs="Arial" w:eastAsia="Arial" w:hAnsi="Arial"/>
          <w:sz w:val="14"/>
          <w:szCs w:val="14"/>
          <w:b w:val="1"/>
          <w:bCs w:val="1"/>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19050</wp:posOffset>
            </wp:positionV>
            <wp:extent cx="11912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44450</wp:posOffset>
            </wp:positionV>
            <wp:extent cx="11912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6"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i w:val="1"/>
          <w:iCs w:val="1"/>
          <w:color w:val="auto"/>
        </w:rPr>
        <w:t>(16.4 %)</w:t>
      </w:r>
      <w:r>
        <w:rPr>
          <w:sz w:val="20"/>
          <w:szCs w:val="20"/>
          <w:color w:val="auto"/>
        </w:rPr>
        <w:tab/>
      </w:r>
      <w:r>
        <w:rPr>
          <w:rFonts w:ascii="Arial" w:cs="Arial" w:eastAsia="Arial" w:hAnsi="Arial"/>
          <w:sz w:val="14"/>
          <w:szCs w:val="14"/>
          <w:i w:val="1"/>
          <w:iCs w:val="1"/>
          <w:color w:val="auto"/>
        </w:rPr>
        <w:t>(16.6 %)</w:t>
      </w:r>
    </w:p>
    <w:p>
      <w:pPr>
        <w:spacing w:after="0" w:line="20" w:lineRule="exact"/>
        <w:rPr>
          <w:sz w:val="20"/>
          <w:szCs w:val="20"/>
          <w:color w:val="auto"/>
        </w:rPr>
      </w:pPr>
      <w:r>
        <w:rPr>
          <w:sz w:val="20"/>
          <w:szCs w:val="20"/>
          <w:color w:val="auto"/>
        </w:rPr>
        <w:br w:type="column"/>
      </w:r>
    </w:p>
    <w:p>
      <w:pPr>
        <w:ind w:left="300"/>
        <w:spacing w:after="0"/>
        <w:tabs>
          <w:tab w:leader="none" w:pos="100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0.01</w:t>
      </w:r>
    </w:p>
    <w:p>
      <w:pPr>
        <w:spacing w:after="0" w:line="28" w:lineRule="exact"/>
        <w:rPr>
          <w:sz w:val="20"/>
          <w:szCs w:val="20"/>
          <w:color w:val="auto"/>
        </w:rPr>
      </w:pPr>
    </w:p>
    <w:p>
      <w:pPr>
        <w:ind w:left="960" w:hanging="777"/>
        <w:spacing w:after="0"/>
        <w:tabs>
          <w:tab w:leader="none" w:pos="9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(0.03)</w:t>
      </w:r>
    </w:p>
    <w:p>
      <w:pPr>
        <w:spacing w:after="0" w:line="28"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sz w:val="20"/>
          <w:szCs w:val="20"/>
          <w:color w:val="auto"/>
        </w:rPr>
      </w:pPr>
    </w:p>
    <w:p>
      <w:pPr>
        <w:ind w:left="960" w:hanging="706"/>
        <w:spacing w:after="0"/>
        <w:tabs>
          <w:tab w:leader="none" w:pos="9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(0.02)</w:t>
      </w:r>
    </w:p>
    <w:p>
      <w:pPr>
        <w:spacing w:after="0" w:line="28" w:lineRule="exact"/>
        <w:rPr>
          <w:sz w:val="20"/>
          <w:szCs w:val="20"/>
          <w:color w:val="auto"/>
        </w:rPr>
      </w:pPr>
    </w:p>
    <w:p>
      <w:pPr>
        <w:ind w:left="1020" w:hanging="741"/>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0.03</w:t>
      </w:r>
    </w:p>
    <w:p>
      <w:pPr>
        <w:spacing w:after="0" w:line="28"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390.01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14605</wp:posOffset>
            </wp:positionV>
            <wp:extent cx="9861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57"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$14,417</w:t>
      </w:r>
      <w:r>
        <w:rPr>
          <w:sz w:val="20"/>
          <w:szCs w:val="20"/>
          <w:color w:val="auto"/>
        </w:rPr>
        <w:tab/>
      </w:r>
      <w:r>
        <w:rPr>
          <w:rFonts w:ascii="Arial" w:cs="Arial" w:eastAsia="Arial" w:hAnsi="Arial"/>
          <w:sz w:val="14"/>
          <w:szCs w:val="14"/>
          <w:color w:val="auto"/>
        </w:rPr>
        <w:t>$3.13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17780</wp:posOffset>
            </wp:positionV>
            <wp:extent cx="9861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43180</wp:posOffset>
            </wp:positionV>
            <wp:extent cx="9861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3">
            <w:col w:w="7480" w:space="540"/>
            <w:col w:w="1540" w:space="320"/>
            <w:col w:w="1360"/>
          </w:cols>
          <w:pgMar w:left="320" w:top="942" w:right="339" w:bottom="1440" w:gutter="0" w:footer="0" w:header="0"/>
          <w:type w:val="continuous"/>
        </w:sectPr>
      </w:pPr>
    </w:p>
    <w:p>
      <w:pPr>
        <w:jc w:val="both"/>
        <w:ind w:left="260" w:right="40" w:hanging="252"/>
        <w:spacing w:after="0" w:line="254" w:lineRule="auto"/>
        <w:tabs>
          <w:tab w:leader="none" w:pos="252" w:val="left"/>
        </w:tabs>
        <w:numPr>
          <w:ilvl w:val="0"/>
          <w:numId w:val="18"/>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0"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3"/>
                <w:szCs w:val="13"/>
                <w:color w:val="auto"/>
                <w:w w:val="95"/>
              </w:rPr>
              <w:t>Three Months Ended</w:t>
            </w:r>
          </w:p>
        </w:tc>
        <w:tc>
          <w:tcPr>
            <w:tcW w:w="1820" w:type="dxa"/>
            <w:vAlign w:val="bottom"/>
            <w:gridSpan w:val="3"/>
          </w:tcPr>
          <w:p>
            <w:pPr>
              <w:jc w:val="right"/>
              <w:ind w:right="217"/>
              <w:spacing w:after="0"/>
              <w:rPr>
                <w:sz w:val="20"/>
                <w:szCs w:val="20"/>
                <w:color w:val="auto"/>
              </w:rPr>
            </w:pPr>
            <w:r>
              <w:rPr>
                <w:rFonts w:ascii="Arial" w:cs="Arial" w:eastAsia="Arial" w:hAnsi="Arial"/>
                <w:sz w:val="13"/>
                <w:szCs w:val="13"/>
                <w:color w:val="auto"/>
              </w:rPr>
              <w:t>Twelve Months Ended</w:t>
            </w:r>
          </w:p>
        </w:tc>
      </w:tr>
      <w:tr>
        <w:trPr>
          <w:trHeight w:val="167"/>
        </w:trPr>
        <w:tc>
          <w:tcPr>
            <w:tcW w:w="6660" w:type="dxa"/>
            <w:vAlign w:val="bottom"/>
          </w:tcPr>
          <w:p>
            <w:pPr>
              <w:spacing w:after="0"/>
              <w:rPr>
                <w:sz w:val="14"/>
                <w:szCs w:val="14"/>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3"/>
                <w:szCs w:val="13"/>
                <w:color w:val="auto"/>
                <w:w w:val="97"/>
              </w:rPr>
              <w:t>December 31,</w:t>
            </w:r>
          </w:p>
        </w:tc>
        <w:tc>
          <w:tcPr>
            <w:tcW w:w="1820" w:type="dxa"/>
            <w:vAlign w:val="bottom"/>
            <w:gridSpan w:val="3"/>
          </w:tcPr>
          <w:p>
            <w:pPr>
              <w:jc w:val="right"/>
              <w:ind w:right="437"/>
              <w:spacing w:after="0"/>
              <w:rPr>
                <w:sz w:val="20"/>
                <w:szCs w:val="20"/>
                <w:color w:val="auto"/>
              </w:rPr>
            </w:pPr>
            <w:r>
              <w:rPr>
                <w:rFonts w:ascii="Arial" w:cs="Arial" w:eastAsia="Arial" w:hAnsi="Arial"/>
                <w:sz w:val="13"/>
                <w:szCs w:val="13"/>
                <w:color w:val="auto"/>
              </w:rPr>
              <w:t>December 31,</w:t>
            </w:r>
          </w:p>
        </w:tc>
      </w:tr>
      <w:tr>
        <w:trPr>
          <w:trHeight w:val="177"/>
        </w:trPr>
        <w:tc>
          <w:tcPr>
            <w:tcW w:w="666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2019</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2019</w:t>
            </w:r>
          </w:p>
        </w:tc>
      </w:tr>
      <w:tr>
        <w:trPr>
          <w:trHeight w:val="173"/>
        </w:trPr>
        <w:tc>
          <w:tcPr>
            <w:tcW w:w="666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$2,305</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$1,992</w:t>
            </w:r>
          </w:p>
        </w:tc>
      </w:tr>
      <w:tr>
        <w:trPr>
          <w:trHeight w:val="172"/>
        </w:trPr>
        <w:tc>
          <w:tcPr>
            <w:tcW w:w="666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$1,836</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$1,581</w:t>
            </w:r>
          </w:p>
        </w:tc>
      </w:tr>
      <w:tr>
        <w:trPr>
          <w:trHeight w:val="20"/>
        </w:trPr>
        <w:tc>
          <w:tcPr>
            <w:tcW w:w="6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60" w:right="420" w:hanging="252"/>
        <w:spacing w:after="0" w:line="271" w:lineRule="auto"/>
        <w:tabs>
          <w:tab w:leader="none" w:pos="2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our investments in Atairos and Hulu (following May 2019 transaction).</w:t>
      </w:r>
    </w:p>
    <w:p>
      <w:pPr>
        <w:spacing w:after="0" w:line="61"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3"/>
                <w:szCs w:val="13"/>
                <w:color w:val="auto"/>
                <w:w w:val="95"/>
              </w:rPr>
              <w:t>Three Months Ended</w:t>
            </w:r>
          </w:p>
        </w:tc>
        <w:tc>
          <w:tcPr>
            <w:tcW w:w="1820" w:type="dxa"/>
            <w:vAlign w:val="bottom"/>
            <w:gridSpan w:val="3"/>
          </w:tcPr>
          <w:p>
            <w:pPr>
              <w:jc w:val="right"/>
              <w:ind w:right="217"/>
              <w:spacing w:after="0"/>
              <w:rPr>
                <w:sz w:val="20"/>
                <w:szCs w:val="20"/>
                <w:color w:val="auto"/>
              </w:rPr>
            </w:pPr>
            <w:r>
              <w:rPr>
                <w:rFonts w:ascii="Arial" w:cs="Arial" w:eastAsia="Arial" w:hAnsi="Arial"/>
                <w:sz w:val="13"/>
                <w:szCs w:val="13"/>
                <w:color w:val="auto"/>
              </w:rPr>
              <w:t>Twelve Months Ended</w:t>
            </w:r>
          </w:p>
        </w:tc>
      </w:tr>
      <w:tr>
        <w:trPr>
          <w:trHeight w:val="167"/>
        </w:trPr>
        <w:tc>
          <w:tcPr>
            <w:tcW w:w="6660" w:type="dxa"/>
            <w:vAlign w:val="bottom"/>
          </w:tcPr>
          <w:p>
            <w:pPr>
              <w:spacing w:after="0"/>
              <w:rPr>
                <w:sz w:val="14"/>
                <w:szCs w:val="14"/>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3"/>
                <w:szCs w:val="13"/>
                <w:color w:val="auto"/>
                <w:w w:val="97"/>
              </w:rPr>
              <w:t>December 31,</w:t>
            </w:r>
          </w:p>
        </w:tc>
        <w:tc>
          <w:tcPr>
            <w:tcW w:w="1820" w:type="dxa"/>
            <w:vAlign w:val="bottom"/>
            <w:gridSpan w:val="3"/>
          </w:tcPr>
          <w:p>
            <w:pPr>
              <w:jc w:val="right"/>
              <w:ind w:right="437"/>
              <w:spacing w:after="0"/>
              <w:rPr>
                <w:sz w:val="20"/>
                <w:szCs w:val="20"/>
                <w:color w:val="auto"/>
              </w:rPr>
            </w:pPr>
            <w:r>
              <w:rPr>
                <w:rFonts w:ascii="Arial" w:cs="Arial" w:eastAsia="Arial" w:hAnsi="Arial"/>
                <w:sz w:val="13"/>
                <w:szCs w:val="13"/>
                <w:color w:val="auto"/>
              </w:rPr>
              <w:t>December 31,</w:t>
            </w:r>
          </w:p>
        </w:tc>
      </w:tr>
      <w:tr>
        <w:trPr>
          <w:trHeight w:val="177"/>
        </w:trPr>
        <w:tc>
          <w:tcPr>
            <w:tcW w:w="666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2019</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2019</w:t>
            </w:r>
          </w:p>
        </w:tc>
      </w:tr>
      <w:tr>
        <w:trPr>
          <w:trHeight w:val="167"/>
        </w:trPr>
        <w:tc>
          <w:tcPr>
            <w:tcW w:w="666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($949)</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($1,014)</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($656)</w:t>
            </w:r>
          </w:p>
        </w:tc>
      </w:tr>
      <w:tr>
        <w:trPr>
          <w:trHeight w:val="177"/>
        </w:trPr>
        <w:tc>
          <w:tcPr>
            <w:tcW w:w="6660" w:type="dxa"/>
            <w:vAlign w:val="bottom"/>
          </w:tcPr>
          <w:p>
            <w:pPr>
              <w:spacing w:after="0"/>
              <w:rPr>
                <w:sz w:val="20"/>
                <w:szCs w:val="20"/>
                <w:color w:val="auto"/>
              </w:rPr>
            </w:pPr>
            <w:r>
              <w:rPr>
                <w:rFonts w:ascii="Arial" w:cs="Arial" w:eastAsia="Arial" w:hAnsi="Arial"/>
                <w:sz w:val="13"/>
                <w:szCs w:val="13"/>
                <w:color w:val="auto"/>
              </w:rPr>
              <w:t>Equity in net (income) losses of investees, net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192</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w:t>
            </w:r>
          </w:p>
        </w:tc>
      </w:tr>
      <w:tr>
        <w:trPr>
          <w:trHeight w:val="167"/>
        </w:trPr>
        <w:tc>
          <w:tcPr>
            <w:tcW w:w="666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(1,494)</w:t>
            </w:r>
          </w:p>
        </w:tc>
        <w:tc>
          <w:tcPr>
            <w:tcW w:w="2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118</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(1,053)</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(309)</w:t>
            </w:r>
          </w:p>
        </w:tc>
      </w:tr>
      <w:tr>
        <w:trPr>
          <w:trHeight w:val="184"/>
        </w:trPr>
        <w:tc>
          <w:tcPr>
            <w:tcW w:w="666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($1,155)</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$90</w:t>
            </w:r>
          </w:p>
        </w:tc>
        <w:tc>
          <w:tcPr>
            <w:tcW w:w="2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($821)</w:t>
            </w:r>
          </w:p>
        </w:tc>
        <w:tc>
          <w:tcPr>
            <w:tcW w:w="2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r>
      <w:tr>
        <w:trPr>
          <w:trHeight w:val="21"/>
        </w:trPr>
        <w:tc>
          <w:tcPr>
            <w:tcW w:w="6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60" w:hanging="252"/>
        <w:spacing w:after="0" w:line="271" w:lineRule="auto"/>
        <w:tabs>
          <w:tab w:leader="none" w:pos="2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2020 year to date net income attributable to Comcast Corporation includes $360 million of interest expense, $272 million net of tax, resulting from the early redemption of debt. 2019 year to date net income attributable to Comcast Corporation includes $56 million of interest expense, $42 million net of tax, resulting from the early redemption of debt.</w:t>
      </w:r>
    </w:p>
    <w:p>
      <w:pPr>
        <w:spacing w:after="0" w:line="67" w:lineRule="exact"/>
        <w:rPr>
          <w:rFonts w:ascii="Arial" w:cs="Arial" w:eastAsia="Arial" w:hAnsi="Arial"/>
          <w:sz w:val="13"/>
          <w:szCs w:val="13"/>
          <w:color w:val="auto"/>
        </w:rPr>
      </w:pPr>
    </w:p>
    <w:p>
      <w:pPr>
        <w:ind w:left="260" w:hanging="252"/>
        <w:spacing w:after="0" w:line="271" w:lineRule="auto"/>
        <w:tabs>
          <w:tab w:leader="none" w:pos="2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2020 year to date net income attributable to Comcast Corporation includes $145 million of income tax expense adjustments related to certain tax law changes. 2019 year to date net income attributable to Comcast Corporation includes $125 million of income tax benefits related to the impact of certain state tax adjustments.</w:t>
      </w:r>
    </w:p>
    <w:p>
      <w:pPr>
        <w:spacing w:after="0" w:line="67" w:lineRule="exact"/>
        <w:rPr>
          <w:rFonts w:ascii="Arial" w:cs="Arial" w:eastAsia="Arial" w:hAnsi="Arial"/>
          <w:sz w:val="13"/>
          <w:szCs w:val="13"/>
          <w:color w:val="auto"/>
        </w:rPr>
      </w:pPr>
    </w:p>
    <w:p>
      <w:pPr>
        <w:ind w:left="240" w:hanging="232"/>
        <w:spacing w:after="0"/>
        <w:tabs>
          <w:tab w:leader="none" w:pos="2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2020 year to date net income attributable to Comcast Corporation includes $177 million of other operating and administrative expense, $134 million net of tax, related to a legal settlement.</w:t>
      </w:r>
    </w:p>
    <w:p>
      <w:pPr>
        <w:spacing w:after="0" w:line="107" w:lineRule="exact"/>
        <w:rPr>
          <w:rFonts w:ascii="Arial" w:cs="Arial" w:eastAsia="Arial" w:hAnsi="Arial"/>
          <w:sz w:val="13"/>
          <w:szCs w:val="13"/>
          <w:color w:val="auto"/>
        </w:rPr>
      </w:pPr>
    </w:p>
    <w:p>
      <w:pPr>
        <w:jc w:val="both"/>
        <w:ind w:left="260" w:hanging="252"/>
        <w:spacing w:after="0" w:line="254" w:lineRule="auto"/>
        <w:tabs>
          <w:tab w:leader="none" w:pos="2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4th quarter and year to date 2020 net income attributable to Comcast Corporation includes a gain of $121 million in depreciation expense, $92 million net of tax, related to the sale of a business. 2019 year to date net income attributable to Comcast Corporation includes a gain of $219 million in other income, $163 million net of tax, related to our investment in Hulu and $90 million of other losses, $67 million net of tax, related to an impairment of an equity method investment.</w:t>
      </w:r>
    </w:p>
    <w:p>
      <w:pPr>
        <w:spacing w:after="0" w:line="78" w:lineRule="exact"/>
        <w:rPr>
          <w:rFonts w:ascii="Arial" w:cs="Arial" w:eastAsia="Arial" w:hAnsi="Arial"/>
          <w:sz w:val="13"/>
          <w:szCs w:val="13"/>
          <w:color w:val="auto"/>
        </w:rPr>
      </w:pPr>
    </w:p>
    <w:p>
      <w:pPr>
        <w:jc w:val="both"/>
        <w:ind w:left="260" w:hanging="252"/>
        <w:spacing w:after="0" w:line="254" w:lineRule="auto"/>
        <w:tabs>
          <w:tab w:leader="none" w:pos="2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4th quarter and year to date 2020 net income attributable to Comcast Corporation includes $16 million and $56 million of operating costs and expenses, $13 million and $45 million net of tax, respectively, related to the Sky transaction. 4th quarter and year to date 2019 net income attributable to Comcast Corporation includes $12 million and $180 million of operating costs and expenses, $10 million and $146 million net of tax, respectively, related to the Sky transaction.</w:t>
      </w:r>
    </w:p>
    <w:p>
      <w:pPr>
        <w:spacing w:after="0" w:line="78" w:lineRule="exact"/>
        <w:rPr>
          <w:rFonts w:ascii="Arial" w:cs="Arial" w:eastAsia="Arial" w:hAnsi="Arial"/>
          <w:sz w:val="13"/>
          <w:szCs w:val="13"/>
          <w:color w:val="auto"/>
        </w:rPr>
      </w:pPr>
    </w:p>
    <w:p>
      <w:pPr>
        <w:ind w:left="260" w:hanging="252"/>
        <w:spacing w:after="0" w:line="271" w:lineRule="auto"/>
        <w:tabs>
          <w:tab w:leader="none" w:pos="2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2019 year to date net income attributable to Comcast Corporation includes $53 million of depreciation and amortization expense, $39 million net of tax, related to the 4th quarter 2018, as a result of adjustments to the purchase price allocation of Sky, primarily related to intangible assets and property and equipment.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942" w:right="339"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603250</wp:posOffset>
            </wp:positionV>
            <wp:extent cx="1209040" cy="52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27305</wp:posOffset>
            </wp:positionV>
            <wp:extent cx="70891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207010</wp:posOffset>
            </wp:positionV>
            <wp:extent cx="8890" cy="1491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491615"/>
                    </a:xfrm>
                    <a:prstGeom prst="rect">
                      <a:avLst/>
                    </a:prstGeom>
                    <a:noFill/>
                  </pic:spPr>
                </pic:pic>
              </a:graphicData>
            </a:graphic>
          </wp:anchor>
        </w:drawing>
      </w:r>
    </w:p>
    <w:p>
      <w:pPr>
        <w:sectPr>
          <w:pgSz w:w="11900" w:h="16838" w:orient="portrait"/>
          <w:cols w:equalWidth="0" w:num="1">
            <w:col w:w="11220"/>
          </w:cols>
          <w:pgMar w:left="320" w:top="1104" w:right="359" w:bottom="1440" w:gutter="0" w:footer="0" w:header="0"/>
        </w:sect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3140" w:type="dxa"/>
            <w:vAlign w:val="bottom"/>
            <w:gridSpan w:val="6"/>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8"/>
                <w:szCs w:val="18"/>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December 31,</w:t>
            </w: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119"/>
              <w:spacing w:after="0" w:line="221" w:lineRule="exact"/>
              <w:rPr>
                <w:sz w:val="20"/>
                <w:szCs w:val="20"/>
                <w:color w:val="auto"/>
              </w:rPr>
            </w:pPr>
            <w:r>
              <w:rPr>
                <w:rFonts w:ascii="Arial" w:cs="Arial" w:eastAsia="Arial" w:hAnsi="Arial"/>
                <w:sz w:val="16"/>
                <w:szCs w:val="16"/>
                <w:color w:val="auto"/>
              </w:rPr>
              <w:t>2019</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660" w:type="dxa"/>
            <w:vAlign w:val="bottom"/>
          </w:tcPr>
          <w:p>
            <w:pPr>
              <w:spacing w:after="0"/>
              <w:rPr>
                <w:sz w:val="20"/>
                <w:szCs w:val="20"/>
                <w:color w:val="auto"/>
              </w:rPr>
            </w:pPr>
            <w:r>
              <w:rPr>
                <w:rFonts w:ascii="Arial" w:cs="Arial" w:eastAsia="Arial" w:hAnsi="Arial"/>
                <w:sz w:val="16"/>
                <w:szCs w:val="16"/>
                <w:color w:val="auto"/>
              </w:rPr>
              <w:t>Direct-to-Consumer</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$4,077</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6"/>
                <w:szCs w:val="16"/>
                <w:color w:val="auto"/>
              </w:rPr>
              <w:t>Content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426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6"/>
                <w:szCs w:val="16"/>
                <w:color w:val="auto"/>
              </w:rPr>
              <w:t>Advertising</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$5,205</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$5,066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Twelve Months Ended</w:t>
      </w:r>
    </w:p>
    <w:p>
      <w:pPr>
        <w:jc w:val="center"/>
        <w:ind w:right="-19"/>
        <w:spacing w:after="0"/>
        <w:rPr>
          <w:sz w:val="20"/>
          <w:szCs w:val="20"/>
          <w:color w:val="auto"/>
        </w:rPr>
      </w:pPr>
      <w:r>
        <w:rPr>
          <w:rFonts w:ascii="Arial" w:cs="Arial" w:eastAsia="Arial" w:hAnsi="Arial"/>
          <w:sz w:val="16"/>
          <w:szCs w:val="16"/>
          <w:b w:val="1"/>
          <w:bCs w:val="1"/>
          <w:color w:val="auto"/>
        </w:rPr>
        <w:t>December 31,</w:t>
      </w:r>
    </w:p>
    <w:p>
      <w:pPr>
        <w:spacing w:after="0" w:line="23" w:lineRule="exact"/>
        <w:rPr>
          <w:sz w:val="20"/>
          <w:szCs w:val="20"/>
          <w:color w:val="auto"/>
        </w:rPr>
      </w:pPr>
    </w:p>
    <w:p>
      <w:pPr>
        <w:ind w:left="240"/>
        <w:spacing w:after="0"/>
        <w:tabs>
          <w:tab w:leader="none" w:pos="1140" w:val="left"/>
          <w:tab w:leader="none" w:pos="22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color w:val="auto"/>
        </w:rPr>
        <w:t>2019</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9970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$15,223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$15,698</w:t>
            </w:r>
          </w:p>
        </w:tc>
        <w:tc>
          <w:tcPr>
            <w:tcW w:w="128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6"/>
        </w:trPr>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1,373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1,443</w:t>
            </w:r>
          </w:p>
        </w:tc>
        <w:tc>
          <w:tcPr>
            <w:tcW w:w="128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2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1,998</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1280" w:type="dxa"/>
            <w:vAlign w:val="bottom"/>
          </w:tcPr>
          <w:p>
            <w:pPr>
              <w:jc w:val="right"/>
              <w:spacing w:after="0"/>
              <w:rPr>
                <w:sz w:val="20"/>
                <w:szCs w:val="20"/>
                <w:color w:val="auto"/>
              </w:rPr>
            </w:pPr>
            <w:r>
              <w:rPr>
                <w:rFonts w:ascii="Arial" w:cs="Arial" w:eastAsia="Arial" w:hAnsi="Arial"/>
                <w:sz w:val="16"/>
                <w:szCs w:val="16"/>
                <w:color w:val="auto"/>
              </w:rPr>
              <w:t>(12.0 %)</w:t>
            </w:r>
          </w:p>
        </w:tc>
      </w:tr>
      <w:tr>
        <w:trPr>
          <w:trHeight w:val="209"/>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$18,594</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$19,411</w:t>
            </w:r>
          </w:p>
        </w:tc>
        <w:tc>
          <w:tcPr>
            <w:tcW w:w="128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43"/>
        </w:trPr>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$16,640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$16,282</w:t>
            </w:r>
          </w:p>
        </w:tc>
        <w:tc>
          <w:tcPr>
            <w:tcW w:w="128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$1,954</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$3,129</w:t>
            </w:r>
          </w:p>
        </w:tc>
        <w:tc>
          <w:tcPr>
            <w:tcW w:w="1280" w:type="dxa"/>
            <w:vAlign w:val="bottom"/>
          </w:tcPr>
          <w:p>
            <w:pPr>
              <w:jc w:val="right"/>
              <w:spacing w:after="0"/>
              <w:rPr>
                <w:sz w:val="20"/>
                <w:szCs w:val="20"/>
                <w:color w:val="auto"/>
              </w:rPr>
            </w:pPr>
            <w:r>
              <w:rPr>
                <w:rFonts w:ascii="Arial" w:cs="Arial" w:eastAsia="Arial" w:hAnsi="Arial"/>
                <w:sz w:val="16"/>
                <w:szCs w:val="16"/>
                <w:color w:val="auto"/>
              </w:rPr>
              <w:t>(37.6 %)</w:t>
            </w:r>
          </w:p>
        </w:tc>
      </w:tr>
    </w:tbl>
    <w:p>
      <w:pPr>
        <w:spacing w:after="0" w:line="200" w:lineRule="exact"/>
        <w:rPr>
          <w:sz w:val="20"/>
          <w:szCs w:val="20"/>
          <w:color w:val="auto"/>
        </w:rPr>
      </w:pPr>
    </w:p>
    <w:p>
      <w:pPr>
        <w:sectPr>
          <w:pgSz w:w="11900" w:h="16838" w:orient="portrait"/>
          <w:cols w:equalWidth="0" w:num="2">
            <w:col w:w="7820" w:space="280"/>
            <w:col w:w="3120"/>
          </w:cols>
          <w:pgMar w:left="320" w:top="1104" w:right="359" w:bottom="1440" w:gutter="0" w:footer="0" w:header="0"/>
          <w:type w:val="continuous"/>
        </w:sectPr>
      </w:pPr>
    </w:p>
    <w:p>
      <w:pPr>
        <w:spacing w:after="0" w:line="164" w:lineRule="exact"/>
        <w:rPr>
          <w:sz w:val="20"/>
          <w:szCs w:val="20"/>
          <w:color w:val="auto"/>
        </w:rPr>
      </w:pPr>
    </w:p>
    <w:p>
      <w:pPr>
        <w:ind w:left="260" w:hanging="252"/>
        <w:spacing w:after="0" w:line="271" w:lineRule="auto"/>
        <w:tabs>
          <w:tab w:leader="none" w:pos="252" w:val="left"/>
        </w:tabs>
        <w:numPr>
          <w:ilvl w:val="0"/>
          <w:numId w:val="21"/>
        </w:numPr>
        <w:rPr>
          <w:rFonts w:ascii="Arial" w:cs="Arial" w:eastAsia="Arial" w:hAnsi="Arial"/>
          <w:sz w:val="13"/>
          <w:szCs w:val="13"/>
          <w:color w:val="auto"/>
        </w:rPr>
      </w:pPr>
      <w:r>
        <w:rPr>
          <w:rFonts w:ascii="Arial" w:cs="Arial" w:eastAsia="Arial" w:hAnsi="Arial"/>
          <w:sz w:val="13"/>
          <w:szCs w:val="13"/>
          <w:color w:val="auto"/>
        </w:rPr>
        <w:t>2019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20" w:top="1104"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6080125</wp:posOffset>
            </wp:positionH>
            <wp:positionV relativeFrom="page">
              <wp:posOffset>697865</wp:posOffset>
            </wp:positionV>
            <wp:extent cx="1208405" cy="52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08405" cy="522605"/>
                    </a:xfrm>
                    <a:prstGeom prst="rect">
                      <a:avLst/>
                    </a:prstGeom>
                    <a:noFill/>
                  </pic:spPr>
                </pic:pic>
              </a:graphicData>
            </a:graphic>
          </wp:anchor>
        </w:drawing>
        <w:t>TABLE 7</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Cable Communications RSN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89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7"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Twelve Months Ended</w:t>
      </w:r>
    </w:p>
    <w:p>
      <w:pPr>
        <w:jc w:val="center"/>
        <w:ind w:left="5920"/>
        <w:spacing w:after="0"/>
        <w:rPr>
          <w:sz w:val="20"/>
          <w:szCs w:val="20"/>
          <w:color w:val="auto"/>
        </w:rPr>
      </w:pPr>
      <w:r>
        <w:rPr>
          <w:rFonts w:ascii="Arial" w:cs="Arial" w:eastAsia="Arial" w:hAnsi="Arial"/>
          <w:sz w:val="16"/>
          <w:szCs w:val="16"/>
          <w:b w:val="1"/>
          <w:bCs w:val="1"/>
          <w:color w:val="auto"/>
        </w:rPr>
        <w:t>December 31, 2020</w:t>
      </w:r>
    </w:p>
    <w:tbl>
      <w:tblPr>
        <w:tblLayout w:type="fixed"/>
        <w:tblInd w:w="0" w:type="dxa"/>
        <w:tblCellMar>
          <w:top w:w="0" w:type="dxa"/>
          <w:left w:w="0" w:type="dxa"/>
          <w:bottom w:w="0" w:type="dxa"/>
          <w:right w:w="0" w:type="dxa"/>
        </w:tblCellMar>
      </w:tblPr>
      <w:tr>
        <w:trPr>
          <w:trHeight w:val="179"/>
        </w:trPr>
        <w:tc>
          <w:tcPr>
            <w:tcW w:w="6300" w:type="dxa"/>
            <w:vAlign w:val="bottom"/>
          </w:tcPr>
          <w:p>
            <w:pPr>
              <w:spacing w:after="0"/>
              <w:rPr>
                <w:sz w:val="15"/>
                <w:szCs w:val="15"/>
                <w:color w:val="auto"/>
              </w:rPr>
            </w:pPr>
          </w:p>
        </w:tc>
        <w:tc>
          <w:tcPr>
            <w:tcW w:w="1520" w:type="dxa"/>
            <w:vAlign w:val="bottom"/>
            <w:gridSpan w:val="2"/>
          </w:tcPr>
          <w:p>
            <w:pPr>
              <w:jc w:val="center"/>
              <w:ind w:right="140"/>
              <w:spacing w:after="0" w:line="179" w:lineRule="exact"/>
              <w:rPr>
                <w:sz w:val="20"/>
                <w:szCs w:val="20"/>
                <w:color w:val="auto"/>
              </w:rPr>
            </w:pPr>
            <w:r>
              <w:rPr>
                <w:rFonts w:ascii="Arial" w:cs="Arial" w:eastAsia="Arial" w:hAnsi="Arial"/>
                <w:sz w:val="16"/>
                <w:szCs w:val="16"/>
                <w:b w:val="1"/>
                <w:bCs w:val="1"/>
                <w:color w:val="auto"/>
                <w:w w:val="99"/>
              </w:rPr>
              <w:t>Reported</w:t>
            </w:r>
          </w:p>
        </w:tc>
        <w:tc>
          <w:tcPr>
            <w:tcW w:w="16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RSN Adjustments</w:t>
            </w:r>
          </w:p>
        </w:tc>
        <w:tc>
          <w:tcPr>
            <w:tcW w:w="1360" w:type="dxa"/>
            <w:vAlign w:val="bottom"/>
          </w:tcPr>
          <w:p>
            <w:pPr>
              <w:jc w:val="right"/>
              <w:ind w:right="239"/>
              <w:spacing w:after="0" w:line="179" w:lineRule="exact"/>
              <w:rPr>
                <w:sz w:val="20"/>
                <w:szCs w:val="20"/>
                <w:color w:val="auto"/>
              </w:rPr>
            </w:pPr>
            <w:r>
              <w:rPr>
                <w:rFonts w:ascii="Arial" w:cs="Arial" w:eastAsia="Arial" w:hAnsi="Arial"/>
                <w:sz w:val="16"/>
                <w:szCs w:val="16"/>
                <w:b w:val="1"/>
                <w:bCs w:val="1"/>
                <w:color w:val="auto"/>
              </w:rPr>
              <w:t>Adjusted</w:t>
            </w:r>
          </w:p>
        </w:tc>
        <w:tc>
          <w:tcPr>
            <w:tcW w:w="0" w:type="dxa"/>
            <w:vAlign w:val="bottom"/>
          </w:tcPr>
          <w:p>
            <w:pPr>
              <w:spacing w:after="0"/>
              <w:rPr>
                <w:sz w:val="1"/>
                <w:szCs w:val="1"/>
                <w:color w:val="auto"/>
              </w:rPr>
            </w:pPr>
          </w:p>
        </w:tc>
      </w:tr>
      <w:tr>
        <w:trPr>
          <w:trHeight w:val="216"/>
        </w:trPr>
        <w:tc>
          <w:tcPr>
            <w:tcW w:w="630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Change</w:t>
            </w:r>
          </w:p>
        </w:tc>
        <w:tc>
          <w:tcPr>
            <w:tcW w:w="1640" w:type="dxa"/>
            <w:vAlign w:val="bottom"/>
            <w:gridSpan w:val="2"/>
            <w:vMerge w:val="continue"/>
          </w:tcPr>
          <w:p>
            <w:pPr>
              <w:spacing w:after="0"/>
              <w:rPr>
                <w:sz w:val="18"/>
                <w:szCs w:val="18"/>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1"/>
        </w:trPr>
        <w:tc>
          <w:tcPr>
            <w:tcW w:w="6300" w:type="dxa"/>
            <w:vAlign w:val="bottom"/>
            <w:vMerge w:val="continue"/>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00"/>
              <w:spacing w:after="0"/>
              <w:rPr>
                <w:sz w:val="20"/>
                <w:szCs w:val="20"/>
                <w:color w:val="auto"/>
              </w:rPr>
            </w:pPr>
            <w:r>
              <w:rPr>
                <w:rFonts w:ascii="Arial" w:cs="Arial" w:eastAsia="Arial" w:hAnsi="Arial"/>
                <w:sz w:val="16"/>
                <w:szCs w:val="16"/>
                <w:color w:val="auto"/>
              </w:rPr>
              <w:t>High-Speed Internet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9.9 %</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(0.7 %)</w:t>
            </w:r>
          </w:p>
        </w:tc>
        <w:tc>
          <w:tcPr>
            <w:tcW w:w="14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16"/>
        </w:trPr>
        <w:tc>
          <w:tcPr>
            <w:tcW w:w="6300" w:type="dxa"/>
            <w:vAlign w:val="bottom"/>
          </w:tcPr>
          <w:p>
            <w:pPr>
              <w:ind w:left="300"/>
              <w:spacing w:after="0"/>
              <w:rPr>
                <w:sz w:val="20"/>
                <w:szCs w:val="20"/>
                <w:color w:val="auto"/>
              </w:rPr>
            </w:pPr>
            <w:r>
              <w:rPr>
                <w:rFonts w:ascii="Arial" w:cs="Arial" w:eastAsia="Arial" w:hAnsi="Arial"/>
                <w:sz w:val="16"/>
                <w:szCs w:val="16"/>
                <w:color w:val="auto"/>
              </w:rPr>
              <w:t>Video</w:t>
            </w:r>
          </w:p>
        </w:tc>
        <w:tc>
          <w:tcPr>
            <w:tcW w:w="1360" w:type="dxa"/>
            <w:vAlign w:val="bottom"/>
          </w:tcPr>
          <w:p>
            <w:pPr>
              <w:jc w:val="right"/>
              <w:spacing w:after="0"/>
              <w:rPr>
                <w:sz w:val="20"/>
                <w:szCs w:val="20"/>
                <w:color w:val="auto"/>
              </w:rPr>
            </w:pPr>
            <w:r>
              <w:rPr>
                <w:rFonts w:ascii="Arial" w:cs="Arial" w:eastAsia="Arial" w:hAnsi="Arial"/>
                <w:sz w:val="16"/>
                <w:szCs w:val="16"/>
                <w:color w:val="auto"/>
              </w:rPr>
              <w:t>(1.5 %)</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(0.8 %)</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9"/>
        </w:trPr>
        <w:tc>
          <w:tcPr>
            <w:tcW w:w="6300" w:type="dxa"/>
            <w:vAlign w:val="bottom"/>
          </w:tcPr>
          <w:p>
            <w:pPr>
              <w:spacing w:after="0"/>
              <w:rPr>
                <w:sz w:val="20"/>
                <w:szCs w:val="20"/>
                <w:color w:val="auto"/>
              </w:rPr>
            </w:pPr>
            <w:r>
              <w:rPr>
                <w:rFonts w:ascii="Arial" w:cs="Arial" w:eastAsia="Arial" w:hAnsi="Arial"/>
                <w:sz w:val="16"/>
                <w:szCs w:val="16"/>
                <w:color w:val="auto"/>
              </w:rPr>
              <w:t>Total Revenue</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3.4 %</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(0.6 %)</w:t>
            </w:r>
          </w:p>
        </w:tc>
        <w:tc>
          <w:tcPr>
            <w:tcW w:w="14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429"/>
        </w:trPr>
        <w:tc>
          <w:tcPr>
            <w:tcW w:w="63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300" w:type="dxa"/>
            <w:vAlign w:val="bottom"/>
          </w:tcPr>
          <w:p>
            <w:pPr>
              <w:ind w:left="120"/>
              <w:spacing w:after="0"/>
              <w:rPr>
                <w:sz w:val="20"/>
                <w:szCs w:val="20"/>
                <w:color w:val="auto"/>
              </w:rPr>
            </w:pPr>
            <w:r>
              <w:rPr>
                <w:rFonts w:ascii="Arial" w:cs="Arial" w:eastAsia="Arial" w:hAnsi="Arial"/>
                <w:sz w:val="16"/>
                <w:szCs w:val="16"/>
                <w:color w:val="auto"/>
              </w:rPr>
              <w:t>Programming and production</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0.8 %</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(2.8 %)</w:t>
            </w:r>
          </w:p>
        </w:tc>
        <w:tc>
          <w:tcPr>
            <w:tcW w:w="14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427"/>
        </w:trPr>
        <w:tc>
          <w:tcPr>
            <w:tcW w:w="630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8.6 %</w:t>
            </w:r>
          </w:p>
        </w:tc>
        <w:tc>
          <w:tcPr>
            <w:tcW w:w="160" w:type="dxa"/>
            <w:vAlign w:val="bottom"/>
          </w:tcPr>
          <w:p>
            <w:pPr>
              <w:spacing w:after="0"/>
              <w:rPr>
                <w:sz w:val="24"/>
                <w:szCs w:val="24"/>
                <w:color w:val="auto"/>
              </w:rPr>
            </w:pPr>
          </w:p>
        </w:tc>
        <w:tc>
          <w:tcPr>
            <w:tcW w:w="1640" w:type="dxa"/>
            <w:vAlign w:val="bottom"/>
            <w:gridSpan w:val="2"/>
          </w:tcPr>
          <w:p>
            <w:pPr>
              <w:ind w:left="1000"/>
              <w:spacing w:after="0"/>
              <w:rPr>
                <w:sz w:val="20"/>
                <w:szCs w:val="20"/>
                <w:color w:val="auto"/>
              </w:rPr>
            </w:pPr>
            <w:r>
              <w:rPr>
                <w:rFonts w:ascii="Arial" w:cs="Arial" w:eastAsia="Arial" w:hAnsi="Arial"/>
                <w:sz w:val="16"/>
                <w:szCs w:val="16"/>
                <w:color w:val="auto"/>
              </w:rPr>
              <w:t>— %</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6"/>
                <w:szCs w:val="16"/>
                <w:b w:val="1"/>
                <w:bCs w:val="1"/>
                <w:color w:val="auto"/>
              </w:rPr>
              <w:t>Adjusted EBITDA margin</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200 bps</w:t>
            </w:r>
          </w:p>
        </w:tc>
        <w:tc>
          <w:tcPr>
            <w:tcW w:w="1640" w:type="dxa"/>
            <w:vAlign w:val="bottom"/>
            <w:gridSpan w:val="2"/>
          </w:tcPr>
          <w:p>
            <w:pPr>
              <w:ind w:left="980"/>
              <w:spacing w:after="0"/>
              <w:rPr>
                <w:sz w:val="20"/>
                <w:szCs w:val="20"/>
                <w:color w:val="auto"/>
              </w:rPr>
            </w:pPr>
            <w:r>
              <w:rPr>
                <w:rFonts w:ascii="Arial" w:cs="Arial" w:eastAsia="Arial" w:hAnsi="Arial"/>
                <w:sz w:val="16"/>
                <w:szCs w:val="16"/>
                <w:color w:val="auto"/>
              </w:rPr>
              <w:t>30 bps</w:t>
            </w:r>
          </w:p>
        </w:tc>
        <w:tc>
          <w:tcPr>
            <w:tcW w:w="1360" w:type="dxa"/>
            <w:vAlign w:val="bottom"/>
          </w:tcPr>
          <w:p>
            <w:pPr>
              <w:jc w:val="right"/>
              <w:spacing w:after="0"/>
              <w:rPr>
                <w:sz w:val="20"/>
                <w:szCs w:val="20"/>
                <w:color w:val="auto"/>
              </w:rPr>
            </w:pPr>
            <w:r>
              <w:rPr>
                <w:rFonts w:ascii="Arial" w:cs="Arial" w:eastAsia="Arial" w:hAnsi="Arial"/>
                <w:sz w:val="16"/>
                <w:szCs w:val="16"/>
                <w:color w:val="auto"/>
              </w:rPr>
              <w:t>170 bps</w:t>
            </w:r>
          </w:p>
        </w:tc>
        <w:tc>
          <w:tcPr>
            <w:tcW w:w="0" w:type="dxa"/>
            <w:vAlign w:val="bottom"/>
          </w:tcPr>
          <w:p>
            <w:pPr>
              <w:spacing w:after="0"/>
              <w:rPr>
                <w:sz w:val="1"/>
                <w:szCs w:val="1"/>
                <w:color w:val="auto"/>
              </w:rPr>
            </w:pPr>
          </w:p>
        </w:tc>
      </w:tr>
      <w:tr>
        <w:trPr>
          <w:trHeight w:val="432"/>
        </w:trPr>
        <w:tc>
          <w:tcPr>
            <w:tcW w:w="6300" w:type="dxa"/>
            <w:vAlign w:val="bottom"/>
          </w:tcPr>
          <w:p>
            <w:pPr>
              <w:spacing w:after="0"/>
              <w:rPr>
                <w:sz w:val="20"/>
                <w:szCs w:val="20"/>
                <w:color w:val="auto"/>
              </w:rPr>
            </w:pPr>
            <w:r>
              <w:rPr>
                <w:rFonts w:ascii="Arial" w:cs="Arial" w:eastAsia="Arial" w:hAnsi="Arial"/>
                <w:sz w:val="16"/>
                <w:szCs w:val="16"/>
                <w:b w:val="1"/>
                <w:bCs w:val="1"/>
                <w:color w:val="auto"/>
              </w:rPr>
              <w:t>Capital expenditures as a percent of Revenue</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(90 bps)</w:t>
            </w:r>
          </w:p>
        </w:tc>
        <w:tc>
          <w:tcPr>
            <w:tcW w:w="1640" w:type="dxa"/>
            <w:vAlign w:val="bottom"/>
            <w:gridSpan w:val="2"/>
          </w:tcPr>
          <w:p>
            <w:pPr>
              <w:ind w:left="1000"/>
              <w:spacing w:after="0"/>
              <w:rPr>
                <w:sz w:val="20"/>
                <w:szCs w:val="20"/>
                <w:color w:val="auto"/>
              </w:rPr>
            </w:pPr>
            <w:r>
              <w:rPr>
                <w:rFonts w:ascii="Arial" w:cs="Arial" w:eastAsia="Arial" w:hAnsi="Arial"/>
                <w:sz w:val="16"/>
                <w:szCs w:val="16"/>
                <w:color w:val="auto"/>
              </w:rPr>
              <w:t>10 bps</w:t>
            </w:r>
          </w:p>
        </w:tc>
        <w:tc>
          <w:tcPr>
            <w:tcW w:w="1360" w:type="dxa"/>
            <w:vAlign w:val="bottom"/>
          </w:tcPr>
          <w:p>
            <w:pPr>
              <w:jc w:val="right"/>
              <w:spacing w:after="0"/>
              <w:rPr>
                <w:sz w:val="20"/>
                <w:szCs w:val="20"/>
                <w:color w:val="auto"/>
              </w:rPr>
            </w:pPr>
            <w:r>
              <w:rPr>
                <w:rFonts w:ascii="Arial" w:cs="Arial" w:eastAsia="Arial" w:hAnsi="Arial"/>
                <w:sz w:val="16"/>
                <w:szCs w:val="16"/>
                <w:color w:val="auto"/>
              </w:rPr>
              <w:t>(100 bps)</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Note: Minor differences may exist due to rounding. Percentages represent year/year growth rates and Adjusted EBITDA margin and Capital expenditures as a percent of Revenue are presented as year/year basis point changes.</w:t>
      </w:r>
    </w:p>
    <w:p>
      <w:pPr>
        <w:sectPr>
          <w:pgSz w:w="11900" w:h="16838" w:orient="portrait"/>
          <w:cols w:equalWidth="0" w:num="1">
            <w:col w:w="10820"/>
          </w:cols>
          <w:pgMar w:left="340" w:top="1253" w:right="739" w:bottom="9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820"/>
          </w:cols>
          <w:pgMar w:left="340" w:top="1253" w:right="739" w:bottom="907"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89"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5"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203"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28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2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8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20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48" w:lineRule="exact"/>
        <w:rPr>
          <w:sz w:val="20"/>
          <w:szCs w:val="20"/>
          <w:color w:val="auto"/>
        </w:rPr>
      </w:pPr>
    </w:p>
    <w:p>
      <w:pPr>
        <w:jc w:val="both"/>
        <w:ind w:right="420"/>
        <w:spacing w:after="0" w:line="269"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8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1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9"/>
    </w:lvl>
  </w:abstractNum>
  <w:abstractNum w:abstractNumId="5">
    <w:nsid w:val="109CF92E"/>
    <w:multiLevelType w:val="hybridMultilevel"/>
    <w:lvl w:ilvl="0">
      <w:lvlJc w:val="left"/>
      <w:lvlText w:val="1"/>
      <w:numFmt w:val="bullet"/>
      <w:start w:val="1"/>
    </w:lvl>
  </w:abstractNum>
  <w:abstractNum w:abstractNumId="6">
    <w:nsid w:val="DED7263"/>
    <w:multiLevelType w:val="hybridMultilevel"/>
    <w:lvl w:ilvl="0">
      <w:lvlJc w:val="left"/>
      <w:lvlText w:val="%1"/>
      <w:numFmt w:val="decimal"/>
      <w:start w:val="167"/>
    </w:lvl>
  </w:abstractNum>
  <w:abstractNum w:abstractNumId="7">
    <w:nsid w:val="7FDCC233"/>
    <w:multiLevelType w:val="hybridMultilevel"/>
    <w:lvl w:ilvl="0">
      <w:lvlJc w:val="left"/>
      <w:lvlText w:val="%1"/>
      <w:numFmt w:val="decimal"/>
      <w:start w:val="233"/>
    </w:lvl>
  </w:abstractNum>
  <w:abstractNum w:abstractNumId="8">
    <w:nsid w:val="1BEFD79F"/>
    <w:multiLevelType w:val="hybridMultilevel"/>
    <w:lvl w:ilvl="0">
      <w:lvlJc w:val="left"/>
      <w:lvlText w:val="%1"/>
      <w:numFmt w:val="decimal"/>
      <w:start w:val="177"/>
    </w:lvl>
  </w:abstractNum>
  <w:abstractNum w:abstractNumId="9">
    <w:nsid w:val="41A7C4C9"/>
    <w:multiLevelType w:val="hybridMultilevel"/>
    <w:lvl w:ilvl="0">
      <w:lvlJc w:val="left"/>
      <w:lvlText w:val="(%1)"/>
      <w:numFmt w:val="decimal"/>
      <w:start w:val="178"/>
    </w:lvl>
  </w:abstractNum>
  <w:abstractNum w:abstractNumId="10">
    <w:nsid w:val="6B68079A"/>
    <w:multiLevelType w:val="hybridMultilevel"/>
    <w:lvl w:ilvl="0">
      <w:lvlJc w:val="left"/>
      <w:lvlText w:val="(%1)"/>
      <w:numFmt w:val="decimal"/>
      <w:start w:val="43"/>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92"/>
    </w:lvl>
  </w:abstractNum>
  <w:abstractNum w:abstractNumId="13">
    <w:nsid w:val="519B500D"/>
    <w:multiLevelType w:val="hybridMultilevel"/>
    <w:lvl w:ilvl="0">
      <w:lvlJc w:val="left"/>
      <w:lvlText w:val="\emdash "/>
      <w:numFmt w:val="bullet"/>
      <w:start w:val="1"/>
    </w:lvl>
    <w:lvl w:ilvl="1">
      <w:lvlJc w:val="left"/>
      <w:lvlText w:val="%2"/>
      <w:numFmt w:val="decimal"/>
      <w:start w:val="45"/>
    </w:lvl>
  </w:abstractNum>
  <w:abstractNum w:abstractNumId="14">
    <w:nsid w:val="431BD7B7"/>
    <w:multiLevelType w:val="hybridMultilevel"/>
    <w:lvl w:ilvl="0">
      <w:lvlJc w:val="left"/>
      <w:lvlText w:val="(%1)"/>
      <w:numFmt w:val="decimal"/>
      <w:start w:val="125"/>
    </w:lvl>
  </w:abstractNum>
  <w:abstractNum w:abstractNumId="15">
    <w:nsid w:val="3F2DBA31"/>
    <w:multiLevelType w:val="hybridMultilevel"/>
    <w:lvl w:ilvl="0">
      <w:lvlJc w:val="left"/>
      <w:lvlText w:val="(%1)"/>
      <w:numFmt w:val="decimal"/>
      <w:start w:val="96"/>
    </w:lvl>
  </w:abstractNum>
  <w:abstractNum w:abstractNumId="16">
    <w:nsid w:val="7C83E458"/>
    <w:multiLevelType w:val="hybridMultilevel"/>
    <w:lvl w:ilvl="0">
      <w:lvlJc w:val="left"/>
      <w:lvlText w:val="%1"/>
      <w:numFmt w:val="decimal"/>
      <w:start w:val="146"/>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2"/>
    </w:lvl>
  </w:abstractNum>
  <w:abstractNum w:abstractNumId="19">
    <w:nsid w:val="436C6125"/>
    <w:multiLevelType w:val="hybridMultilevel"/>
    <w:lvl w:ilvl="0">
      <w:lvlJc w:val="left"/>
      <w:lvlText w:val="(%1)"/>
      <w:numFmt w:val="decimal"/>
      <w:start w:val="3"/>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2021-01-28T06:07:27Z</dcterms:created>
  <dcterms:modified xsi:type="dcterms:W3CDTF">2021-01-28T06:07:27Z</dcterms:modified>
</cp:coreProperties>
</file>