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247015</wp:posOffset>
            </wp:positionV>
            <wp:extent cx="10890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8-A</w:t>
      </w:r>
    </w:p>
    <w:p>
      <w:pPr>
        <w:spacing w:after="0" w:line="171"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12(b) OR 12(g)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OMCAST</w:t>
      </w:r>
      <w:r>
        <w:rPr>
          <w:rFonts w:ascii="Arial" w:cs="Arial" w:eastAsia="Arial" w:hAnsi="Arial"/>
          <w:sz w:val="18"/>
          <w:szCs w:val="18"/>
          <w:color w:val="auto"/>
        </w:rPr>
        <w:t xml:space="preserve"> C</w:t>
      </w:r>
      <w:r>
        <w:rPr>
          <w:rFonts w:ascii="Arial" w:cs="Arial" w:eastAsia="Arial" w:hAnsi="Arial"/>
          <w:sz w:val="14"/>
          <w:szCs w:val="14"/>
          <w:color w:val="auto"/>
        </w:rPr>
        <w:t>ABLE</w:t>
      </w:r>
      <w:r>
        <w:rPr>
          <w:rFonts w:ascii="Arial" w:cs="Arial" w:eastAsia="Arial" w:hAnsi="Arial"/>
          <w:sz w:val="18"/>
          <w:szCs w:val="18"/>
          <w:color w:val="auto"/>
        </w:rPr>
        <w:t xml:space="preserve"> C</w:t>
      </w:r>
      <w:r>
        <w:rPr>
          <w:rFonts w:ascii="Arial" w:cs="Arial" w:eastAsia="Arial" w:hAnsi="Arial"/>
          <w:sz w:val="14"/>
          <w:szCs w:val="14"/>
          <w:color w:val="auto"/>
        </w:rPr>
        <w:t>OMMUNICATIONS</w:t>
      </w:r>
      <w:r>
        <w:rPr>
          <w:rFonts w:ascii="Arial" w:cs="Arial" w:eastAsia="Arial" w:hAnsi="Arial"/>
          <w:sz w:val="18"/>
          <w:szCs w:val="18"/>
          <w:color w:val="auto"/>
        </w:rPr>
        <w:t>, LLC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OMCAST</w:t>
      </w:r>
      <w:r>
        <w:rPr>
          <w:rFonts w:ascii="Arial" w:cs="Arial" w:eastAsia="Arial" w:hAnsi="Arial"/>
          <w:sz w:val="18"/>
          <w:szCs w:val="18"/>
          <w:color w:val="auto"/>
        </w:rPr>
        <w:t xml:space="preserve"> C</w:t>
      </w:r>
      <w:r>
        <w:rPr>
          <w:rFonts w:ascii="Arial" w:cs="Arial" w:eastAsia="Arial" w:hAnsi="Arial"/>
          <w:sz w:val="14"/>
          <w:szCs w:val="14"/>
          <w:color w:val="auto"/>
        </w:rPr>
        <w:t>ABLE</w:t>
      </w:r>
      <w:r>
        <w:rPr>
          <w:rFonts w:ascii="Arial" w:cs="Arial" w:eastAsia="Arial" w:hAnsi="Arial"/>
          <w:sz w:val="18"/>
          <w:szCs w:val="18"/>
          <w:color w:val="auto"/>
        </w:rPr>
        <w:t xml:space="preserve"> H</w:t>
      </w:r>
      <w:r>
        <w:rPr>
          <w:rFonts w:ascii="Arial" w:cs="Arial" w:eastAsia="Arial" w:hAnsi="Arial"/>
          <w:sz w:val="14"/>
          <w:szCs w:val="14"/>
          <w:color w:val="auto"/>
        </w:rPr>
        <w:t>OLDINGS</w:t>
      </w:r>
      <w:r>
        <w:rPr>
          <w:rFonts w:ascii="Arial" w:cs="Arial" w:eastAsia="Arial" w:hAnsi="Arial"/>
          <w:sz w:val="18"/>
          <w:szCs w:val="18"/>
          <w:color w:val="auto"/>
        </w:rPr>
        <w: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OMCAST</w:t>
      </w:r>
      <w:r>
        <w:rPr>
          <w:rFonts w:ascii="Arial" w:cs="Arial" w:eastAsia="Arial" w:hAnsi="Arial"/>
          <w:sz w:val="18"/>
          <w:szCs w:val="18"/>
          <w:color w:val="auto"/>
        </w:rPr>
        <w:t xml:space="preserve"> MO G</w:t>
      </w:r>
      <w:r>
        <w:rPr>
          <w:rFonts w:ascii="Arial" w:cs="Arial" w:eastAsia="Arial" w:hAnsi="Arial"/>
          <w:sz w:val="14"/>
          <w:szCs w:val="14"/>
          <w:color w:val="auto"/>
        </w:rPr>
        <w:t>ROUP</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OMCAST</w:t>
      </w:r>
      <w:r>
        <w:rPr>
          <w:rFonts w:ascii="Arial" w:cs="Arial" w:eastAsia="Arial" w:hAnsi="Arial"/>
          <w:sz w:val="18"/>
          <w:szCs w:val="18"/>
          <w:color w:val="auto"/>
        </w:rPr>
        <w:t xml:space="preserve"> MO </w:t>
      </w:r>
      <w:r>
        <w:rPr>
          <w:rFonts w:ascii="Arial" w:cs="Arial" w:eastAsia="Arial" w:hAnsi="Arial"/>
          <w:sz w:val="14"/>
          <w:szCs w:val="14"/>
          <w:color w:val="auto"/>
        </w:rPr>
        <w:t>OF</w:t>
      </w:r>
      <w:r>
        <w:rPr>
          <w:rFonts w:ascii="Arial" w:cs="Arial" w:eastAsia="Arial" w:hAnsi="Arial"/>
          <w:sz w:val="18"/>
          <w:szCs w:val="18"/>
          <w:color w:val="auto"/>
        </w:rPr>
        <w:t xml:space="preserve"> D</w:t>
      </w:r>
      <w:r>
        <w:rPr>
          <w:rFonts w:ascii="Arial" w:cs="Arial" w:eastAsia="Arial" w:hAnsi="Arial"/>
          <w:sz w:val="14"/>
          <w:szCs w:val="14"/>
          <w:color w:val="auto"/>
        </w:rPr>
        <w:t>ELAWARE</w:t>
      </w:r>
      <w:r>
        <w:rPr>
          <w:rFonts w:ascii="Arial" w:cs="Arial" w:eastAsia="Arial" w:hAnsi="Arial"/>
          <w:sz w:val="18"/>
          <w:szCs w:val="18"/>
          <w:color w:val="auto"/>
        </w:rPr>
        <w:t>,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78" w:lineRule="exact"/>
        <w:rPr>
          <w:sz w:val="24"/>
          <w:szCs w:val="24"/>
          <w:color w:val="auto"/>
        </w:rPr>
      </w:pPr>
    </w:p>
    <w:tbl>
      <w:tblPr>
        <w:tblLayout w:type="fixed"/>
        <w:tblInd w:w="1460" w:type="dxa"/>
        <w:tblCellMar>
          <w:top w:w="0" w:type="dxa"/>
          <w:left w:w="0" w:type="dxa"/>
          <w:bottom w:w="0" w:type="dxa"/>
          <w:right w:w="0" w:type="dxa"/>
        </w:tblCellMar>
      </w:tblPr>
      <w:tr>
        <w:trPr>
          <w:trHeight w:val="216"/>
        </w:trPr>
        <w:tc>
          <w:tcPr>
            <w:tcW w:w="4380" w:type="dxa"/>
            <w:vAlign w:val="bottom"/>
          </w:tcPr>
          <w:p>
            <w:pPr>
              <w:jc w:val="center"/>
              <w:ind w:right="1432"/>
              <w:spacing w:after="0"/>
              <w:rPr>
                <w:sz w:val="20"/>
                <w:szCs w:val="20"/>
                <w:color w:val="auto"/>
              </w:rPr>
            </w:pPr>
            <w:r>
              <w:rPr>
                <w:rFonts w:ascii="Arial" w:cs="Arial" w:eastAsia="Arial" w:hAnsi="Arial"/>
                <w:sz w:val="18"/>
                <w:szCs w:val="18"/>
                <w:b w:val="1"/>
                <w:bCs w:val="1"/>
                <w:color w:val="auto"/>
                <w:w w:val="94"/>
              </w:rPr>
              <w:t>PENNSYLVANIA</w:t>
            </w:r>
          </w:p>
        </w:tc>
        <w:tc>
          <w:tcPr>
            <w:tcW w:w="4080" w:type="dxa"/>
            <w:vAlign w:val="bottom"/>
          </w:tcPr>
          <w:p>
            <w:pPr>
              <w:jc w:val="center"/>
              <w:ind w:left="1452"/>
              <w:spacing w:after="0"/>
              <w:rPr>
                <w:sz w:val="20"/>
                <w:szCs w:val="20"/>
                <w:color w:val="auto"/>
              </w:rPr>
            </w:pPr>
            <w:r>
              <w:rPr>
                <w:rFonts w:ascii="Arial" w:cs="Arial" w:eastAsia="Arial" w:hAnsi="Arial"/>
                <w:sz w:val="18"/>
                <w:szCs w:val="18"/>
                <w:b w:val="1"/>
                <w:bCs w:val="1"/>
                <w:color w:val="auto"/>
                <w:w w:val="89"/>
              </w:rPr>
              <w:t>27-0000798</w:t>
            </w:r>
          </w:p>
        </w:tc>
      </w:tr>
      <w:tr>
        <w:trPr>
          <w:trHeight w:val="216"/>
        </w:trPr>
        <w:tc>
          <w:tcPr>
            <w:tcW w:w="4380" w:type="dxa"/>
            <w:vAlign w:val="bottom"/>
          </w:tcPr>
          <w:p>
            <w:pPr>
              <w:jc w:val="center"/>
              <w:ind w:right="1432"/>
              <w:spacing w:after="0"/>
              <w:rPr>
                <w:sz w:val="20"/>
                <w:szCs w:val="20"/>
                <w:color w:val="auto"/>
              </w:rPr>
            </w:pPr>
            <w:r>
              <w:rPr>
                <w:rFonts w:ascii="Arial" w:cs="Arial" w:eastAsia="Arial" w:hAnsi="Arial"/>
                <w:sz w:val="18"/>
                <w:szCs w:val="18"/>
                <w:b w:val="1"/>
                <w:bCs w:val="1"/>
                <w:color w:val="auto"/>
                <w:w w:val="94"/>
              </w:rPr>
              <w:t>DELAWARE</w:t>
            </w:r>
          </w:p>
        </w:tc>
        <w:tc>
          <w:tcPr>
            <w:tcW w:w="4080" w:type="dxa"/>
            <w:vAlign w:val="bottom"/>
          </w:tcPr>
          <w:p>
            <w:pPr>
              <w:jc w:val="center"/>
              <w:ind w:left="1452"/>
              <w:spacing w:after="0"/>
              <w:rPr>
                <w:sz w:val="20"/>
                <w:szCs w:val="20"/>
                <w:color w:val="auto"/>
              </w:rPr>
            </w:pPr>
            <w:r>
              <w:rPr>
                <w:rFonts w:ascii="Arial" w:cs="Arial" w:eastAsia="Arial" w:hAnsi="Arial"/>
                <w:sz w:val="18"/>
                <w:szCs w:val="18"/>
                <w:b w:val="1"/>
                <w:bCs w:val="1"/>
                <w:color w:val="auto"/>
                <w:w w:val="89"/>
              </w:rPr>
              <w:t>23-2175755</w:t>
            </w:r>
          </w:p>
        </w:tc>
      </w:tr>
      <w:tr>
        <w:trPr>
          <w:trHeight w:val="216"/>
        </w:trPr>
        <w:tc>
          <w:tcPr>
            <w:tcW w:w="4380" w:type="dxa"/>
            <w:vAlign w:val="bottom"/>
          </w:tcPr>
          <w:p>
            <w:pPr>
              <w:jc w:val="center"/>
              <w:ind w:right="1432"/>
              <w:spacing w:after="0"/>
              <w:rPr>
                <w:sz w:val="20"/>
                <w:szCs w:val="20"/>
                <w:color w:val="auto"/>
              </w:rPr>
            </w:pPr>
            <w:r>
              <w:rPr>
                <w:rFonts w:ascii="Arial" w:cs="Arial" w:eastAsia="Arial" w:hAnsi="Arial"/>
                <w:sz w:val="18"/>
                <w:szCs w:val="18"/>
                <w:b w:val="1"/>
                <w:bCs w:val="1"/>
                <w:color w:val="auto"/>
                <w:w w:val="94"/>
              </w:rPr>
              <w:t>DELAWARE</w:t>
            </w:r>
          </w:p>
        </w:tc>
        <w:tc>
          <w:tcPr>
            <w:tcW w:w="4080" w:type="dxa"/>
            <w:vAlign w:val="bottom"/>
          </w:tcPr>
          <w:p>
            <w:pPr>
              <w:jc w:val="center"/>
              <w:ind w:left="1452"/>
              <w:spacing w:after="0"/>
              <w:rPr>
                <w:sz w:val="20"/>
                <w:szCs w:val="20"/>
                <w:color w:val="auto"/>
              </w:rPr>
            </w:pPr>
            <w:r>
              <w:rPr>
                <w:rFonts w:ascii="Arial" w:cs="Arial" w:eastAsia="Arial" w:hAnsi="Arial"/>
                <w:sz w:val="18"/>
                <w:szCs w:val="18"/>
                <w:b w:val="1"/>
                <w:bCs w:val="1"/>
                <w:color w:val="auto"/>
                <w:w w:val="89"/>
              </w:rPr>
              <w:t>84-1260157</w:t>
            </w:r>
          </w:p>
        </w:tc>
      </w:tr>
      <w:tr>
        <w:trPr>
          <w:trHeight w:val="216"/>
        </w:trPr>
        <w:tc>
          <w:tcPr>
            <w:tcW w:w="4380" w:type="dxa"/>
            <w:vAlign w:val="bottom"/>
          </w:tcPr>
          <w:p>
            <w:pPr>
              <w:jc w:val="center"/>
              <w:ind w:right="1432"/>
              <w:spacing w:after="0"/>
              <w:rPr>
                <w:sz w:val="20"/>
                <w:szCs w:val="20"/>
                <w:color w:val="auto"/>
              </w:rPr>
            </w:pPr>
            <w:r>
              <w:rPr>
                <w:rFonts w:ascii="Arial" w:cs="Arial" w:eastAsia="Arial" w:hAnsi="Arial"/>
                <w:sz w:val="18"/>
                <w:szCs w:val="18"/>
                <w:b w:val="1"/>
                <w:bCs w:val="1"/>
                <w:color w:val="auto"/>
                <w:w w:val="94"/>
              </w:rPr>
              <w:t>DELAWARE</w:t>
            </w:r>
          </w:p>
        </w:tc>
        <w:tc>
          <w:tcPr>
            <w:tcW w:w="4080" w:type="dxa"/>
            <w:vAlign w:val="bottom"/>
          </w:tcPr>
          <w:p>
            <w:pPr>
              <w:jc w:val="center"/>
              <w:ind w:left="1452"/>
              <w:spacing w:after="0"/>
              <w:rPr>
                <w:sz w:val="20"/>
                <w:szCs w:val="20"/>
                <w:color w:val="auto"/>
              </w:rPr>
            </w:pPr>
            <w:r>
              <w:rPr>
                <w:rFonts w:ascii="Arial" w:cs="Arial" w:eastAsia="Arial" w:hAnsi="Arial"/>
                <w:sz w:val="18"/>
                <w:szCs w:val="18"/>
                <w:b w:val="1"/>
                <w:bCs w:val="1"/>
                <w:color w:val="auto"/>
                <w:w w:val="89"/>
              </w:rPr>
              <w:t>91-2047743</w:t>
            </w:r>
          </w:p>
        </w:tc>
      </w:tr>
      <w:tr>
        <w:trPr>
          <w:trHeight w:val="228"/>
        </w:trPr>
        <w:tc>
          <w:tcPr>
            <w:tcW w:w="4380" w:type="dxa"/>
            <w:vAlign w:val="bottom"/>
          </w:tcPr>
          <w:p>
            <w:pPr>
              <w:jc w:val="center"/>
              <w:ind w:right="1432"/>
              <w:spacing w:after="0"/>
              <w:rPr>
                <w:sz w:val="20"/>
                <w:szCs w:val="20"/>
                <w:color w:val="auto"/>
              </w:rPr>
            </w:pPr>
            <w:r>
              <w:rPr>
                <w:rFonts w:ascii="Arial" w:cs="Arial" w:eastAsia="Arial" w:hAnsi="Arial"/>
                <w:sz w:val="18"/>
                <w:szCs w:val="18"/>
                <w:b w:val="1"/>
                <w:bCs w:val="1"/>
                <w:color w:val="auto"/>
                <w:w w:val="94"/>
              </w:rPr>
              <w:t>DELAWARE</w:t>
            </w:r>
          </w:p>
        </w:tc>
        <w:tc>
          <w:tcPr>
            <w:tcW w:w="4080" w:type="dxa"/>
            <w:vAlign w:val="bottom"/>
          </w:tcPr>
          <w:p>
            <w:pPr>
              <w:jc w:val="center"/>
              <w:ind w:left="1452"/>
              <w:spacing w:after="0"/>
              <w:rPr>
                <w:sz w:val="20"/>
                <w:szCs w:val="20"/>
                <w:color w:val="auto"/>
              </w:rPr>
            </w:pPr>
            <w:r>
              <w:rPr>
                <w:rFonts w:ascii="Arial" w:cs="Arial" w:eastAsia="Arial" w:hAnsi="Arial"/>
                <w:sz w:val="18"/>
                <w:szCs w:val="18"/>
                <w:b w:val="1"/>
                <w:bCs w:val="1"/>
                <w:color w:val="auto"/>
                <w:w w:val="89"/>
              </w:rPr>
              <w:t>84-1372033</w:t>
            </w:r>
          </w:p>
        </w:tc>
      </w:tr>
      <w:tr>
        <w:trPr>
          <w:trHeight w:val="230"/>
        </w:trPr>
        <w:tc>
          <w:tcPr>
            <w:tcW w:w="4380" w:type="dxa"/>
            <w:vAlign w:val="bottom"/>
          </w:tcPr>
          <w:p>
            <w:pPr>
              <w:jc w:val="center"/>
              <w:ind w:right="1432"/>
              <w:spacing w:after="0"/>
              <w:rPr>
                <w:sz w:val="20"/>
                <w:szCs w:val="20"/>
                <w:color w:val="auto"/>
              </w:rPr>
            </w:pPr>
            <w:r>
              <w:rPr>
                <w:rFonts w:ascii="Arial" w:cs="Arial" w:eastAsia="Arial" w:hAnsi="Arial"/>
                <w:sz w:val="18"/>
                <w:szCs w:val="18"/>
                <w:color w:val="auto"/>
                <w:w w:val="90"/>
              </w:rPr>
              <w:t>(State of Incorporation or Organization)</w:t>
            </w:r>
          </w:p>
        </w:tc>
        <w:tc>
          <w:tcPr>
            <w:tcW w:w="4080" w:type="dxa"/>
            <w:vAlign w:val="bottom"/>
          </w:tcPr>
          <w:p>
            <w:pPr>
              <w:jc w:val="center"/>
              <w:ind w:left="1452"/>
              <w:spacing w:after="0"/>
              <w:rPr>
                <w:sz w:val="20"/>
                <w:szCs w:val="20"/>
                <w:color w:val="auto"/>
              </w:rPr>
            </w:pPr>
            <w:r>
              <w:rPr>
                <w:rFonts w:ascii="Arial" w:cs="Arial" w:eastAsia="Arial" w:hAnsi="Arial"/>
                <w:sz w:val="18"/>
                <w:szCs w:val="18"/>
                <w:color w:val="auto"/>
                <w:w w:val="91"/>
              </w:rPr>
              <w:t>(I.R.S. Employer Identification No.)</w:t>
            </w:r>
          </w:p>
        </w:tc>
      </w:tr>
      <w:tr>
        <w:trPr>
          <w:trHeight w:val="420"/>
        </w:trPr>
        <w:tc>
          <w:tcPr>
            <w:tcW w:w="43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8"/>
              </w:rPr>
              <w:t>One Comcast Center</w:t>
            </w:r>
          </w:p>
        </w:tc>
        <w:tc>
          <w:tcPr>
            <w:tcW w:w="4080" w:type="dxa"/>
            <w:vAlign w:val="bottom"/>
          </w:tcPr>
          <w:p>
            <w:pPr>
              <w:spacing w:after="0"/>
              <w:rPr>
                <w:sz w:val="24"/>
                <w:szCs w:val="24"/>
                <w:color w:val="auto"/>
              </w:rPr>
            </w:pPr>
          </w:p>
        </w:tc>
      </w:tr>
      <w:tr>
        <w:trPr>
          <w:trHeight w:val="236"/>
        </w:trPr>
        <w:tc>
          <w:tcPr>
            <w:tcW w:w="4380" w:type="dxa"/>
            <w:vAlign w:val="bottom"/>
          </w:tcPr>
          <w:p>
            <w:pPr>
              <w:jc w:val="center"/>
              <w:ind w:right="1432"/>
              <w:spacing w:after="0"/>
              <w:rPr>
                <w:sz w:val="20"/>
                <w:szCs w:val="20"/>
                <w:color w:val="auto"/>
              </w:rPr>
            </w:pPr>
            <w:r>
              <w:rPr>
                <w:rFonts w:ascii="Arial" w:cs="Arial" w:eastAsia="Arial" w:hAnsi="Arial"/>
                <w:sz w:val="18"/>
                <w:szCs w:val="18"/>
                <w:b w:val="1"/>
                <w:bCs w:val="1"/>
                <w:color w:val="auto"/>
                <w:w w:val="87"/>
              </w:rPr>
              <w:t>Philadelphia, Pennsylvania</w:t>
            </w:r>
          </w:p>
        </w:tc>
        <w:tc>
          <w:tcPr>
            <w:tcW w:w="4080" w:type="dxa"/>
            <w:vAlign w:val="bottom"/>
          </w:tcPr>
          <w:p>
            <w:pPr>
              <w:jc w:val="center"/>
              <w:ind w:left="1452"/>
              <w:spacing w:after="0"/>
              <w:rPr>
                <w:sz w:val="20"/>
                <w:szCs w:val="20"/>
                <w:color w:val="auto"/>
              </w:rPr>
            </w:pPr>
            <w:r>
              <w:rPr>
                <w:rFonts w:ascii="Arial" w:cs="Arial" w:eastAsia="Arial" w:hAnsi="Arial"/>
                <w:sz w:val="18"/>
                <w:szCs w:val="18"/>
                <w:b w:val="1"/>
                <w:bCs w:val="1"/>
                <w:color w:val="auto"/>
                <w:w w:val="89"/>
              </w:rPr>
              <w:t>19103-2838</w:t>
            </w:r>
          </w:p>
        </w:tc>
      </w:tr>
      <w:tr>
        <w:trPr>
          <w:trHeight w:val="222"/>
        </w:trPr>
        <w:tc>
          <w:tcPr>
            <w:tcW w:w="4380" w:type="dxa"/>
            <w:vAlign w:val="bottom"/>
          </w:tcPr>
          <w:p>
            <w:pPr>
              <w:jc w:val="center"/>
              <w:ind w:right="1432"/>
              <w:spacing w:after="0"/>
              <w:rPr>
                <w:sz w:val="20"/>
                <w:szCs w:val="20"/>
                <w:color w:val="auto"/>
              </w:rPr>
            </w:pPr>
            <w:r>
              <w:rPr>
                <w:rFonts w:ascii="Arial" w:cs="Arial" w:eastAsia="Arial" w:hAnsi="Arial"/>
                <w:sz w:val="18"/>
                <w:szCs w:val="18"/>
                <w:color w:val="auto"/>
                <w:w w:val="90"/>
              </w:rPr>
              <w:t>(Address of Principal Executive Offices)</w:t>
            </w:r>
          </w:p>
        </w:tc>
        <w:tc>
          <w:tcPr>
            <w:tcW w:w="4080" w:type="dxa"/>
            <w:vAlign w:val="bottom"/>
          </w:tcPr>
          <w:p>
            <w:pPr>
              <w:jc w:val="center"/>
              <w:ind w:left="1452"/>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ectPr>
          <w:pgSz w:w="11900" w:h="16838" w:orient="portrait"/>
          <w:cols w:equalWidth="0" w:num="1">
            <w:col w:w="11420"/>
          </w:cols>
          <w:pgMar w:left="240" w:top="503" w:right="239" w:bottom="1440" w:gutter="0" w:footer="0" w:header="0"/>
        </w:sectPr>
      </w:pPr>
    </w:p>
    <w:p>
      <w:pPr>
        <w:spacing w:after="0" w:line="10" w:lineRule="exact"/>
        <w:rPr>
          <w:sz w:val="24"/>
          <w:szCs w:val="24"/>
          <w:color w:val="auto"/>
        </w:rPr>
      </w:pPr>
    </w:p>
    <w:p>
      <w:pPr>
        <w:ind w:right="2020"/>
        <w:spacing w:after="0" w:line="221"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A.(c), please check the following box. </w:t>
      </w:r>
      <w:r>
        <w:rPr>
          <w:rFonts w:ascii="MS PGothic" w:cs="MS PGothic" w:eastAsia="MS PGothic" w:hAnsi="MS PGothic"/>
          <w:sz w:val="18"/>
          <w:szCs w:val="18"/>
          <w:color w:val="auto"/>
        </w:rPr>
        <w:t>☒</w:t>
      </w:r>
    </w:p>
    <w:p>
      <w:pPr>
        <w:spacing w:after="0" w:line="193" w:lineRule="exact"/>
        <w:rPr>
          <w:sz w:val="24"/>
          <w:szCs w:val="24"/>
          <w:color w:val="auto"/>
        </w:rPr>
      </w:pPr>
    </w:p>
    <w:p>
      <w:pPr>
        <w:spacing w:after="0"/>
        <w:rPr>
          <w:sz w:val="20"/>
          <w:szCs w:val="20"/>
          <w:color w:val="auto"/>
        </w:rPr>
      </w:pPr>
      <w:r>
        <w:rPr>
          <w:rFonts w:ascii="Arial" w:cs="Arial" w:eastAsia="Arial" w:hAnsi="Arial"/>
          <w:sz w:val="16"/>
          <w:szCs w:val="16"/>
          <w:color w:val="auto"/>
        </w:rPr>
        <w:t>Securities Act registration statement file number to which this form relates:</w:t>
      </w:r>
    </w:p>
    <w:p>
      <w:pPr>
        <w:spacing w:after="0" w:line="200" w:lineRule="exact"/>
        <w:rPr>
          <w:sz w:val="24"/>
          <w:szCs w:val="24"/>
          <w:color w:val="auto"/>
        </w:rPr>
      </w:pP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12(b) of the Act:</w:t>
      </w:r>
    </w:p>
    <w:p>
      <w:pPr>
        <w:spacing w:after="0" w:line="20" w:lineRule="exact"/>
        <w:rPr>
          <w:sz w:val="24"/>
          <w:szCs w:val="24"/>
          <w:color w:val="auto"/>
        </w:rPr>
      </w:pPr>
      <w:r>
        <w:rPr>
          <w:sz w:val="24"/>
          <w:szCs w:val="24"/>
          <w:color w:val="auto"/>
        </w:rPr>
        <w:br w:type="column"/>
      </w:r>
    </w:p>
    <w:p>
      <w:pPr>
        <w:ind w:right="2260"/>
        <w:spacing w:after="0" w:line="211"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A.(d), please check the following box. </w:t>
      </w:r>
      <w:r>
        <w:rPr>
          <w:rFonts w:ascii="MS PGothic" w:cs="MS PGothic" w:eastAsia="MS PGothic" w:hAnsi="MS PGothic"/>
          <w:sz w:val="18"/>
          <w:szCs w:val="18"/>
          <w:color w:val="auto"/>
        </w:rPr>
        <w:t>☐</w:t>
      </w:r>
    </w:p>
    <w:p>
      <w:pPr>
        <w:spacing w:after="0" w:line="193" w:lineRule="exact"/>
        <w:rPr>
          <w:sz w:val="24"/>
          <w:szCs w:val="24"/>
          <w:color w:val="auto"/>
        </w:rPr>
      </w:pPr>
    </w:p>
    <w:p>
      <w:pPr>
        <w:ind w:left="1140"/>
        <w:spacing w:after="0"/>
        <w:rPr>
          <w:sz w:val="20"/>
          <w:szCs w:val="20"/>
          <w:color w:val="auto"/>
        </w:rPr>
      </w:pPr>
      <w:r>
        <w:rPr>
          <w:rFonts w:ascii="Arial" w:cs="Arial" w:eastAsia="Arial" w:hAnsi="Arial"/>
          <w:sz w:val="18"/>
          <w:szCs w:val="18"/>
          <w:u w:val="single" w:color="auto"/>
          <w:color w:val="auto"/>
        </w:rPr>
        <w:t>333-179678</w:t>
      </w:r>
    </w:p>
    <w:p>
      <w:pPr>
        <w:spacing w:after="0" w:line="15"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(If applicable)</w:t>
      </w:r>
    </w:p>
    <w:p>
      <w:pPr>
        <w:spacing w:after="0" w:line="666" w:lineRule="exact"/>
        <w:rPr>
          <w:sz w:val="24"/>
          <w:szCs w:val="24"/>
          <w:color w:val="auto"/>
        </w:rPr>
      </w:pPr>
    </w:p>
    <w:p>
      <w:pPr>
        <w:sectPr>
          <w:pgSz w:w="11900" w:h="16838" w:orient="portrait"/>
          <w:cols w:equalWidth="0" w:num="2">
            <w:col w:w="5300" w:space="580"/>
            <w:col w:w="5540"/>
          </w:cols>
          <w:pgMar w:left="240" w:top="503" w:right="239" w:bottom="1440" w:gutter="0" w:footer="0" w:header="0"/>
          <w:type w:val="continuous"/>
        </w:sectPr>
      </w:pPr>
    </w:p>
    <w:p>
      <w:pPr>
        <w:spacing w:after="0" w:line="1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4020" w:type="dxa"/>
            <w:vAlign w:val="bottom"/>
            <w:gridSpan w:val="3"/>
          </w:tcPr>
          <w:p>
            <w:pPr>
              <w:jc w:val="center"/>
              <w:ind w:left="1112"/>
              <w:spacing w:after="0"/>
              <w:rPr>
                <w:sz w:val="20"/>
                <w:szCs w:val="20"/>
                <w:color w:val="auto"/>
              </w:rPr>
            </w:pPr>
            <w:r>
              <w:rPr>
                <w:rFonts w:ascii="Arial" w:cs="Arial" w:eastAsia="Arial" w:hAnsi="Arial"/>
                <w:sz w:val="18"/>
                <w:szCs w:val="18"/>
                <w:color w:val="auto"/>
                <w:w w:val="88"/>
              </w:rPr>
              <w:t>Name of Each Exchange on Which</w:t>
            </w:r>
          </w:p>
        </w:tc>
        <w:tc>
          <w:tcPr>
            <w:tcW w:w="1360" w:type="dxa"/>
            <w:vAlign w:val="bottom"/>
          </w:tcPr>
          <w:p>
            <w:pPr>
              <w:spacing w:after="0"/>
              <w:rPr>
                <w:sz w:val="18"/>
                <w:szCs w:val="18"/>
                <w:color w:val="auto"/>
              </w:rPr>
            </w:pPr>
          </w:p>
        </w:tc>
      </w:tr>
      <w:tr>
        <w:trPr>
          <w:trHeight w:val="184"/>
        </w:trPr>
        <w:tc>
          <w:tcPr>
            <w:tcW w:w="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3820" w:type="dxa"/>
            <w:vAlign w:val="bottom"/>
            <w:gridSpan w:val="2"/>
          </w:tcPr>
          <w:p>
            <w:pPr>
              <w:spacing w:after="0" w:line="184" w:lineRule="exact"/>
              <w:rPr>
                <w:sz w:val="20"/>
                <w:szCs w:val="20"/>
                <w:color w:val="auto"/>
              </w:rPr>
            </w:pPr>
            <w:r>
              <w:rPr>
                <w:rFonts w:ascii="Arial" w:cs="Arial" w:eastAsia="Arial" w:hAnsi="Arial"/>
                <w:sz w:val="18"/>
                <w:szCs w:val="18"/>
                <w:color w:val="auto"/>
              </w:rPr>
              <w:t>to be so Registered</w:t>
            </w:r>
          </w:p>
        </w:tc>
        <w:tc>
          <w:tcPr>
            <w:tcW w:w="4020" w:type="dxa"/>
            <w:vAlign w:val="bottom"/>
            <w:gridSpan w:val="3"/>
          </w:tcPr>
          <w:p>
            <w:pPr>
              <w:jc w:val="center"/>
              <w:ind w:left="1132"/>
              <w:spacing w:after="0" w:line="184" w:lineRule="exact"/>
              <w:rPr>
                <w:sz w:val="20"/>
                <w:szCs w:val="20"/>
                <w:color w:val="auto"/>
              </w:rPr>
            </w:pPr>
            <w:r>
              <w:rPr>
                <w:rFonts w:ascii="Arial" w:cs="Arial" w:eastAsia="Arial" w:hAnsi="Arial"/>
                <w:sz w:val="18"/>
                <w:szCs w:val="18"/>
                <w:color w:val="auto"/>
                <w:w w:val="86"/>
              </w:rPr>
              <w:t>Each Class is to be Registered</w:t>
            </w:r>
          </w:p>
        </w:tc>
        <w:tc>
          <w:tcPr>
            <w:tcW w:w="1360" w:type="dxa"/>
            <w:vAlign w:val="bottom"/>
          </w:tcPr>
          <w:p>
            <w:pPr>
              <w:spacing w:after="0"/>
              <w:rPr>
                <w:sz w:val="15"/>
                <w:szCs w:val="15"/>
                <w:color w:val="auto"/>
              </w:rPr>
            </w:pPr>
          </w:p>
        </w:tc>
      </w:tr>
      <w:tr>
        <w:trPr>
          <w:trHeight w:val="464"/>
        </w:trPr>
        <w:tc>
          <w:tcPr>
            <w:tcW w:w="2220" w:type="dxa"/>
            <w:vAlign w:val="bottom"/>
            <w:gridSpan w:val="2"/>
          </w:tcPr>
          <w:p>
            <w:pPr>
              <w:spacing w:after="0"/>
              <w:rPr>
                <w:sz w:val="20"/>
                <w:szCs w:val="20"/>
                <w:color w:val="auto"/>
              </w:rPr>
            </w:pPr>
            <w:r>
              <w:rPr>
                <w:rFonts w:ascii="Arial" w:cs="Arial" w:eastAsia="Arial" w:hAnsi="Arial"/>
                <w:sz w:val="18"/>
                <w:szCs w:val="18"/>
                <w:color w:val="auto"/>
              </w:rPr>
              <w:t>5.00% Notes Due 2061</w:t>
            </w:r>
          </w:p>
        </w:tc>
        <w:tc>
          <w:tcPr>
            <w:tcW w:w="1340" w:type="dxa"/>
            <w:vAlign w:val="bottom"/>
            <w:tcBorders>
              <w:top w:val="single" w:sz="8" w:color="auto"/>
            </w:tcBorders>
          </w:tcPr>
          <w:p>
            <w:pPr>
              <w:spacing w:after="0"/>
              <w:rPr>
                <w:sz w:val="24"/>
                <w:szCs w:val="24"/>
                <w:color w:val="auto"/>
              </w:rPr>
            </w:pPr>
          </w:p>
        </w:tc>
        <w:tc>
          <w:tcPr>
            <w:tcW w:w="2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New York Stock Exchange</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78"/>
        </w:trPr>
        <w:tc>
          <w:tcPr>
            <w:tcW w:w="6040" w:type="dxa"/>
            <w:vAlign w:val="bottom"/>
            <w:gridSpan w:val="4"/>
          </w:tcPr>
          <w:p>
            <w:pPr>
              <w:spacing w:after="0"/>
              <w:rPr>
                <w:sz w:val="20"/>
                <w:szCs w:val="20"/>
                <w:color w:val="auto"/>
              </w:rPr>
            </w:pPr>
            <w:r>
              <w:rPr>
                <w:rFonts w:ascii="Arial" w:cs="Arial" w:eastAsia="Arial" w:hAnsi="Arial"/>
                <w:sz w:val="18"/>
                <w:szCs w:val="18"/>
                <w:color w:val="auto"/>
              </w:rPr>
              <w:t>Securities to be registered pursuant to Section 12(g) of the Act:</w:t>
            </w:r>
          </w:p>
        </w:tc>
        <w:tc>
          <w:tcPr>
            <w:tcW w:w="15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20"/>
        </w:trPr>
        <w:tc>
          <w:tcPr>
            <w:tcW w:w="22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None</w:t>
            </w:r>
          </w:p>
        </w:tc>
        <w:tc>
          <w:tcPr>
            <w:tcW w:w="15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r>
        <w:trPr>
          <w:trHeight w:val="217"/>
        </w:trPr>
        <w:tc>
          <w:tcPr>
            <w:tcW w:w="2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80" w:type="dxa"/>
            <w:vAlign w:val="bottom"/>
          </w:tcPr>
          <w:p>
            <w:pPr>
              <w:ind w:left="40"/>
              <w:spacing w:after="0"/>
              <w:rPr>
                <w:sz w:val="20"/>
                <w:szCs w:val="20"/>
                <w:color w:val="auto"/>
              </w:rPr>
            </w:pPr>
            <w:r>
              <w:rPr>
                <w:rFonts w:ascii="Arial" w:cs="Arial" w:eastAsia="Arial" w:hAnsi="Arial"/>
                <w:sz w:val="18"/>
                <w:szCs w:val="18"/>
                <w:color w:val="auto"/>
              </w:rPr>
              <w:t>(Title of Class)</w:t>
            </w:r>
          </w:p>
        </w:tc>
        <w:tc>
          <w:tcPr>
            <w:tcW w:w="15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44"/>
        </w:trPr>
        <w:tc>
          <w:tcPr>
            <w:tcW w:w="22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41"/>
        </w:trPr>
        <w:tc>
          <w:tcPr>
            <w:tcW w:w="220" w:type="dxa"/>
            <w:vAlign w:val="bottom"/>
            <w:tcBorders>
              <w:bottom w:val="single" w:sz="8" w:color="auto"/>
            </w:tcBorders>
          </w:tcPr>
          <w:p>
            <w:pPr>
              <w:spacing w:after="0"/>
              <w:rPr>
                <w:sz w:val="3"/>
                <w:szCs w:val="3"/>
                <w:color w:val="auto"/>
              </w:rPr>
            </w:pPr>
          </w:p>
        </w:tc>
        <w:tc>
          <w:tcPr>
            <w:tcW w:w="20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bl>
    <w:p>
      <w:pPr>
        <w:sectPr>
          <w:pgSz w:w="11900" w:h="16838" w:orient="portrait"/>
          <w:cols w:equalWidth="0" w:num="1">
            <w:col w:w="11420"/>
          </w:cols>
          <w:pgMar w:left="240" w:top="503" w:right="239" w:bottom="1440" w:gutter="0" w:footer="0" w:header="0"/>
          <w:type w:val="continuous"/>
        </w:sectPr>
      </w:pPr>
    </w:p>
    <w:bookmarkStart w:id="1" w:name="page2"/>
    <w:bookmarkEnd w:id="1"/>
    <w:p>
      <w:pPr>
        <w:ind w:left="3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w:t>
      </w:r>
    </w:p>
    <w:p>
      <w:pPr>
        <w:spacing w:after="0" w:line="177" w:lineRule="exact"/>
        <w:rPr>
          <w:sz w:val="20"/>
          <w:szCs w:val="20"/>
          <w:color w:val="auto"/>
        </w:rPr>
      </w:pPr>
    </w:p>
    <w:p>
      <w:pPr>
        <w:ind w:left="240"/>
        <w:spacing w:after="0"/>
        <w:tabs>
          <w:tab w:leader="none" w:pos="1100" w:val="left"/>
        </w:tabs>
        <w:rPr>
          <w:sz w:val="20"/>
          <w:szCs w:val="20"/>
          <w:color w:val="auto"/>
        </w:rPr>
      </w:pPr>
      <w:r>
        <w:rPr>
          <w:rFonts w:ascii="Arial" w:cs="Arial" w:eastAsia="Arial" w:hAnsi="Arial"/>
          <w:sz w:val="18"/>
          <w:szCs w:val="18"/>
          <w:i w:val="1"/>
          <w:iCs w:val="1"/>
          <w:color w:val="auto"/>
        </w:rPr>
        <w:t>Item 1.</w:t>
      </w:r>
      <w:r>
        <w:rPr>
          <w:sz w:val="20"/>
          <w:szCs w:val="20"/>
          <w:color w:val="auto"/>
        </w:rPr>
        <w:tab/>
      </w:r>
      <w:r>
        <w:rPr>
          <w:rFonts w:ascii="Arial" w:cs="Arial" w:eastAsia="Arial" w:hAnsi="Arial"/>
          <w:sz w:val="15"/>
          <w:szCs w:val="15"/>
          <w:i w:val="1"/>
          <w:iCs w:val="1"/>
          <w:color w:val="auto"/>
        </w:rPr>
        <w:t>Description of Registrant’s Securities to be Registered</w:t>
      </w:r>
    </w:p>
    <w:p>
      <w:pPr>
        <w:spacing w:after="0" w:line="171" w:lineRule="exact"/>
        <w:rPr>
          <w:sz w:val="20"/>
          <w:szCs w:val="20"/>
          <w:color w:val="auto"/>
        </w:rPr>
      </w:pPr>
    </w:p>
    <w:p>
      <w:pPr>
        <w:ind w:right="360" w:firstLine="685"/>
        <w:spacing w:after="0" w:line="255" w:lineRule="auto"/>
        <w:rPr>
          <w:sz w:val="20"/>
          <w:szCs w:val="20"/>
          <w:color w:val="auto"/>
        </w:rPr>
      </w:pPr>
      <w:r>
        <w:rPr>
          <w:rFonts w:ascii="Arial" w:cs="Arial" w:eastAsia="Arial" w:hAnsi="Arial"/>
          <w:sz w:val="18"/>
          <w:szCs w:val="18"/>
          <w:color w:val="auto"/>
        </w:rPr>
        <w:t>The description of the 5.00% Notes Due 2061 and the guarantees thereof presented under the caption “Description of the Notes” in the Prospectus Supplement dated November 29, 2012 and filed with the Securities and Exchange Commission on November 30, 2012 and under the caption “Description of Debt Securities and Cable Guarantees” in the Prospectus contained in the Registrants’ effective Registration Statement on Form S-3 (Registration No. 333-179678) as amended, which Registration Statement was filed with the Securities and Exchange Commission on February 24, 2012, is incorporated herein by reference.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20" w:type="dxa"/>
            <w:vAlign w:val="bottom"/>
            <w:gridSpan w:val="2"/>
          </w:tcPr>
          <w:p>
            <w:pPr>
              <w:ind w:left="240"/>
              <w:spacing w:after="0"/>
              <w:rPr>
                <w:sz w:val="20"/>
                <w:szCs w:val="20"/>
                <w:color w:val="auto"/>
              </w:rPr>
            </w:pPr>
            <w:r>
              <w:rPr>
                <w:rFonts w:ascii="Arial" w:cs="Arial" w:eastAsia="Arial" w:hAnsi="Arial"/>
                <w:sz w:val="18"/>
                <w:szCs w:val="18"/>
                <w:i w:val="1"/>
                <w:iCs w:val="1"/>
                <w:color w:val="auto"/>
              </w:rPr>
              <w:t>Item 2.</w:t>
            </w:r>
          </w:p>
        </w:tc>
        <w:tc>
          <w:tcPr>
            <w:tcW w:w="10480" w:type="dxa"/>
            <w:vAlign w:val="bottom"/>
            <w:gridSpan w:val="3"/>
          </w:tcPr>
          <w:p>
            <w:pPr>
              <w:jc w:val="right"/>
              <w:ind w:right="9700"/>
              <w:spacing w:after="0"/>
              <w:rPr>
                <w:sz w:val="20"/>
                <w:szCs w:val="20"/>
                <w:color w:val="auto"/>
              </w:rPr>
            </w:pPr>
            <w:r>
              <w:rPr>
                <w:rFonts w:ascii="Arial" w:cs="Arial" w:eastAsia="Arial" w:hAnsi="Arial"/>
                <w:sz w:val="18"/>
                <w:szCs w:val="18"/>
                <w:i w:val="1"/>
                <w:iCs w:val="1"/>
                <w:color w:val="auto"/>
              </w:rPr>
              <w:t>Exhibits</w:t>
            </w:r>
          </w:p>
        </w:tc>
      </w:tr>
      <w:tr>
        <w:trPr>
          <w:trHeight w:val="406"/>
        </w:trPr>
        <w:tc>
          <w:tcPr>
            <w:tcW w:w="920" w:type="dxa"/>
            <w:vAlign w:val="bottom"/>
            <w:gridSpan w:val="2"/>
          </w:tcPr>
          <w:p>
            <w:pPr>
              <w:ind w:left="40"/>
              <w:spacing w:after="0"/>
              <w:rPr>
                <w:sz w:val="20"/>
                <w:szCs w:val="20"/>
                <w:color w:val="auto"/>
              </w:rPr>
            </w:pPr>
            <w:r>
              <w:rPr>
                <w:rFonts w:ascii="Arial" w:cs="Arial" w:eastAsia="Arial" w:hAnsi="Arial"/>
                <w:sz w:val="18"/>
                <w:szCs w:val="18"/>
                <w:b w:val="1"/>
                <w:bCs w:val="1"/>
                <w:color w:val="auto"/>
              </w:rPr>
              <w:t>Exhibit</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20" w:type="dxa"/>
            <w:vAlign w:val="bottom"/>
          </w:tcPr>
          <w:p>
            <w:pPr>
              <w:spacing w:after="0"/>
              <w:rPr>
                <w:sz w:val="24"/>
                <w:szCs w:val="24"/>
                <w:color w:val="auto"/>
              </w:rPr>
            </w:pPr>
          </w:p>
        </w:tc>
      </w:tr>
      <w:tr>
        <w:trPr>
          <w:trHeight w:val="229"/>
        </w:trPr>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Number</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Description</w:t>
            </w:r>
          </w:p>
        </w:tc>
        <w:tc>
          <w:tcPr>
            <w:tcW w:w="9020" w:type="dxa"/>
            <w:vAlign w:val="bottom"/>
          </w:tcPr>
          <w:p>
            <w:pPr>
              <w:spacing w:after="0"/>
              <w:rPr>
                <w:sz w:val="19"/>
                <w:szCs w:val="19"/>
                <w:color w:val="auto"/>
              </w:rPr>
            </w:pP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8"/>
              </w:rPr>
              <w:t>Indenture dated as of January 7, 2003 (the “</w:t>
            </w:r>
            <w:r>
              <w:rPr>
                <w:rFonts w:ascii="Arial" w:cs="Arial" w:eastAsia="Arial" w:hAnsi="Arial"/>
                <w:sz w:val="18"/>
                <w:szCs w:val="18"/>
                <w:b w:val="1"/>
                <w:bCs w:val="1"/>
                <w:color w:val="auto"/>
                <w:w w:val="88"/>
              </w:rPr>
              <w:t>Indenture</w:t>
            </w:r>
            <w:r>
              <w:rPr>
                <w:rFonts w:ascii="Arial" w:cs="Arial" w:eastAsia="Arial" w:hAnsi="Arial"/>
                <w:sz w:val="18"/>
                <w:szCs w:val="18"/>
                <w:color w:val="auto"/>
                <w:w w:val="88"/>
              </w:rPr>
              <w:t>”) among Comcast Corporation (the “</w:t>
            </w:r>
            <w:r>
              <w:rPr>
                <w:rFonts w:ascii="Arial" w:cs="Arial" w:eastAsia="Arial" w:hAnsi="Arial"/>
                <w:sz w:val="18"/>
                <w:szCs w:val="18"/>
                <w:b w:val="1"/>
                <w:bCs w:val="1"/>
                <w:color w:val="auto"/>
                <w:w w:val="88"/>
              </w:rPr>
              <w:t>Company</w:t>
            </w:r>
            <w:r>
              <w:rPr>
                <w:rFonts w:ascii="Arial" w:cs="Arial" w:eastAsia="Arial" w:hAnsi="Arial"/>
                <w:sz w:val="18"/>
                <w:szCs w:val="18"/>
                <w:color w:val="auto"/>
                <w:w w:val="88"/>
              </w:rPr>
              <w:t>”), the cable guarantors named therein</w:t>
            </w:r>
          </w:p>
        </w:tc>
      </w:tr>
      <w:tr>
        <w:trPr>
          <w:trHeight w:val="222"/>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0"/>
              </w:rPr>
              <w:t>and The Bank of New York Mellon (formerly known as The Bank of New York), as trustee (the “</w:t>
            </w:r>
            <w:r>
              <w:rPr>
                <w:rFonts w:ascii="Arial" w:cs="Arial" w:eastAsia="Arial" w:hAnsi="Arial"/>
                <w:sz w:val="18"/>
                <w:szCs w:val="18"/>
                <w:b w:val="1"/>
                <w:bCs w:val="1"/>
                <w:color w:val="auto"/>
                <w:w w:val="90"/>
              </w:rPr>
              <w:t>Trustee</w:t>
            </w:r>
            <w:r>
              <w:rPr>
                <w:rFonts w:ascii="Arial" w:cs="Arial" w:eastAsia="Arial" w:hAnsi="Arial"/>
                <w:sz w:val="18"/>
                <w:szCs w:val="18"/>
                <w:color w:val="auto"/>
                <w:w w:val="90"/>
              </w:rPr>
              <w:t>”), relating to the Registrant’s debt</w:t>
            </w:r>
          </w:p>
        </w:tc>
      </w:tr>
      <w:tr>
        <w:trPr>
          <w:trHeight w:val="216"/>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3"/>
              </w:rPr>
              <w:t>securities (incorporated by reference to the Annual Report on Form 10-K, File No. 001-32871, filed with the Securities and Exchange</w:t>
            </w:r>
          </w:p>
        </w:tc>
      </w:tr>
      <w:tr>
        <w:trPr>
          <w:trHeight w:val="222"/>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Commission on February 20, 2009).</w:t>
            </w: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8"/>
              </w:rPr>
              <w:t>First Supplemental Indenture dated as of March 25, 2003 by and among the Company, the cable guarantors named therein and the Trustee</w:t>
            </w:r>
          </w:p>
        </w:tc>
      </w:tr>
      <w:tr>
        <w:trPr>
          <w:trHeight w:val="216"/>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9"/>
              </w:rPr>
              <w:t>(incorporated by reference to the Annual Report on Form 10-K, File No. 001-32871, filed with the Securities and Exchange Commission on</w:t>
            </w:r>
          </w:p>
        </w:tc>
      </w:tr>
      <w:tr>
        <w:trPr>
          <w:trHeight w:val="222"/>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February 20, 2009).</w:t>
            </w:r>
          </w:p>
        </w:tc>
      </w:tr>
      <w:tr>
        <w:trPr>
          <w:trHeight w:val="426"/>
        </w:trPr>
        <w:tc>
          <w:tcPr>
            <w:tcW w:w="640" w:type="dxa"/>
            <w:vAlign w:val="bottom"/>
          </w:tcPr>
          <w:p>
            <w:pPr>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91"/>
              </w:rPr>
              <w:t>Second Supplemental Indenture, dated as of August 31, 2009 by and among the Company, the cable guarantors named therein and the</w:t>
            </w:r>
          </w:p>
        </w:tc>
      </w:tr>
      <w:tr>
        <w:trPr>
          <w:trHeight w:val="216"/>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w w:val="89"/>
              </w:rPr>
              <w:t>Trustee (incorporated by reference to the Current Report on Form 8-K filed with the Securities and Exchange Commission on September 2,</w:t>
            </w:r>
          </w:p>
        </w:tc>
      </w:tr>
      <w:tr>
        <w:trPr>
          <w:trHeight w:val="222"/>
        </w:trPr>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60" w:type="dxa"/>
            <w:vAlign w:val="bottom"/>
            <w:gridSpan w:val="2"/>
          </w:tcPr>
          <w:p>
            <w:pPr>
              <w:ind w:left="580"/>
              <w:spacing w:after="0"/>
              <w:rPr>
                <w:sz w:val="20"/>
                <w:szCs w:val="20"/>
                <w:color w:val="auto"/>
              </w:rPr>
            </w:pPr>
            <w:r>
              <w:rPr>
                <w:rFonts w:ascii="Arial" w:cs="Arial" w:eastAsia="Arial" w:hAnsi="Arial"/>
                <w:sz w:val="18"/>
                <w:szCs w:val="18"/>
                <w:color w:val="auto"/>
              </w:rPr>
              <w:t>2009).</w:t>
            </w:r>
          </w:p>
        </w:tc>
        <w:tc>
          <w:tcPr>
            <w:tcW w:w="9020" w:type="dxa"/>
            <w:vAlign w:val="bottom"/>
          </w:tcPr>
          <w:p>
            <w:pPr>
              <w:spacing w:after="0"/>
              <w:rPr>
                <w:sz w:val="19"/>
                <w:szCs w:val="19"/>
                <w:color w:val="auto"/>
              </w:rPr>
            </w:pP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Form of Officers’ Certificate setting forth the terms of the Notes.</w:t>
            </w:r>
          </w:p>
        </w:tc>
      </w:tr>
      <w:tr>
        <w:trPr>
          <w:trHeight w:val="404"/>
        </w:trPr>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80" w:type="dxa"/>
            <w:vAlign w:val="bottom"/>
            <w:gridSpan w:val="3"/>
          </w:tcPr>
          <w:p>
            <w:pPr>
              <w:jc w:val="right"/>
              <w:ind w:right="5640"/>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1400"/>
          </w:cols>
          <w:pgMar w:left="240" w:top="274" w:right="25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Section 12 of the Securities Exchange Act of 1934, the Registrants have duly caused this registration statement to be signed on their behalf by the undersigned, thereto duly authorized.</w:t>
      </w:r>
    </w:p>
    <w:p>
      <w:pPr>
        <w:spacing w:after="0" w:line="172"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Comcast Cable Communications, LLC</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Comcast Cable Holdings, LLC</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Comcast MO Group, Inc.</w:t>
      </w:r>
    </w:p>
    <w:p>
      <w:pPr>
        <w:spacing w:after="0" w:line="9" w:lineRule="exact"/>
        <w:rPr>
          <w:sz w:val="20"/>
          <w:szCs w:val="20"/>
          <w:color w:val="auto"/>
        </w:rPr>
      </w:pPr>
    </w:p>
    <w:p>
      <w:pPr>
        <w:ind w:left="6640"/>
        <w:spacing w:after="0"/>
        <w:rPr>
          <w:sz w:val="20"/>
          <w:szCs w:val="20"/>
          <w:color w:val="auto"/>
        </w:rPr>
      </w:pPr>
      <w:r>
        <w:rPr>
          <w:rFonts w:ascii="Arial" w:cs="Arial" w:eastAsia="Arial" w:hAnsi="Arial"/>
          <w:sz w:val="18"/>
          <w:szCs w:val="18"/>
          <w:color w:val="auto"/>
        </w:rPr>
        <w:t>Comcast MO of Delaware, LLC</w:t>
      </w:r>
    </w:p>
    <w:p>
      <w:pPr>
        <w:spacing w:after="0" w:line="200" w:lineRule="exact"/>
        <w:rPr>
          <w:sz w:val="20"/>
          <w:szCs w:val="20"/>
          <w:color w:val="auto"/>
        </w:rPr>
      </w:pPr>
    </w:p>
    <w:p>
      <w:pPr>
        <w:spacing w:after="0" w:line="235" w:lineRule="exact"/>
        <w:rPr>
          <w:sz w:val="20"/>
          <w:szCs w:val="20"/>
          <w:color w:val="auto"/>
        </w:rPr>
      </w:pPr>
    </w:p>
    <w:p>
      <w:pPr>
        <w:ind w:left="664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10795</wp:posOffset>
            </wp:positionV>
            <wp:extent cx="27012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7160"/>
        <w:spacing w:after="0"/>
        <w:tabs>
          <w:tab w:leader="none" w:pos="7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 General Counsel and</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30, 2012</w:t>
      </w:r>
    </w:p>
    <w:p>
      <w:pPr>
        <w:spacing w:after="0" w:line="145"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160"/>
          </w:cols>
          <w:pgMar w:left="240" w:top="274" w:right="4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EXHIBIT 4.4</w:t>
      </w:r>
    </w:p>
    <w:p>
      <w:pPr>
        <w:spacing w:after="0" w:line="16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COMCAST CORPORATION</w:t>
      </w:r>
    </w:p>
    <w:p>
      <w:pPr>
        <w:spacing w:after="0" w:line="171" w:lineRule="exact"/>
        <w:rPr>
          <w:sz w:val="20"/>
          <w:szCs w:val="20"/>
          <w:color w:val="auto"/>
        </w:rPr>
      </w:pPr>
    </w:p>
    <w:p>
      <w:pPr>
        <w:ind w:left="4640"/>
        <w:spacing w:after="0"/>
        <w:rPr>
          <w:sz w:val="20"/>
          <w:szCs w:val="20"/>
          <w:color w:val="auto"/>
        </w:rPr>
      </w:pPr>
      <w:r>
        <w:rPr>
          <w:rFonts w:ascii="Arial" w:cs="Arial" w:eastAsia="Arial" w:hAnsi="Arial"/>
          <w:sz w:val="18"/>
          <w:szCs w:val="18"/>
          <w:b w:val="1"/>
          <w:bCs w:val="1"/>
          <w:u w:val="single" w:color="auto"/>
          <w:color w:val="auto"/>
        </w:rPr>
        <w:t>Form of Officers’ Certificate</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Pursuant to Section 2.03 of the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Comcast Corporation (the “</w:t>
      </w:r>
      <w:r>
        <w:rPr>
          <w:rFonts w:ascii="Arial" w:cs="Arial" w:eastAsia="Arial" w:hAnsi="Arial"/>
          <w:sz w:val="16"/>
          <w:szCs w:val="16"/>
          <w:b w:val="1"/>
          <w:bCs w:val="1"/>
          <w:color w:val="auto"/>
        </w:rPr>
        <w:t>Company</w:t>
      </w:r>
      <w:r>
        <w:rPr>
          <w:rFonts w:ascii="Arial" w:cs="Arial" w:eastAsia="Arial" w:hAnsi="Arial"/>
          <w:sz w:val="16"/>
          <w:szCs w:val="16"/>
          <w:color w:val="auto"/>
        </w:rPr>
        <w:t>”), the cable guarantors named therein and The Bank of New York Mellon, formerly known as The Bank of New York,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supplemented by the First Supplemental Indenture dated as of March 25, 2003 by and among the Company, the cable guarantors named therein and the Trustee, and as further supplemented by the Second Supplemental Indenture dated as of August 31, 2009 by and among the Company, the cable guarantors named therein and the Trustee, and guaranteed on an unsecured and unsubordinated basis by Comcast Cable Communications, LLC, Comcast Cable Holdings, LLC, Comcast MO Group, Inc., and Comcast MO of Delaware, LLC, the undersigned officers of the Company do hereby certify, in connection with the issuance of the Company’s $250,000,000 aggregate principal amount of 5.00% Notes Due 2061 (the “</w:t>
      </w:r>
      <w:r>
        <w:rPr>
          <w:rFonts w:ascii="Arial" w:cs="Arial" w:eastAsia="Arial" w:hAnsi="Arial"/>
          <w:sz w:val="16"/>
          <w:szCs w:val="16"/>
          <w:b w:val="1"/>
          <w:bCs w:val="1"/>
          <w:color w:val="auto"/>
        </w:rPr>
        <w:t>Notes</w:t>
      </w:r>
      <w:r>
        <w:rPr>
          <w:rFonts w:ascii="Arial" w:cs="Arial" w:eastAsia="Arial" w:hAnsi="Arial"/>
          <w:sz w:val="16"/>
          <w:szCs w:val="16"/>
          <w:color w:val="auto"/>
        </w:rPr>
        <w:t>”), that the terms of the Notes are as follows:</w:t>
      </w:r>
    </w:p>
    <w:p>
      <w:pPr>
        <w:sectPr>
          <w:pgSz w:w="11900" w:h="16838" w:orient="portrait"/>
          <w:cols w:equalWidth="0" w:num="1">
            <w:col w:w="11420"/>
          </w:cols>
          <w:pgMar w:left="240" w:top="131" w:right="239" w:bottom="1440" w:gutter="0" w:footer="0" w:header="0"/>
        </w:sectPr>
      </w:pP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Title: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5.00% Notes Due 2061</w:t>
      </w:r>
    </w:p>
    <w:p>
      <w:pPr>
        <w:spacing w:after="0" w:line="151" w:lineRule="exact"/>
        <w:rPr>
          <w:sz w:val="20"/>
          <w:szCs w:val="20"/>
          <w:color w:val="auto"/>
        </w:rPr>
      </w:pPr>
    </w:p>
    <w:p>
      <w:pPr>
        <w:sectPr>
          <w:pgSz w:w="11900" w:h="16838" w:orient="portrait"/>
          <w:cols w:equalWidth="0" w:num="2">
            <w:col w:w="2820" w:space="720"/>
            <w:col w:w="7880"/>
          </w:cols>
          <w:pgMar w:left="240" w:top="13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$250,000,000 (or $287,500,000 if the underwriters exercise their over-allotment option in full)</w:t>
      </w:r>
    </w:p>
    <w:p>
      <w:pPr>
        <w:spacing w:after="0" w:line="140" w:lineRule="exact"/>
        <w:rPr>
          <w:sz w:val="20"/>
          <w:szCs w:val="20"/>
          <w:color w:val="auto"/>
        </w:rPr>
      </w:pPr>
    </w:p>
    <w:p>
      <w:pPr>
        <w:sectPr>
          <w:pgSz w:w="11900" w:h="16838" w:orient="portrait"/>
          <w:cols w:equalWidth="0" w:num="2">
            <w:col w:w="2920" w:space="620"/>
            <w:col w:w="7880"/>
          </w:cols>
          <w:pgMar w:left="240" w:top="13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December 15, 2061</w:t>
      </w:r>
    </w:p>
    <w:p>
      <w:pPr>
        <w:spacing w:after="0" w:line="151" w:lineRule="exact"/>
        <w:rPr>
          <w:sz w:val="20"/>
          <w:szCs w:val="20"/>
          <w:color w:val="auto"/>
        </w:rPr>
      </w:pPr>
    </w:p>
    <w:p>
      <w:pPr>
        <w:sectPr>
          <w:pgSz w:w="11900" w:h="16838" w:orient="portrait"/>
          <w:cols w:equalWidth="0" w:num="2">
            <w:col w:w="2820" w:space="720"/>
            <w:col w:w="7880"/>
          </w:cols>
          <w:pgMar w:left="240" w:top="131" w:right="239" w:bottom="1440" w:gutter="0" w:footer="0" w:header="0"/>
          <w:type w:val="continuous"/>
        </w:sectPr>
      </w:pPr>
    </w:p>
    <w:p>
      <w:pPr>
        <w:spacing w:after="0"/>
        <w:rPr>
          <w:sz w:val="20"/>
          <w:szCs w:val="20"/>
          <w:color w:val="auto"/>
        </w:rPr>
      </w:pPr>
      <w:r>
        <w:rPr>
          <w:rFonts w:ascii="Arial" w:cs="Arial" w:eastAsia="Arial" w:hAnsi="Arial"/>
          <w:sz w:val="16"/>
          <w:szCs w:val="16"/>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5.00%</w:t>
      </w:r>
    </w:p>
    <w:p>
      <w:pPr>
        <w:spacing w:after="0" w:line="140" w:lineRule="exact"/>
        <w:rPr>
          <w:sz w:val="20"/>
          <w:szCs w:val="20"/>
          <w:color w:val="auto"/>
        </w:rPr>
      </w:pPr>
    </w:p>
    <w:p>
      <w:pPr>
        <w:sectPr>
          <w:pgSz w:w="11900" w:h="16838" w:orient="portrait"/>
          <w:cols w:equalWidth="0" w:num="2">
            <w:col w:w="2820" w:space="720"/>
            <w:col w:w="7880"/>
          </w:cols>
          <w:pgMar w:left="240" w:top="131" w:right="239" w:bottom="1440" w:gutter="0" w:footer="0" w:header="0"/>
          <w:type w:val="continuous"/>
        </w:sectPr>
      </w:pPr>
    </w:p>
    <w:p>
      <w:pPr>
        <w:spacing w:after="0"/>
        <w:rPr>
          <w:sz w:val="20"/>
          <w:szCs w:val="20"/>
          <w:color w:val="auto"/>
        </w:rPr>
      </w:pPr>
      <w:r>
        <w:rPr>
          <w:rFonts w:ascii="Arial" w:cs="Arial" w:eastAsia="Arial" w:hAnsi="Arial"/>
          <w:sz w:val="15"/>
          <w:szCs w:val="15"/>
          <w:i w:val="1"/>
          <w:iCs w:val="1"/>
          <w:color w:val="auto"/>
        </w:rPr>
        <w:t>Redemption:</w:t>
      </w:r>
    </w:p>
    <w:p>
      <w:pPr>
        <w:spacing w:after="0" w:line="20" w:lineRule="exact"/>
        <w:rPr>
          <w:sz w:val="20"/>
          <w:szCs w:val="20"/>
          <w:color w:val="auto"/>
        </w:rPr>
      </w:pPr>
      <w:r>
        <w:rPr>
          <w:sz w:val="20"/>
          <w:szCs w:val="20"/>
          <w:color w:val="auto"/>
        </w:rPr>
        <w:br w:type="column"/>
      </w:r>
    </w:p>
    <w:p>
      <w:pPr>
        <w:ind w:right="20"/>
        <w:spacing w:after="0" w:line="294" w:lineRule="auto"/>
        <w:rPr>
          <w:sz w:val="20"/>
          <w:szCs w:val="20"/>
          <w:color w:val="auto"/>
        </w:rPr>
      </w:pPr>
      <w:r>
        <w:rPr>
          <w:rFonts w:ascii="Arial" w:cs="Arial" w:eastAsia="Arial" w:hAnsi="Arial"/>
          <w:sz w:val="16"/>
          <w:szCs w:val="16"/>
          <w:color w:val="auto"/>
        </w:rPr>
        <w:t>The Company may at its option redeem the Notes in whole or in part, at any time or from time to time on or after December 15, 2017 and prior to their maturity, on at least 30 days, but not more than 60 days, prior notice mailed to the registered address of each holder of the Notes, at a redemption price equal to 100% of the principal amount of the redeemed Notes plus accrued and unpaid interest thereon to the date of redemption, and as further described in the Prospectus Supplement dated November 29, 2012.</w:t>
      </w:r>
    </w:p>
    <w:p>
      <w:pPr>
        <w:sectPr>
          <w:pgSz w:w="11900" w:h="16838" w:orient="portrait"/>
          <w:cols w:equalWidth="0" w:num="2">
            <w:col w:w="2820" w:space="720"/>
            <w:col w:w="7880"/>
          </w:cols>
          <w:pgMar w:left="240" w:top="131"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20"/>
                <w:szCs w:val="20"/>
                <w:color w:val="auto"/>
              </w:rPr>
            </w:pPr>
            <w:r>
              <w:rPr>
                <w:rFonts w:ascii="Arial" w:cs="Arial" w:eastAsia="Arial" w:hAnsi="Arial"/>
                <w:sz w:val="18"/>
                <w:szCs w:val="18"/>
                <w:i w:val="1"/>
                <w:iCs w:val="1"/>
                <w:color w:val="auto"/>
              </w:rPr>
              <w:t>Additional Issuances:</w:t>
            </w:r>
          </w:p>
        </w:tc>
        <w:tc>
          <w:tcPr>
            <w:tcW w:w="8860" w:type="dxa"/>
            <w:vAlign w:val="bottom"/>
            <w:gridSpan w:val="3"/>
          </w:tcPr>
          <w:p>
            <w:pPr>
              <w:ind w:left="1000"/>
              <w:spacing w:after="0"/>
              <w:rPr>
                <w:sz w:val="20"/>
                <w:szCs w:val="20"/>
                <w:color w:val="auto"/>
              </w:rPr>
            </w:pPr>
            <w:r>
              <w:rPr>
                <w:rFonts w:ascii="Arial" w:cs="Arial" w:eastAsia="Arial" w:hAnsi="Arial"/>
                <w:sz w:val="18"/>
                <w:szCs w:val="18"/>
                <w:color w:val="auto"/>
                <w:w w:val="90"/>
              </w:rPr>
              <w:t>The Notes need not be issued at the same time and the series may be reopened for issuance of an unlimited</w:t>
            </w:r>
          </w:p>
        </w:tc>
      </w:tr>
      <w:tr>
        <w:trPr>
          <w:trHeight w:val="216"/>
        </w:trPr>
        <w:tc>
          <w:tcPr>
            <w:tcW w:w="2540" w:type="dxa"/>
            <w:vAlign w:val="bottom"/>
          </w:tcPr>
          <w:p>
            <w:pPr>
              <w:spacing w:after="0"/>
              <w:rPr>
                <w:sz w:val="18"/>
                <w:szCs w:val="18"/>
                <w:color w:val="auto"/>
              </w:rPr>
            </w:pPr>
          </w:p>
        </w:tc>
        <w:tc>
          <w:tcPr>
            <w:tcW w:w="8860" w:type="dxa"/>
            <w:vAlign w:val="bottom"/>
            <w:gridSpan w:val="3"/>
          </w:tcPr>
          <w:p>
            <w:pPr>
              <w:ind w:left="1000"/>
              <w:spacing w:after="0"/>
              <w:rPr>
                <w:sz w:val="20"/>
                <w:szCs w:val="20"/>
                <w:color w:val="auto"/>
              </w:rPr>
            </w:pPr>
            <w:r>
              <w:rPr>
                <w:rFonts w:ascii="Arial" w:cs="Arial" w:eastAsia="Arial" w:hAnsi="Arial"/>
                <w:sz w:val="18"/>
                <w:szCs w:val="18"/>
                <w:color w:val="auto"/>
                <w:w w:val="89"/>
              </w:rPr>
              <w:t>principal amount of additional Notes under this series. Additional Notes of this series will be consolidated with,</w:t>
            </w:r>
          </w:p>
        </w:tc>
      </w:tr>
      <w:tr>
        <w:trPr>
          <w:trHeight w:val="216"/>
        </w:trPr>
        <w:tc>
          <w:tcPr>
            <w:tcW w:w="2540" w:type="dxa"/>
            <w:vAlign w:val="bottom"/>
          </w:tcPr>
          <w:p>
            <w:pPr>
              <w:spacing w:after="0"/>
              <w:rPr>
                <w:sz w:val="18"/>
                <w:szCs w:val="18"/>
                <w:color w:val="auto"/>
              </w:rPr>
            </w:pPr>
          </w:p>
        </w:tc>
        <w:tc>
          <w:tcPr>
            <w:tcW w:w="8860" w:type="dxa"/>
            <w:vAlign w:val="bottom"/>
            <w:gridSpan w:val="3"/>
          </w:tcPr>
          <w:p>
            <w:pPr>
              <w:ind w:left="1000"/>
              <w:spacing w:after="0"/>
              <w:rPr>
                <w:sz w:val="20"/>
                <w:szCs w:val="20"/>
                <w:color w:val="auto"/>
              </w:rPr>
            </w:pPr>
            <w:r>
              <w:rPr>
                <w:rFonts w:ascii="Arial" w:cs="Arial" w:eastAsia="Arial" w:hAnsi="Arial"/>
                <w:sz w:val="18"/>
                <w:szCs w:val="18"/>
                <w:color w:val="auto"/>
                <w:w w:val="94"/>
              </w:rPr>
              <w:t>and form a single series with, Notes then outstanding, including for purposes of determining whether the</w:t>
            </w:r>
          </w:p>
        </w:tc>
      </w:tr>
      <w:tr>
        <w:trPr>
          <w:trHeight w:val="216"/>
        </w:trPr>
        <w:tc>
          <w:tcPr>
            <w:tcW w:w="2540" w:type="dxa"/>
            <w:vAlign w:val="bottom"/>
          </w:tcPr>
          <w:p>
            <w:pPr>
              <w:spacing w:after="0"/>
              <w:rPr>
                <w:sz w:val="18"/>
                <w:szCs w:val="18"/>
                <w:color w:val="auto"/>
              </w:rPr>
            </w:pPr>
          </w:p>
        </w:tc>
        <w:tc>
          <w:tcPr>
            <w:tcW w:w="8860" w:type="dxa"/>
            <w:vAlign w:val="bottom"/>
            <w:gridSpan w:val="3"/>
          </w:tcPr>
          <w:p>
            <w:pPr>
              <w:ind w:left="1000"/>
              <w:spacing w:after="0"/>
              <w:rPr>
                <w:sz w:val="20"/>
                <w:szCs w:val="20"/>
                <w:color w:val="auto"/>
              </w:rPr>
            </w:pPr>
            <w:r>
              <w:rPr>
                <w:rFonts w:ascii="Arial" w:cs="Arial" w:eastAsia="Arial" w:hAnsi="Arial"/>
                <w:sz w:val="18"/>
                <w:szCs w:val="18"/>
                <w:color w:val="auto"/>
                <w:w w:val="87"/>
              </w:rPr>
              <w:t>required percentage of the holders of record has given approval or consent to an amendment or waiver or joined</w:t>
            </w:r>
          </w:p>
        </w:tc>
      </w:tr>
      <w:tr>
        <w:trPr>
          <w:trHeight w:val="222"/>
        </w:trPr>
        <w:tc>
          <w:tcPr>
            <w:tcW w:w="2540" w:type="dxa"/>
            <w:vAlign w:val="bottom"/>
          </w:tcPr>
          <w:p>
            <w:pPr>
              <w:spacing w:after="0"/>
              <w:rPr>
                <w:sz w:val="19"/>
                <w:szCs w:val="19"/>
                <w:color w:val="auto"/>
              </w:rPr>
            </w:pPr>
          </w:p>
        </w:tc>
        <w:tc>
          <w:tcPr>
            <w:tcW w:w="8860" w:type="dxa"/>
            <w:vAlign w:val="bottom"/>
            <w:gridSpan w:val="3"/>
          </w:tcPr>
          <w:p>
            <w:pPr>
              <w:ind w:left="1000"/>
              <w:spacing w:after="0"/>
              <w:rPr>
                <w:sz w:val="20"/>
                <w:szCs w:val="20"/>
                <w:color w:val="auto"/>
              </w:rPr>
            </w:pPr>
            <w:r>
              <w:rPr>
                <w:rFonts w:ascii="Arial" w:cs="Arial" w:eastAsia="Arial" w:hAnsi="Arial"/>
                <w:sz w:val="18"/>
                <w:szCs w:val="18"/>
                <w:color w:val="auto"/>
              </w:rPr>
              <w:t>in directing the Trustee to take certain actions on behalf of all holders.</w:t>
            </w:r>
          </w:p>
        </w:tc>
      </w:tr>
      <w:tr>
        <w:trPr>
          <w:trHeight w:val="324"/>
        </w:trPr>
        <w:tc>
          <w:tcPr>
            <w:tcW w:w="2540" w:type="dxa"/>
            <w:vAlign w:val="bottom"/>
          </w:tcPr>
          <w:p>
            <w:pPr>
              <w:spacing w:after="0"/>
              <w:rPr>
                <w:sz w:val="20"/>
                <w:szCs w:val="20"/>
                <w:color w:val="auto"/>
              </w:rPr>
            </w:pPr>
            <w:r>
              <w:rPr>
                <w:rFonts w:ascii="Arial" w:cs="Arial" w:eastAsia="Arial" w:hAnsi="Arial"/>
                <w:sz w:val="18"/>
                <w:szCs w:val="18"/>
                <w:i w:val="1"/>
                <w:iCs w:val="1"/>
                <w:color w:val="auto"/>
              </w:rPr>
              <w:t>Conversion:</w:t>
            </w:r>
          </w:p>
        </w:tc>
        <w:tc>
          <w:tcPr>
            <w:tcW w:w="8860" w:type="dxa"/>
            <w:vAlign w:val="bottom"/>
            <w:gridSpan w:val="3"/>
          </w:tcPr>
          <w:p>
            <w:pPr>
              <w:ind w:left="1000"/>
              <w:spacing w:after="0"/>
              <w:rPr>
                <w:sz w:val="20"/>
                <w:szCs w:val="20"/>
                <w:color w:val="auto"/>
              </w:rPr>
            </w:pPr>
            <w:r>
              <w:rPr>
                <w:rFonts w:ascii="Arial" w:cs="Arial" w:eastAsia="Arial" w:hAnsi="Arial"/>
                <w:sz w:val="18"/>
                <w:szCs w:val="18"/>
                <w:color w:val="auto"/>
              </w:rPr>
              <w:t>None</w:t>
            </w:r>
          </w:p>
        </w:tc>
      </w:tr>
      <w:tr>
        <w:trPr>
          <w:trHeight w:val="324"/>
        </w:trPr>
        <w:tc>
          <w:tcPr>
            <w:tcW w:w="2540" w:type="dxa"/>
            <w:vAlign w:val="bottom"/>
          </w:tcPr>
          <w:p>
            <w:pPr>
              <w:spacing w:after="0"/>
              <w:rPr>
                <w:sz w:val="20"/>
                <w:szCs w:val="20"/>
                <w:color w:val="auto"/>
              </w:rPr>
            </w:pPr>
            <w:r>
              <w:rPr>
                <w:rFonts w:ascii="Arial" w:cs="Arial" w:eastAsia="Arial" w:hAnsi="Arial"/>
                <w:sz w:val="18"/>
                <w:szCs w:val="18"/>
                <w:i w:val="1"/>
                <w:iCs w:val="1"/>
                <w:color w:val="auto"/>
              </w:rPr>
              <w:t>Sinking Fund:</w:t>
            </w:r>
          </w:p>
        </w:tc>
        <w:tc>
          <w:tcPr>
            <w:tcW w:w="8860" w:type="dxa"/>
            <w:vAlign w:val="bottom"/>
            <w:gridSpan w:val="3"/>
          </w:tcPr>
          <w:p>
            <w:pPr>
              <w:ind w:left="1000"/>
              <w:spacing w:after="0"/>
              <w:rPr>
                <w:sz w:val="20"/>
                <w:szCs w:val="20"/>
                <w:color w:val="auto"/>
              </w:rPr>
            </w:pPr>
            <w:r>
              <w:rPr>
                <w:rFonts w:ascii="Arial" w:cs="Arial" w:eastAsia="Arial" w:hAnsi="Arial"/>
                <w:sz w:val="18"/>
                <w:szCs w:val="18"/>
                <w:color w:val="auto"/>
              </w:rPr>
              <w:t>None</w:t>
            </w:r>
          </w:p>
        </w:tc>
      </w:tr>
      <w:tr>
        <w:trPr>
          <w:trHeight w:val="312"/>
        </w:trPr>
        <w:tc>
          <w:tcPr>
            <w:tcW w:w="2540" w:type="dxa"/>
            <w:vAlign w:val="bottom"/>
          </w:tcPr>
          <w:p>
            <w:pPr>
              <w:spacing w:after="0"/>
              <w:rPr>
                <w:sz w:val="20"/>
                <w:szCs w:val="20"/>
                <w:color w:val="auto"/>
              </w:rPr>
            </w:pPr>
            <w:r>
              <w:rPr>
                <w:rFonts w:ascii="Arial" w:cs="Arial" w:eastAsia="Arial" w:hAnsi="Arial"/>
                <w:sz w:val="18"/>
                <w:szCs w:val="18"/>
                <w:i w:val="1"/>
                <w:iCs w:val="1"/>
                <w:color w:val="auto"/>
              </w:rPr>
              <w:t>Miscellaneous:</w:t>
            </w:r>
          </w:p>
        </w:tc>
        <w:tc>
          <w:tcPr>
            <w:tcW w:w="8860" w:type="dxa"/>
            <w:vAlign w:val="bottom"/>
            <w:gridSpan w:val="3"/>
          </w:tcPr>
          <w:p>
            <w:pPr>
              <w:ind w:left="1000"/>
              <w:spacing w:after="0"/>
              <w:rPr>
                <w:sz w:val="20"/>
                <w:szCs w:val="20"/>
                <w:color w:val="auto"/>
              </w:rPr>
            </w:pPr>
            <w:r>
              <w:rPr>
                <w:rFonts w:ascii="Arial" w:cs="Arial" w:eastAsia="Arial" w:hAnsi="Arial"/>
                <w:sz w:val="18"/>
                <w:szCs w:val="18"/>
                <w:color w:val="auto"/>
                <w:w w:val="89"/>
              </w:rPr>
              <w:t>The terms of the Notes shall include such other terms as are set forth in the Form of Notes Due 2061 attached</w:t>
            </w:r>
          </w:p>
        </w:tc>
      </w:tr>
      <w:tr>
        <w:trPr>
          <w:trHeight w:val="190"/>
        </w:trPr>
        <w:tc>
          <w:tcPr>
            <w:tcW w:w="2540" w:type="dxa"/>
            <w:vAlign w:val="bottom"/>
          </w:tcPr>
          <w:p>
            <w:pPr>
              <w:spacing w:after="0"/>
              <w:rPr>
                <w:sz w:val="16"/>
                <w:szCs w:val="16"/>
                <w:color w:val="auto"/>
              </w:rPr>
            </w:pPr>
          </w:p>
        </w:tc>
        <w:tc>
          <w:tcPr>
            <w:tcW w:w="8860" w:type="dxa"/>
            <w:vAlign w:val="bottom"/>
            <w:gridSpan w:val="3"/>
          </w:tcPr>
          <w:p>
            <w:pPr>
              <w:ind w:left="1000"/>
              <w:spacing w:after="0" w:line="190" w:lineRule="exact"/>
              <w:rPr>
                <w:sz w:val="20"/>
                <w:szCs w:val="20"/>
                <w:color w:val="auto"/>
              </w:rPr>
            </w:pPr>
            <w:r>
              <w:rPr>
                <w:rFonts w:ascii="Arial" w:cs="Arial" w:eastAsia="Arial" w:hAnsi="Arial"/>
                <w:sz w:val="18"/>
                <w:szCs w:val="18"/>
                <w:color w:val="auto"/>
              </w:rPr>
              <w:t xml:space="preserve">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tc>
      </w:tr>
      <w:tr>
        <w:trPr>
          <w:trHeight w:val="20"/>
        </w:trPr>
        <w:tc>
          <w:tcPr>
            <w:tcW w:w="2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r>
    </w:tbl>
    <w:p>
      <w:pPr>
        <w:spacing w:after="0" w:line="1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00" w:firstLine="456"/>
        <w:spacing w:after="0" w:line="294" w:lineRule="auto"/>
        <w:rPr>
          <w:sz w:val="20"/>
          <w:szCs w:val="20"/>
          <w:color w:val="auto"/>
        </w:rPr>
      </w:pPr>
      <w:r>
        <w:rPr>
          <w:rFonts w:ascii="Arial" w:cs="Arial" w:eastAsia="Arial" w:hAnsi="Arial"/>
          <w:sz w:val="16"/>
          <w:szCs w:val="16"/>
          <w:color w:val="auto"/>
        </w:rPr>
        <w:t>Each such officer has read and understands the provisions of the Indenture, as supplemented, and the definitions relating thereto. The statements made in this Officers’ Certificate are based upon the examination of the provisions of the Indenture, as supplemented, and upon the relevant books and records of the Company. In such officer’s opinion, he has made such examination or investigation as is necessary to enable such officer to express an informed opinion as to whether or not the covenants and conditions of such Indenture, as supplemented, relating to the issuance and authentication of the Notes have been complied with. In such officer’s opinion, such covenants and conditions have been complied with.</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undersigned officers of the Company have duly executed this certificate as of the date first set forth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Title:</w:t>
        <w:tab/>
        <w:t>Senior Vice President and Treasurer</w:t>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4438015</wp:posOffset>
            </wp:positionH>
            <wp:positionV relativeFrom="paragraph">
              <wp:posOffset>10795</wp:posOffset>
            </wp:positionV>
            <wp:extent cx="25215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Arthur R. Block</w:t>
      </w:r>
    </w:p>
    <w:p>
      <w:pPr>
        <w:spacing w:after="0" w:line="15"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5"/>
          <w:szCs w:val="15"/>
          <w:color w:val="auto"/>
        </w:rPr>
        <w:t>Title:</w:t>
        <w:tab/>
        <w:t>Senior Vice President, General Counsel and Secretary</w:t>
      </w:r>
    </w:p>
    <w:p>
      <w:pPr>
        <w:spacing w:after="0" w:line="18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0"/>
          </w:cols>
          <w:pgMar w:left="700" w:top="280" w:right="41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NOTE]</w:t>
      </w:r>
    </w:p>
    <w:p>
      <w:pPr>
        <w:spacing w:after="0" w:line="17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SECURITY IS PRESENTED BY AN AUTHORIZED REPRESENTATIVE OF THE DEPOSITORY TRUST COMPANY, A NEW YORK CORPORATION (“</w:t>
      </w:r>
      <w:r>
        <w:rPr>
          <w:rFonts w:ascii="Arial" w:cs="Arial" w:eastAsia="Arial" w:hAnsi="Arial"/>
          <w:sz w:val="16"/>
          <w:szCs w:val="16"/>
          <w:b w:val="1"/>
          <w:bCs w:val="1"/>
          <w:color w:val="auto"/>
        </w:rPr>
        <w:t>DTC</w:t>
      </w:r>
      <w:r>
        <w:rPr>
          <w:rFonts w:ascii="Arial" w:cs="Arial" w:eastAsia="Arial" w:hAnsi="Arial"/>
          <w:sz w:val="16"/>
          <w:szCs w:val="16"/>
          <w:color w:val="auto"/>
        </w:rPr>
        <w:t>”), TO THE ISSUER OR ITS AGENT FOR REGISTRATION OF TRANSFER, EXCHANGE OR PAYMENT, AND ANY SECURITY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5.00% Note Due 2061</w:t>
      </w:r>
    </w:p>
    <w:p>
      <w:pPr>
        <w:sectPr>
          <w:pgSz w:w="11900" w:h="16838" w:orient="portrait"/>
          <w:cols w:equalWidth="0" w:num="1">
            <w:col w:w="11420"/>
          </w:cols>
          <w:pgMar w:left="240" w:top="274" w:right="23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No. [</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CUSIP No.: 20030N 606</w:t>
      </w:r>
    </w:p>
    <w:p>
      <w:pPr>
        <w:spacing w:after="0" w:line="3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ISIN No.: US20030N6067</w:t>
      </w:r>
    </w:p>
    <w:p>
      <w:pPr>
        <w:spacing w:after="0" w:line="32" w:lineRule="exact"/>
        <w:rPr>
          <w:sz w:val="20"/>
          <w:szCs w:val="20"/>
          <w:color w:val="auto"/>
        </w:rPr>
      </w:pPr>
    </w:p>
    <w:p>
      <w:pPr>
        <w:jc w:val="right"/>
        <w:spacing w:after="0"/>
        <w:tabs>
          <w:tab w:leader="none" w:pos="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59" w:lineRule="exact"/>
        <w:rPr>
          <w:sz w:val="20"/>
          <w:szCs w:val="20"/>
          <w:color w:val="auto"/>
        </w:rPr>
      </w:pPr>
    </w:p>
    <w:p>
      <w:pPr>
        <w:sectPr>
          <w:pgSz w:w="11900" w:h="16838" w:orient="portrait"/>
          <w:cols w:equalWidth="0" w:num="3">
            <w:col w:w="520" w:space="720"/>
            <w:col w:w="7580" w:space="720"/>
            <w:col w:w="1880"/>
          </w:cols>
          <w:pgMar w:left="240" w:top="274" w:right="239" w:bottom="1440" w:gutter="0" w:footer="0" w:header="0"/>
          <w:type w:val="continuous"/>
        </w:sectPr>
      </w:pPr>
    </w:p>
    <w:p>
      <w:pPr>
        <w:ind w:right="200" w:firstLine="456"/>
        <w:spacing w:after="0" w:line="275"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which term includes any successor corporation), for value received promises to pay to CEDE &amp; CO. or registered assigns, the principal sum of $[ ] ( ) on December 15, 2061.</w:t>
      </w:r>
    </w:p>
    <w:p>
      <w:pPr>
        <w:sectPr>
          <w:pgSz w:w="11900" w:h="16838" w:orient="portrait"/>
          <w:cols w:equalWidth="0" w:num="1">
            <w:col w:w="11420"/>
          </w:cols>
          <w:pgMar w:left="240" w:top="274" w:right="239" w:bottom="1440" w:gutter="0" w:footer="0" w:header="0"/>
          <w:type w:val="continuous"/>
        </w:sectPr>
      </w:pP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Payment Dates: March 15, June 15, September 15 and December 15 (each, an “</w:t>
      </w:r>
      <w:r>
        <w:rPr>
          <w:rFonts w:ascii="Arial" w:cs="Arial" w:eastAsia="Arial" w:hAnsi="Arial"/>
          <w:sz w:val="16"/>
          <w:szCs w:val="16"/>
          <w:b w:val="1"/>
          <w:bCs w:val="1"/>
          <w:color w:val="auto"/>
        </w:rPr>
        <w:t>Interest Payment Date</w:t>
      </w:r>
      <w:r>
        <w:rPr>
          <w:rFonts w:ascii="Arial" w:cs="Arial" w:eastAsia="Arial" w:hAnsi="Arial"/>
          <w:sz w:val="16"/>
          <w:szCs w:val="16"/>
          <w:color w:val="auto"/>
        </w:rPr>
        <w:t>”), commencing on March 15, 2013.</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Record Dates: March 1, June 1, September 1 and December 1 (each, an “</w:t>
      </w:r>
      <w:r>
        <w:rPr>
          <w:rFonts w:ascii="Arial" w:cs="Arial" w:eastAsia="Arial" w:hAnsi="Arial"/>
          <w:sz w:val="18"/>
          <w:szCs w:val="18"/>
          <w:b w:val="1"/>
          <w:bCs w:val="1"/>
          <w:color w:val="auto"/>
        </w:rPr>
        <w:t>Interest Record Date</w:t>
      </w:r>
      <w:r>
        <w:rPr>
          <w:rFonts w:ascii="Arial" w:cs="Arial" w:eastAsia="Arial" w:hAnsi="Arial"/>
          <w:sz w:val="18"/>
          <w:szCs w:val="18"/>
          <w:color w:val="auto"/>
        </w:rPr>
        <w: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Reference is made to the further provisions of this Security contained herein, which will for all purposes have the same effect as if set forth at this place.</w:t>
      </w:r>
    </w:p>
    <w:p>
      <w:pPr>
        <w:spacing w:after="0" w:line="19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274" w:right="239" w:bottom="1440" w:gutter="0" w:footer="0" w:header="0"/>
          <w:type w:val="continuous"/>
        </w:sectPr>
      </w:pPr>
    </w:p>
    <w:bookmarkStart w:id="7" w:name="page8"/>
    <w:bookmarkEnd w:id="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Issuer has caused this Security to be signed manually or by facsimile by its duly authorized officer under its corporate seal.</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COMCAST CORPORATION</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William E. Dordelman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Senior Vice President and Treasurer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[Seal of Comcast Corporation]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9"/>
                <w:szCs w:val="19"/>
                <w:color w:val="auto"/>
              </w:rPr>
            </w:pPr>
          </w:p>
        </w:tc>
        <w:tc>
          <w:tcPr>
            <w:tcW w:w="3920" w:type="dxa"/>
            <w:vAlign w:val="bottom"/>
            <w:tcBorders>
              <w:bottom w:val="single" w:sz="8" w:color="auto"/>
            </w:tcBorders>
          </w:tcPr>
          <w:p>
            <w:pPr>
              <w:spacing w:after="0"/>
              <w:rPr>
                <w:sz w:val="19"/>
                <w:szCs w:val="19"/>
                <w:color w:val="auto"/>
              </w:rPr>
            </w:pPr>
          </w:p>
        </w:tc>
      </w:tr>
      <w:tr>
        <w:trPr>
          <w:trHeight w:val="21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rPr>
              <w:t>Arthur R. Block</w:t>
            </w:r>
          </w:p>
        </w:tc>
      </w:tr>
      <w:tr>
        <w:trPr>
          <w:trHeight w:val="22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gridSpan w:val="2"/>
          </w:tcPr>
          <w:p>
            <w:pPr>
              <w:ind w:left="100"/>
              <w:spacing w:after="0"/>
              <w:rPr>
                <w:sz w:val="20"/>
                <w:szCs w:val="20"/>
                <w:color w:val="auto"/>
              </w:rPr>
            </w:pPr>
            <w:r>
              <w:rPr>
                <w:rFonts w:ascii="Arial" w:cs="Arial" w:eastAsia="Arial" w:hAnsi="Arial"/>
                <w:sz w:val="18"/>
                <w:szCs w:val="18"/>
                <w:color w:val="auto"/>
                <w:w w:val="89"/>
              </w:rPr>
              <w:t>Senior Vice President, General Counsel and Secretary</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320"/>
          </w:cols>
          <w:pgMar w:left="240" w:top="280" w:right="339" w:bottom="1440" w:gutter="0" w:footer="0" w:header="0"/>
        </w:sectPr>
      </w:pPr>
    </w:p>
    <w:bookmarkStart w:id="8" w:name="page9"/>
    <w:bookmarkEnd w:id="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is one of the series designated herein and referred to in the within-mentioned Indenture.</w:t>
      </w:r>
    </w:p>
    <w:p>
      <w:pPr>
        <w:spacing w:after="0" w:line="171" w:lineRule="exact"/>
        <w:rPr>
          <w:sz w:val="20"/>
          <w:szCs w:val="20"/>
          <w:color w:val="auto"/>
        </w:rPr>
      </w:pPr>
    </w:p>
    <w:p>
      <w:pPr>
        <w:spacing w:after="0"/>
        <w:tabs>
          <w:tab w:leader="none" w:pos="1400" w:val="left"/>
        </w:tabs>
        <w:rPr>
          <w:sz w:val="20"/>
          <w:szCs w:val="20"/>
          <w:color w:val="auto"/>
        </w:rPr>
      </w:pPr>
      <w:r>
        <w:rPr>
          <w:rFonts w:ascii="Arial" w:cs="Arial" w:eastAsia="Arial" w:hAnsi="Arial"/>
          <w:sz w:val="18"/>
          <w:szCs w:val="18"/>
          <w:color w:val="auto"/>
        </w:rPr>
        <w:t>Dated: December</w:t>
      </w:r>
      <w:r>
        <w:rPr>
          <w:sz w:val="20"/>
          <w:szCs w:val="20"/>
          <w:color w:val="auto"/>
        </w:rPr>
        <w:tab/>
      </w:r>
      <w:r>
        <w:rPr>
          <w:rFonts w:ascii="Arial" w:cs="Arial" w:eastAsia="Arial" w:hAnsi="Arial"/>
          <w:sz w:val="15"/>
          <w:szCs w:val="15"/>
          <w:color w:val="auto"/>
        </w:rPr>
        <w:t>, 2012</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THE BANK OF NEW YORK MELLON,</w:t>
      </w:r>
    </w:p>
    <w:p>
      <w:pPr>
        <w:spacing w:after="0" w:line="38"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219"/>
          </w:cols>
          <w:pgMar w:left="240" w:top="280" w:right="1440"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(REVERSE OF SECURITY)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COMCAST CORPORATION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5.00% Note Due 2061</w:t>
      </w:r>
    </w:p>
    <w:p>
      <w:pPr>
        <w:spacing w:after="0" w:line="212"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Interest.</w:t>
      </w:r>
    </w:p>
    <w:p>
      <w:pPr>
        <w:spacing w:after="0" w:line="84" w:lineRule="exact"/>
        <w:rPr>
          <w:sz w:val="20"/>
          <w:szCs w:val="20"/>
          <w:color w:val="auto"/>
        </w:rPr>
      </w:pPr>
    </w:p>
    <w:p>
      <w:pPr>
        <w:ind w:right="20" w:firstLine="456"/>
        <w:spacing w:after="0" w:line="258" w:lineRule="auto"/>
        <w:rPr>
          <w:sz w:val="20"/>
          <w:szCs w:val="20"/>
          <w:color w:val="auto"/>
        </w:rPr>
      </w:pPr>
      <w:r>
        <w:rPr>
          <w:rFonts w:ascii="Arial" w:cs="Arial" w:eastAsia="Arial" w:hAnsi="Arial"/>
          <w:sz w:val="18"/>
          <w:szCs w:val="18"/>
          <w:color w:val="auto"/>
        </w:rPr>
        <w:t>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promises to pay interest on the principal amount of this Security at the rate per annum shown above. Cash interest on the Securities will accrue from the most recent date to which interest has been paid or, if no interest has been paid, from December 6, 2012. The Issuer will pay interest quarterly in arrears on each Interest Payment Date, commencing March 15, 2013. Interest will be computed on the basis of a 360-day year of twelve 30-day months.</w:t>
      </w:r>
    </w:p>
    <w:p>
      <w:pPr>
        <w:spacing w:after="0" w:line="14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Issuer shall pay interest on overdue principal from time to time on demand at the rate borne by the Securities and on overdue installments of interest (without regard to any applicable grace periods) to the extent lawful.</w:t>
      </w:r>
    </w:p>
    <w:p>
      <w:pPr>
        <w:spacing w:after="0" w:line="254"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Method of Payment.</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Issuer shall pay interest on the Securities (except defaulted interest) to the persons who are the registered Holders at the close of business on the Interest Record Date immediately preceding the Interest Payment Date notwithstanding any transfer or exchange of such Security subsequent to such Interest Record Date and prior to such Interest Payment Date. Holders must surrender Securities to The Bank of New York Mellon (formerly known as The Bank of New York) (the “</w:t>
      </w:r>
      <w:r>
        <w:rPr>
          <w:rFonts w:ascii="Arial" w:cs="Arial" w:eastAsia="Arial" w:hAnsi="Arial"/>
          <w:sz w:val="16"/>
          <w:szCs w:val="16"/>
          <w:b w:val="1"/>
          <w:bCs w:val="1"/>
          <w:color w:val="auto"/>
        </w:rPr>
        <w:t>Trustee</w:t>
      </w:r>
      <w:r>
        <w:rPr>
          <w:rFonts w:ascii="Arial" w:cs="Arial" w:eastAsia="Arial" w:hAnsi="Arial"/>
          <w:sz w:val="16"/>
          <w:szCs w:val="16"/>
          <w:color w:val="auto"/>
        </w:rPr>
        <w:t>”) to collect principal payments. The Issuer shall pay principal and interest in money of the United States that at the time of payment is legal tender for payment of public and private debts (“</w:t>
      </w:r>
      <w:r>
        <w:rPr>
          <w:rFonts w:ascii="Arial" w:cs="Arial" w:eastAsia="Arial" w:hAnsi="Arial"/>
          <w:sz w:val="16"/>
          <w:szCs w:val="16"/>
          <w:b w:val="1"/>
          <w:bCs w:val="1"/>
          <w:color w:val="auto"/>
        </w:rPr>
        <w:t>U.S. Legal Tender</w:t>
      </w:r>
      <w:r>
        <w:rPr>
          <w:rFonts w:ascii="Arial" w:cs="Arial" w:eastAsia="Arial" w:hAnsi="Arial"/>
          <w:sz w:val="16"/>
          <w:szCs w:val="16"/>
          <w:color w:val="auto"/>
        </w:rPr>
        <w:t>”). However, the payments of interest, and any portion of the principal (other than interest payable at maturity or on any redemption or repayment date or the final payment of principal) shall be made by the Paying Agent, upon receipt from the Issuer of immediately available funds by 11:00 a.m., New York City time (or such other time as may be agreed to between the Issuer and the Paying Agent or the Issuer), directly to a Holder (by Federal funds wire transfer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w:t>
      </w:r>
    </w:p>
    <w:p>
      <w:pPr>
        <w:spacing w:after="0" w:line="249" w:lineRule="exact"/>
        <w:rPr>
          <w:sz w:val="20"/>
          <w:szCs w:val="20"/>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Paying Agent.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Initially, the Trustee will act as Paying Agent. The Issuer may change any Paying Agent without notice to the Holders.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280" w:right="259" w:bottom="1440" w:gutter="0" w:footer="0" w:header="0"/>
        </w:sectPr>
      </w:pPr>
    </w:p>
    <w:bookmarkStart w:id="10" w:name="page11"/>
    <w:bookmarkEnd w:id="10"/>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Indenture.</w:t>
      </w:r>
    </w:p>
    <w:p>
      <w:pPr>
        <w:spacing w:after="0" w:line="8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Issuer issued the Securities under an Indenture dated as of January 7, 2003 (the “</w:t>
      </w:r>
      <w:r>
        <w:rPr>
          <w:rFonts w:ascii="Arial" w:cs="Arial" w:eastAsia="Arial" w:hAnsi="Arial"/>
          <w:sz w:val="16"/>
          <w:szCs w:val="16"/>
          <w:b w:val="1"/>
          <w:bCs w:val="1"/>
          <w:color w:val="auto"/>
        </w:rPr>
        <w:t>Indenture</w:t>
      </w:r>
      <w:r>
        <w:rPr>
          <w:rFonts w:ascii="Arial" w:cs="Arial" w:eastAsia="Arial" w:hAnsi="Arial"/>
          <w:sz w:val="16"/>
          <w:szCs w:val="16"/>
          <w:color w:val="auto"/>
        </w:rPr>
        <w:t>”) by and among the Issuer, the cable guarantors named therein and the Trustee, as supplemented by the First Supplemental Indenture dated as of March 25, 2003 by and among the Issuer, the cable guarantors named therein and the Trustee and as further supplemented by the Second Supplemental Indenture dated as of August 31, 2009 by and among the Issuer, the cable guarantors named therein and the Trustee. Capitalized terms herein are used as defined in the Indenture unless otherwise defined herein. The terms of the Securities include those stated in the Indenture and those made part of the Indenture by reference to the Trust Indenture Act of 1939 (15 U.S.C. Sections 77aaa-77bbbb) (the “</w:t>
      </w:r>
      <w:r>
        <w:rPr>
          <w:rFonts w:ascii="Arial" w:cs="Arial" w:eastAsia="Arial" w:hAnsi="Arial"/>
          <w:sz w:val="16"/>
          <w:szCs w:val="16"/>
          <w:b w:val="1"/>
          <w:bCs w:val="1"/>
          <w:color w:val="auto"/>
        </w:rPr>
        <w:t>TIA</w:t>
      </w:r>
      <w:r>
        <w:rPr>
          <w:rFonts w:ascii="Arial" w:cs="Arial" w:eastAsia="Arial" w:hAnsi="Arial"/>
          <w:sz w:val="16"/>
          <w:szCs w:val="16"/>
          <w:color w:val="auto"/>
        </w:rPr>
        <w:t>”), as in effect on the date of the Indenture until such time as the Indenture is qualified under the TIA, and thereafter as in effect on the date on which the Indenture is qualified under the TIA. Notwithstanding anything to the contrary herein, the Securities are subject to all such terms, and Holders of Securities are referred to the Indenture and the TIA for a statement of them. To the extent the terms of the Indenture and this Security are inconsistent, the terms of the Indenture shall govern.</w:t>
      </w:r>
    </w:p>
    <w:p>
      <w:pPr>
        <w:spacing w:after="0" w:line="24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Cable Guarantees.</w:t>
      </w:r>
    </w:p>
    <w:p>
      <w:pPr>
        <w:spacing w:after="0" w:line="9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Each Cable Guarantor has irrevocably, fully and unconditionally guaranteed, jointly and severally, on an unsecured basis, the full and punctual payment (whether at maturity, upon redemption or otherwise) of the principal of and interest on, and all other amounts payable under, the Securities, and the full and punctual payment of all other amounts payable by the Issuer under the Indenture, subject to certain terms and conditions set forth in the Indenture.</w:t>
      </w:r>
    </w:p>
    <w:p>
      <w:pPr>
        <w:spacing w:after="0" w:line="228"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Denominations; Transfer; Exchange.</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Securities are in registered form, without coupons, in denominations of $25.00 and multiples of $25.00. A Holder shall register the transfer of or exchange Securities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Securities or portions thereof for a period of fifteen (15) days before the mailing of a notice of redemption, nor need the Issuer register the transfer or exchange any security selected for redemption in whole or in part.</w:t>
      </w:r>
    </w:p>
    <w:p>
      <w:pPr>
        <w:spacing w:after="0" w:line="237"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Persons Deemed Owners.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registered Holder of a Security shall be treated as the owner of it for all purposes.</w:t>
      </w:r>
    </w:p>
    <w:p>
      <w:pPr>
        <w:spacing w:after="0" w:line="293"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Unclaimed Funds.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If funds for the payment of principal or interest remain unclaimed for two years, the Trustee and the Paying Agent will repay the funds to the Issuer at its written request. After that, all liability of the Trustee and such Paying Agent with respect to such funds shall cease.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340"/>
          </w:cols>
          <w:pgMar w:left="240" w:top="280" w:right="319" w:bottom="1440" w:gutter="0" w:footer="0" w:header="0"/>
        </w:sectPr>
      </w:pPr>
    </w:p>
    <w:bookmarkStart w:id="11" w:name="page12"/>
    <w:bookmarkEnd w:id="11"/>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Legal Defeasance and Covenant Defeasance.</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The Issuer and the Cable Guarantors may be discharged from their respective obligations under the Securities and under the Indenture with respect to the Securities except for certain provisions thereof, and may be discharged from obligations to comply with certain covenants contained in the Securities and in the Indenture with respect to the Securities, in each case upon satisfaction of certain conditions specified in the Indenture.</w:t>
      </w:r>
    </w:p>
    <w:p>
      <w:pPr>
        <w:spacing w:after="0" w:line="228"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Amendment; Supplement; Waiver.</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Subject to certain exceptions, the Securities and the provisions of the Indenture relating to the Securities may be amended or supplemented with the written consent of the Holders of at least a majority in aggregate principal amount of the Securities then outstanding, and any existing Default or Event of Default or compliance with certain provisions may be waived with the consent of the Holders of a majority in aggregate principal amount of the Securities then outstanding. Without notice to or consent of any Holder, the parties thereto may amend or supplement the Indenture and the Securities to, among other things, cure any ambiguity, defect or inconsistency, provide for uncertificated Securities in addition to or in place of certificated Securities or comply with any requirements of the Commission in connection with the qualification of the Indenture under the TIA, or make any other change that does not adversely affect the rights of any Holder of a Security.</w:t>
      </w:r>
    </w:p>
    <w:p>
      <w:pPr>
        <w:spacing w:after="0" w:line="269"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Restrictive Covenants.</w:t>
      </w:r>
    </w:p>
    <w:p>
      <w:pPr>
        <w:spacing w:after="0" w:line="90"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Indenture contains certain covenants that, among other things, limit the ability of the Issuer and the Cable Guarantors to incur liens securing indebtedness, or to enter into sale and leaseback transactions, and of the Issuer to merge or sell all or substantially all of its assets. The limitations are subject to a number of important qualifications and exceptions. The Issuer must annually report to the Trustee on compliance with such limitations.</w:t>
      </w:r>
    </w:p>
    <w:p>
      <w:pPr>
        <w:spacing w:after="0" w:line="228"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Issuer will have the right at its option to redeem any of the Securities in whole or in part, at any time or from time to time on or after December 15, 2017 and prior to their maturity, on at least 30 days, but not more than 60 days, prior notice mailed to the registered address of each Holder of the Securities, at a redemption price equal to 100% of the principal amount of such Securities plus accrued and unpaid interest thereon to the date of redemption.</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On and after the redemption date, interest will cease to accrue on the Securities or any portion of the Securities called for redemption (unless the Issuer defaults in the payment of the redemption price and accrued interest). On or before the redemption date, the Issuer will deposit with the Trustee money sufficient to pay the redemption price of and (unless the redemption date shall be an Interest Payment Date) accrued interest to the redemption date on the Securities to be redeemed on such date. If less than all of the Securities are to be redeemed, the Securities to be redeemed shall be selected by the Trustee by such method as the Trustee shall deem fair and appropriate.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380"/>
          </w:cols>
          <w:pgMar w:left="240" w:top="280" w:right="279" w:bottom="1440" w:gutter="0" w:footer="0" w:header="0"/>
        </w:sectPr>
      </w:pPr>
    </w:p>
    <w:bookmarkStart w:id="12" w:name="page13"/>
    <w:bookmarkEnd w:id="12"/>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Defaults and Remedies.</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If an Event of Default (other than certain bankruptcy Events of Default with respect to the Issuer or any of the Cable Guarantors) occurs and is continuing, the Trustee or the Holders of at least 25% in aggregate principal amount of Securities then outstanding may declare all of the Securities to be due and payable immediately in the manner and with the effect provided in the Indenture. If a bankruptcy Event of Default with respect to the Issuer or any of the Cable Guarantors occurs and is continuing, all the Securities shall be immediately due and payable immediately in the manner and with the effect provided in the Indenture without any notice or other action on the part of the Trustee or any Holder. Holders of Securities may not enforce the Indenture, the Securities or the Cable Guarantees except as provided in the Indenture. The Trustee is not obligated to enforce the Indenture, the Securities or the Cable Guarantees unless it has received indemnity satisfactory to it. The Indenture permits, subject to certain limitations therein provided, Holders of a majority in aggregate principal amount of the Securities then outstanding to direct the Trustee in its exercise of any trust or power. The Trustee may withhold from Holders of Securities notice of certain continuing Defaults or Events of Default if it determines that withholding notice is in their interest.</w:t>
      </w:r>
    </w:p>
    <w:p>
      <w:pPr>
        <w:spacing w:after="0" w:line="241"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Trustee Dealings with Issuer.</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Trustee under the Indenture, in its individual or any other capacity, may become the owner or pledgee of Securities and may otherwise deal with the Issuer as if it were not the Trustee.</w:t>
      </w:r>
    </w:p>
    <w:p>
      <w:pPr>
        <w:spacing w:after="0" w:line="254"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 Recourse Against Others.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No stockholder, director, officer, employee or incorporator, as such, of the Issuer, any Cable Guarantor or any successor Person thereof shall have any liability for any obligation under the Securities, the Cable Guarantees or the Indenture or for any claim based on, in respect of or by reason of, such obligations or their creation. Each Holder of a Security by accepting a Security waives and releases all such liability. The waiver and release are part of the consideration for the issuance of the Securities.</w:t>
      </w:r>
    </w:p>
    <w:p>
      <w:pPr>
        <w:spacing w:after="0" w:line="265"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Authentication.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Security shall not be valid until the Trustee manually signs the certificate of authentication on this Security.</w:t>
      </w:r>
    </w:p>
    <w:p>
      <w:pPr>
        <w:spacing w:after="0" w:line="293"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Abbreviations and Defined Terms.</w:t>
      </w:r>
    </w:p>
    <w:p>
      <w:pPr>
        <w:spacing w:after="0" w:line="90"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Customary abbreviations may be used in the name of a Holder of a Security or an assignee, such as: TEN COM (= tenants in common), TEN ENT</w:t>
      </w:r>
    </w:p>
    <w:p>
      <w:pPr>
        <w:spacing w:after="0" w:line="3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 tenants by the entireties), JT TEN (= joint tenants with right of survivorship and not as tenants in common), CUST (= Custodian), and U/G/M/A (= Uniform Gifts to Minors Act).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400"/>
          </w:cols>
          <w:pgMar w:left="240" w:top="280" w:right="259" w:bottom="1440" w:gutter="0" w:footer="0" w:header="0"/>
        </w:sectPr>
      </w:pPr>
    </w:p>
    <w:bookmarkStart w:id="13" w:name="page14"/>
    <w:bookmarkEnd w:id="13"/>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Numbers.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a recommendation promulgated by the Committee on Uniform Security Identification Procedures, the Issuer has caused CUSIP numbers to be printed on the Securities as a convenience to the Holders of the Securities. No representation is made as to the accuracy of such numbers as printed on the Securities and reliance may be placed only on the other identification numbers printed hereon.</w:t>
      </w:r>
    </w:p>
    <w:p>
      <w:pPr>
        <w:spacing w:after="0" w:line="262" w:lineRule="exact"/>
        <w:rPr>
          <w:sz w:val="20"/>
          <w:szCs w:val="20"/>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laws of the State of New York shall govern the Indenture and this Security thereof.</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300"/>
          </w:cols>
          <w:pgMar w:left="240" w:top="280" w:right="359" w:bottom="1440" w:gutter="0" w:footer="0" w:header="0"/>
        </w:sectPr>
      </w:pPr>
    </w:p>
    <w:bookmarkStart w:id="14" w:name="page15"/>
    <w:bookmarkEnd w:id="14"/>
    <w:p>
      <w:pPr>
        <w:ind w:left="48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ASSIGNMENT FORM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or we assign and transfer this Security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right"/>
        <w:ind w:right="2280"/>
        <w:spacing w:after="0"/>
        <w:rPr>
          <w:sz w:val="20"/>
          <w:szCs w:val="20"/>
          <w:color w:val="auto"/>
        </w:rPr>
      </w:pPr>
      <w:r>
        <w:rPr>
          <w:rFonts w:ascii="Arial" w:cs="Arial" w:eastAsia="Arial" w:hAnsi="Arial"/>
          <w:sz w:val="18"/>
          <w:szCs w:val="18"/>
          <w:color w:val="auto"/>
        </w:rPr>
        <w:t>(Print or type name, address and zip code of assignee or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360"/>
          </w:cols>
          <w:pgMar w:left="240" w:top="280" w:right="1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0</wp:posOffset>
            </wp:positionV>
            <wp:extent cx="7804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10795</wp:posOffset>
            </wp:positionV>
            <wp:extent cx="13036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(Insert Social Security or other identifying number of assignee or transferee)</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color w:val="auto"/>
        </w:rPr>
        <w:t>agent to transfer this Security on the books of the Issuer. The agent may substitute another to act for him.</w:t>
      </w:r>
    </w:p>
    <w:p>
      <w:pPr>
        <w:spacing w:after="0" w:line="27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-5715</wp:posOffset>
            </wp:positionV>
            <wp:extent cx="260731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2840"/>
        <w:spacing w:after="0"/>
        <w:rPr>
          <w:sz w:val="20"/>
          <w:szCs w:val="20"/>
          <w:color w:val="auto"/>
        </w:rPr>
      </w:pPr>
      <w:r>
        <w:rPr>
          <w:rFonts w:ascii="Arial" w:cs="Arial" w:eastAsia="Arial" w:hAnsi="Arial"/>
          <w:sz w:val="16"/>
          <w:szCs w:val="16"/>
          <w:color w:val="auto"/>
        </w:rPr>
        <w:t>(Signed exactly as name appears on the other side of this</w:t>
      </w:r>
    </w:p>
    <w:p>
      <w:pPr>
        <w:spacing w:after="0" w:line="32"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861695</wp:posOffset>
            </wp:positionH>
            <wp:positionV relativeFrom="paragraph">
              <wp:posOffset>273050</wp:posOffset>
            </wp:positionV>
            <wp:extent cx="35502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360" w:right="580"/>
        <w:spacing w:after="0" w:line="332" w:lineRule="auto"/>
        <w:rPr>
          <w:sz w:val="20"/>
          <w:szCs w:val="20"/>
          <w:color w:val="auto"/>
        </w:rPr>
      </w:pPr>
      <w:r>
        <w:rPr>
          <w:rFonts w:ascii="Arial" w:cs="Arial" w:eastAsia="Arial" w:hAnsi="Arial"/>
          <w:sz w:val="16"/>
          <w:szCs w:val="16"/>
          <w:color w:val="auto"/>
        </w:rPr>
        <w:t>Participant in a recognized Signature Guarantee Medallion Program (or other signature guarantor program reasonably acceptable to the Trustee)</w:t>
      </w:r>
    </w:p>
    <w:p>
      <w:pPr>
        <w:spacing w:after="0" w:line="7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A-9</w:t>
      </w:r>
    </w:p>
    <w:sectPr>
      <w:pgSz w:w="11900" w:h="16838" w:orient="portrait"/>
      <w:cols w:equalWidth="0" w:num="2">
        <w:col w:w="2280" w:space="720"/>
        <w:col w:w="7360"/>
      </w:cols>
      <w:pgMar w:left="240" w:top="280" w:right="1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
    </w:lvl>
  </w:abstractNum>
  <w:abstractNum w:abstractNumId="1">
    <w:nsid w:val="216231B"/>
    <w:multiLevelType w:val="hybridMultilevel"/>
    <w:lvl w:ilvl="0">
      <w:lvlJc w:val="left"/>
      <w:lvlText w:val="%1."/>
      <w:numFmt w:val="decimal"/>
      <w:start w:val="2"/>
    </w:lvl>
  </w:abstractNum>
  <w:abstractNum w:abstractNumId="2">
    <w:nsid w:val="1F16E9E8"/>
    <w:multiLevelType w:val="hybridMultilevel"/>
    <w:lvl w:ilvl="0">
      <w:lvlJc w:val="left"/>
      <w:lvlText w:val="%1."/>
      <w:numFmt w:val="decimal"/>
      <w:start w:val="3"/>
    </w:lvl>
  </w:abstractNum>
  <w:abstractNum w:abstractNumId="3">
    <w:nsid w:val="1190CDE7"/>
    <w:multiLevelType w:val="hybridMultilevel"/>
    <w:lvl w:ilvl="0">
      <w:lvlJc w:val="left"/>
      <w:lvlText w:val="%1."/>
      <w:numFmt w:val="decimal"/>
      <w:start w:val="4"/>
    </w:lvl>
  </w:abstractNum>
  <w:abstractNum w:abstractNumId="4">
    <w:nsid w:val="66EF438D"/>
    <w:multiLevelType w:val="hybridMultilevel"/>
    <w:lvl w:ilvl="0">
      <w:lvlJc w:val="left"/>
      <w:lvlText w:val="%1."/>
      <w:numFmt w:val="decimal"/>
      <w:start w:val="5"/>
    </w:lvl>
  </w:abstractNum>
  <w:abstractNum w:abstractNumId="5">
    <w:nsid w:val="140E0F76"/>
    <w:multiLevelType w:val="hybridMultilevel"/>
    <w:lvl w:ilvl="0">
      <w:lvlJc w:val="left"/>
      <w:lvlText w:val="%1."/>
      <w:numFmt w:val="decimal"/>
      <w:start w:val="6"/>
    </w:lvl>
  </w:abstractNum>
  <w:abstractNum w:abstractNumId="6">
    <w:nsid w:val="3352255A"/>
    <w:multiLevelType w:val="hybridMultilevel"/>
    <w:lvl w:ilvl="0">
      <w:lvlJc w:val="left"/>
      <w:lvlText w:val="%1."/>
      <w:numFmt w:val="decimal"/>
      <w:start w:val="7"/>
    </w:lvl>
  </w:abstractNum>
  <w:abstractNum w:abstractNumId="7">
    <w:nsid w:val="109CF92E"/>
    <w:multiLevelType w:val="hybridMultilevel"/>
    <w:lvl w:ilvl="0">
      <w:lvlJc w:val="left"/>
      <w:lvlText w:val="%1."/>
      <w:numFmt w:val="decimal"/>
      <w:start w:val="8"/>
    </w:lvl>
  </w:abstractNum>
  <w:abstractNum w:abstractNumId="8">
    <w:nsid w:val="DED7263"/>
    <w:multiLevelType w:val="hybridMultilevel"/>
    <w:lvl w:ilvl="0">
      <w:lvlJc w:val="left"/>
      <w:lvlText w:val="%1."/>
      <w:numFmt w:val="decimal"/>
      <w:start w:val="9"/>
    </w:lvl>
  </w:abstractNum>
  <w:abstractNum w:abstractNumId="9">
    <w:nsid w:val="7FDCC233"/>
    <w:multiLevelType w:val="hybridMultilevel"/>
    <w:lvl w:ilvl="0">
      <w:lvlJc w:val="left"/>
      <w:lvlText w:val="%1."/>
      <w:numFmt w:val="decimal"/>
      <w:start w:val="10"/>
    </w:lvl>
  </w:abstractNum>
  <w:abstractNum w:abstractNumId="10">
    <w:nsid w:val="1BEFD79F"/>
    <w:multiLevelType w:val="hybridMultilevel"/>
    <w:lvl w:ilvl="0">
      <w:lvlJc w:val="left"/>
      <w:lvlText w:val="%1."/>
      <w:numFmt w:val="decimal"/>
      <w:start w:val="11"/>
    </w:lvl>
  </w:abstractNum>
  <w:abstractNum w:abstractNumId="11">
    <w:nsid w:val="41A7C4C9"/>
    <w:multiLevelType w:val="hybridMultilevel"/>
    <w:lvl w:ilvl="0">
      <w:lvlJc w:val="left"/>
      <w:lvlText w:val="%1."/>
      <w:numFmt w:val="decimal"/>
      <w:start w:val="12"/>
    </w:lvl>
  </w:abstractNum>
  <w:abstractNum w:abstractNumId="12">
    <w:nsid w:val="6B68079A"/>
    <w:multiLevelType w:val="hybridMultilevel"/>
    <w:lvl w:ilvl="0">
      <w:lvlJc w:val="left"/>
      <w:lvlText w:val="%1."/>
      <w:numFmt w:val="decimal"/>
      <w:start w:val="13"/>
    </w:lvl>
  </w:abstractNum>
  <w:abstractNum w:abstractNumId="13">
    <w:nsid w:val="4E6AFB66"/>
    <w:multiLevelType w:val="hybridMultilevel"/>
    <w:lvl w:ilvl="0">
      <w:lvlJc w:val="left"/>
      <w:lvlText w:val="%1."/>
      <w:numFmt w:val="decimal"/>
      <w:start w:val="14"/>
    </w:lvl>
  </w:abstractNum>
  <w:abstractNum w:abstractNumId="14">
    <w:nsid w:val="25E45D32"/>
    <w:multiLevelType w:val="hybridMultilevel"/>
    <w:lvl w:ilvl="0">
      <w:lvlJc w:val="left"/>
      <w:lvlText w:val="%1."/>
      <w:numFmt w:val="decimal"/>
      <w:start w:val="15"/>
    </w:lvl>
  </w:abstractNum>
  <w:abstractNum w:abstractNumId="15">
    <w:nsid w:val="519B500D"/>
    <w:multiLevelType w:val="hybridMultilevel"/>
    <w:lvl w:ilvl="0">
      <w:lvlJc w:val="left"/>
      <w:lvlText w:val="%1."/>
      <w:numFmt w:val="decimal"/>
      <w:start w:val="16"/>
    </w:lvl>
  </w:abstractNum>
  <w:abstractNum w:abstractNumId="16">
    <w:nsid w:val="431BD7B7"/>
    <w:multiLevelType w:val="hybridMultilevel"/>
    <w:lvl w:ilvl="0">
      <w:lvlJc w:val="left"/>
      <w:lvlText w:val="%1."/>
      <w:numFmt w:val="decimal"/>
      <w:start w:val="17"/>
    </w:lvl>
  </w:abstractNum>
  <w:abstractNum w:abstractNumId="17">
    <w:nsid w:val="3F2DBA31"/>
    <w:multiLevelType w:val="hybridMultilevel"/>
    <w:lvl w:ilvl="0">
      <w:lvlJc w:val="left"/>
      <w:lvlText w:val="%1."/>
      <w:numFmt w:val="decimal"/>
      <w:start w:val="18"/>
    </w:lvl>
  </w:abstractNum>
  <w:abstractNum w:abstractNumId="18">
    <w:nsid w:val="7C83E458"/>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2019-12-09T15:07:57Z</dcterms:created>
  <dcterms:modified xsi:type="dcterms:W3CDTF">2019-12-09T15:07:57Z</dcterms:modified>
</cp:coreProperties>
</file>