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us20030n1019_020421.txt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276259265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318279577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318279577</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COMCAST CENTER</w:t>
      </w:r>
    </w:p>
    <w:p>
      <w:pPr>
        <w:spacing w:after="0" w:line="238" w:lineRule="auto"/>
        <w:rPr>
          <w:sz w:val="20"/>
          <w:szCs w:val="20"/>
          <w:color w:val="auto"/>
        </w:rPr>
      </w:pPr>
      <w:r>
        <w:rPr>
          <w:rFonts w:ascii="Courier New" w:cs="Courier New" w:eastAsia="Courier New" w:hAnsi="Courier New"/>
          <w:sz w:val="18"/>
          <w:szCs w:val="18"/>
          <w:color w:val="auto"/>
        </w:rPr>
        <w:t>PHILADELPHIA PA 19103-2838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318279577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276259265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318279577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COMCAST CORP.</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COMCAST CORP</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Capital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Fund Management Company S.A.</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FutureAdvisor, Inc.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ectPr>
          <w:pgSz w:w="11900" w:h="16838" w:orient="portrait"/>
          <w:cols w:equalWidth="0" w:num="1">
            <w:col w:w="10139"/>
          </w:cols>
          <w:pgMar w:left="320" w:top="54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Deputy General Counsel</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2021-02-05T07:05:53Z</dcterms:created>
  <dcterms:modified xsi:type="dcterms:W3CDTF">2021-02-05T07:05:53Z</dcterms:modified>
</cp:coreProperties>
</file>