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00" w:type="dxa"/>
            <w:vAlign w:val="bottom"/>
          </w:tcPr>
          <w:p>
            <w:pPr>
              <w:spacing w:after="0"/>
              <w:rPr>
                <w:sz w:val="20"/>
                <w:szCs w:val="20"/>
                <w:color w:val="auto"/>
              </w:rPr>
            </w:pPr>
          </w:p>
        </w:tc>
        <w:tc>
          <w:tcPr>
            <w:tcW w:w="7160" w:type="dxa"/>
            <w:vAlign w:val="bottom"/>
          </w:tcPr>
          <w:p>
            <w:pPr>
              <w:jc w:val="center"/>
              <w:ind w:right="220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15, 2024</w:t>
            </w:r>
          </w:p>
        </w:tc>
      </w:tr>
      <w:tr>
        <w:trPr>
          <w:trHeight w:val="450"/>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00" w:type="dxa"/>
            <w:vAlign w:val="bottom"/>
          </w:tcPr>
          <w:p>
            <w:pPr>
              <w:spacing w:after="0"/>
              <w:rPr>
                <w:sz w:val="12"/>
                <w:szCs w:val="12"/>
                <w:color w:val="auto"/>
              </w:rPr>
            </w:pPr>
          </w:p>
        </w:tc>
        <w:tc>
          <w:tcPr>
            <w:tcW w:w="7160" w:type="dxa"/>
            <w:vAlign w:val="bottom"/>
          </w:tcPr>
          <w:p>
            <w:pPr>
              <w:jc w:val="center"/>
              <w:ind w:right="224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500" w:type="dxa"/>
            <w:vAlign w:val="bottom"/>
          </w:tcPr>
          <w:p>
            <w:pPr>
              <w:spacing w:after="0"/>
              <w:rPr>
                <w:sz w:val="24"/>
                <w:szCs w:val="24"/>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(Commission File Number)</w:t>
            </w:r>
          </w:p>
        </w:tc>
        <w:tc>
          <w:tcPr>
            <w:tcW w:w="7160" w:type="dxa"/>
            <w:vAlign w:val="bottom"/>
          </w:tcPr>
          <w:p>
            <w:pPr>
              <w:jc w:val="center"/>
              <w:ind w:left="508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60" w:type="dxa"/>
            <w:vAlign w:val="bottom"/>
          </w:tcPr>
          <w:p>
            <w:pPr>
              <w:spacing w:after="0"/>
              <w:rPr>
                <w:sz w:val="24"/>
                <w:szCs w:val="24"/>
                <w:color w:val="auto"/>
              </w:rPr>
            </w:pPr>
          </w:p>
        </w:tc>
      </w:tr>
      <w:tr>
        <w:trPr>
          <w:trHeight w:val="229"/>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0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6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00" w:type="dxa"/>
            <w:vAlign w:val="bottom"/>
          </w:tcPr>
          <w:p>
            <w:pPr>
              <w:spacing w:after="0"/>
              <w:rPr>
                <w:sz w:val="16"/>
                <w:szCs w:val="16"/>
                <w:color w:val="auto"/>
              </w:rPr>
            </w:pPr>
          </w:p>
        </w:tc>
        <w:tc>
          <w:tcPr>
            <w:tcW w:w="7160" w:type="dxa"/>
            <w:vAlign w:val="bottom"/>
          </w:tcPr>
          <w:p>
            <w:pPr>
              <w:jc w:val="center"/>
              <w:ind w:right="222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April 15, 2024, Wonya Y. Lucas was appointed as a director of Comcast Corporation (the “Company”). The Company’s Board of Directors has determined that Ms. Lucas is independent in accordance with applicable Nasdaq rules and the Company’s corporate governance guidelines. She has not yet been appointed to serve as a member of any Board committee.</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Ms. Lucas was the President and Chief Executive Officer of Hallmark Media Networks, which operates Hallmark-brand cable networks, from 2020 until 2023 and was a member of its Board of Directors until April 2024. Prior to joining Hallmark Media, she was President and Chief Executive Officer of Public Broadcasting Atlanta from 2015 to 2020, President of Lucas Strategic Consultants LLC from 2013 to 2015, and President and Chief Executive Officer of TV One from 2011 to 2013. Ms. Lucas has served as a director of Atlanta Braves Holdings, Inc. since 2023.</w:t>
      </w:r>
    </w:p>
    <w:p>
      <w:pPr>
        <w:spacing w:after="0" w:line="193" w:lineRule="exact"/>
        <w:rPr>
          <w:sz w:val="20"/>
          <w:szCs w:val="20"/>
          <w:color w:val="auto"/>
        </w:rPr>
      </w:pPr>
    </w:p>
    <w:p>
      <w:pPr>
        <w:ind w:right="780"/>
        <w:spacing w:after="0" w:line="242" w:lineRule="auto"/>
        <w:rPr>
          <w:sz w:val="20"/>
          <w:szCs w:val="20"/>
          <w:color w:val="auto"/>
        </w:rPr>
      </w:pPr>
      <w:r>
        <w:rPr>
          <w:rFonts w:ascii="Times New Roman" w:cs="Times New Roman" w:eastAsia="Times New Roman" w:hAnsi="Times New Roman"/>
          <w:sz w:val="18"/>
          <w:szCs w:val="18"/>
          <w:color w:val="auto"/>
        </w:rPr>
        <w:t>Ms. Lucas will receive compensation in accordance with the Company’s Non-Employee Director Compensation Plan, filed as Exhibit 10.3 to the Company’s Quarterly Report on Form 10-Q for the quarter ended June 30, 2023, and has entered into the Company’s standard form of director indemnification agreement.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4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00"/>
        </w:trPr>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69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2024</w:t>
            </w: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218"/>
        </w:trPr>
        <w:tc>
          <w:tcPr>
            <w:tcW w:w="3580" w:type="dxa"/>
            <w:vAlign w:val="bottom"/>
          </w:tcPr>
          <w:p>
            <w:pPr>
              <w:spacing w:after="0"/>
              <w:rPr>
                <w:sz w:val="18"/>
                <w:szCs w:val="18"/>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Wideman</w:t>
            </w:r>
          </w:p>
        </w:tc>
      </w:tr>
      <w:tr>
        <w:trPr>
          <w:trHeight w:val="180"/>
        </w:trPr>
        <w:tc>
          <w:tcPr>
            <w:tcW w:w="35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Senior Deputy General Counsel</w:t>
            </w:r>
          </w:p>
        </w:tc>
      </w:tr>
      <w:tr>
        <w:trPr>
          <w:trHeight w:val="243"/>
        </w:trPr>
        <w:tc>
          <w:tcPr>
            <w:tcW w:w="3580" w:type="dxa"/>
            <w:vAlign w:val="bottom"/>
          </w:tcPr>
          <w:p>
            <w:pPr>
              <w:spacing w:after="0"/>
              <w:rPr>
                <w:sz w:val="21"/>
                <w:szCs w:val="21"/>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Assistant Secretary</w:t>
            </w:r>
          </w:p>
        </w:tc>
      </w:tr>
    </w:tbl>
    <w:p>
      <w:pPr>
        <w:spacing w:after="0" w:line="1" w:lineRule="exact"/>
        <w:rPr>
          <w:sz w:val="20"/>
          <w:szCs w:val="20"/>
          <w:color w:val="auto"/>
        </w:rPr>
      </w:pPr>
    </w:p>
    <w:sectPr>
      <w:pgSz w:w="11900" w:h="16838" w:orient="portrait"/>
      <w:cols w:equalWidth="0" w:num="1">
        <w:col w:w="11200"/>
      </w:cols>
      <w:pgMar w:left="320" w:top="9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2024-04-15T15:18:57Z</dcterms:created>
  <dcterms:modified xsi:type="dcterms:W3CDTF">2024-04-15T15:18:57Z</dcterms:modified>
</cp:coreProperties>
</file>