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760"/>
        <w:spacing w:after="0"/>
        <w:rPr>
          <w:sz w:val="20"/>
          <w:szCs w:val="20"/>
          <w:color w:val="auto"/>
        </w:rPr>
      </w:pPr>
      <w:r>
        <w:rPr>
          <w:rFonts w:ascii="Arial" w:cs="Arial" w:eastAsia="Arial" w:hAnsi="Arial"/>
          <w:sz w:val="25"/>
          <w:szCs w:val="25"/>
          <w:color w:val="auto"/>
        </w:rPr>
        <w:t>_______________</w:t>
      </w:r>
    </w:p>
    <w:p>
      <w:pPr>
        <w:spacing w:after="0" w:line="261"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380"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Pursuant to Section 13 or 15(d) of the</w:t>
      </w:r>
    </w:p>
    <w:p>
      <w:pPr>
        <w:spacing w:after="0" w:line="10"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Securities Exchange Act of 1934</w:t>
      </w:r>
    </w:p>
    <w:p>
      <w:pPr>
        <w:spacing w:after="0" w:line="287"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Date of report (Date of earliest event reported): May 19, 2016</w:t>
      </w:r>
    </w:p>
    <w:p>
      <w:pPr>
        <w:spacing w:after="0" w:line="217"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Comcast Corporation</w:t>
      </w:r>
    </w:p>
    <w:p>
      <w:pPr>
        <w:spacing w:after="0" w:line="34"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(Exact Name of Registrant</w:t>
      </w:r>
    </w:p>
    <w:p>
      <w:pPr>
        <w:spacing w:after="0" w:line="7"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as Specified in its Charter)</w:t>
      </w:r>
    </w:p>
    <w:p>
      <w:pPr>
        <w:spacing w:after="0" w:line="20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Pennsylvania</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(State or Other Jurisdiction of</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tbl>
      <w:tblPr>
        <w:tblLayout w:type="fixed"/>
        <w:tblInd w:w="1200" w:type="dxa"/>
        <w:tblCellMar>
          <w:top w:w="0" w:type="dxa"/>
          <w:left w:w="0" w:type="dxa"/>
          <w:bottom w:w="0" w:type="dxa"/>
          <w:right w:w="0" w:type="dxa"/>
        </w:tblCellMar>
      </w:tblPr>
      <w:tr>
        <w:trPr>
          <w:trHeight w:val="220"/>
        </w:trPr>
        <w:tc>
          <w:tcPr>
            <w:tcW w:w="4640" w:type="dxa"/>
            <w:vAlign w:val="bottom"/>
          </w:tcPr>
          <w:p>
            <w:pPr>
              <w:jc w:val="center"/>
              <w:ind w:right="1610"/>
              <w:spacing w:after="0"/>
              <w:rPr>
                <w:sz w:val="20"/>
                <w:szCs w:val="20"/>
                <w:color w:val="auto"/>
              </w:rPr>
            </w:pPr>
            <w:r>
              <w:rPr>
                <w:rFonts w:ascii="Arial" w:cs="Arial" w:eastAsia="Arial" w:hAnsi="Arial"/>
                <w:sz w:val="18"/>
                <w:szCs w:val="18"/>
                <w:b w:val="1"/>
                <w:bCs w:val="1"/>
                <w:color w:val="auto"/>
                <w:w w:val="90"/>
              </w:rPr>
              <w:t>001-32871</w:t>
            </w:r>
          </w:p>
        </w:tc>
        <w:tc>
          <w:tcPr>
            <w:tcW w:w="4180" w:type="dxa"/>
            <w:vAlign w:val="bottom"/>
          </w:tcPr>
          <w:p>
            <w:pPr>
              <w:jc w:val="center"/>
              <w:ind w:left="1590"/>
              <w:spacing w:after="0"/>
              <w:rPr>
                <w:sz w:val="20"/>
                <w:szCs w:val="20"/>
                <w:color w:val="auto"/>
              </w:rPr>
            </w:pPr>
            <w:r>
              <w:rPr>
                <w:rFonts w:ascii="Arial" w:cs="Arial" w:eastAsia="Arial" w:hAnsi="Arial"/>
                <w:sz w:val="18"/>
                <w:szCs w:val="18"/>
                <w:b w:val="1"/>
                <w:bCs w:val="1"/>
                <w:color w:val="auto"/>
                <w:w w:val="89"/>
              </w:rPr>
              <w:t>27-0000798</w:t>
            </w:r>
          </w:p>
        </w:tc>
      </w:tr>
      <w:tr>
        <w:trPr>
          <w:trHeight w:val="230"/>
        </w:trPr>
        <w:tc>
          <w:tcPr>
            <w:tcW w:w="4640" w:type="dxa"/>
            <w:vAlign w:val="bottom"/>
          </w:tcPr>
          <w:p>
            <w:pPr>
              <w:jc w:val="center"/>
              <w:ind w:right="1630"/>
              <w:spacing w:after="0"/>
              <w:rPr>
                <w:sz w:val="20"/>
                <w:szCs w:val="20"/>
                <w:color w:val="auto"/>
              </w:rPr>
            </w:pPr>
            <w:r>
              <w:rPr>
                <w:rFonts w:ascii="Arial" w:cs="Arial" w:eastAsia="Arial" w:hAnsi="Arial"/>
                <w:sz w:val="18"/>
                <w:szCs w:val="18"/>
                <w:color w:val="auto"/>
                <w:w w:val="93"/>
              </w:rPr>
              <w:t>(Commission File Number)</w:t>
            </w:r>
          </w:p>
        </w:tc>
        <w:tc>
          <w:tcPr>
            <w:tcW w:w="4180" w:type="dxa"/>
            <w:vAlign w:val="bottom"/>
          </w:tcPr>
          <w:p>
            <w:pPr>
              <w:jc w:val="center"/>
              <w:ind w:left="161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4640" w:type="dxa"/>
            <w:vAlign w:val="bottom"/>
          </w:tcPr>
          <w:p>
            <w:pPr>
              <w:jc w:val="center"/>
              <w:ind w:right="1630"/>
              <w:spacing w:after="0"/>
              <w:rPr>
                <w:sz w:val="20"/>
                <w:szCs w:val="20"/>
                <w:color w:val="auto"/>
              </w:rPr>
            </w:pPr>
            <w:r>
              <w:rPr>
                <w:rFonts w:ascii="Arial" w:cs="Arial" w:eastAsia="Arial" w:hAnsi="Arial"/>
                <w:sz w:val="18"/>
                <w:szCs w:val="18"/>
                <w:b w:val="1"/>
                <w:bCs w:val="1"/>
                <w:color w:val="auto"/>
                <w:w w:val="89"/>
              </w:rPr>
              <w:t>One Comcast Center</w:t>
            </w:r>
          </w:p>
        </w:tc>
        <w:tc>
          <w:tcPr>
            <w:tcW w:w="4180" w:type="dxa"/>
            <w:vAlign w:val="bottom"/>
          </w:tcPr>
          <w:p>
            <w:pPr>
              <w:spacing w:after="0"/>
              <w:rPr>
                <w:sz w:val="24"/>
                <w:szCs w:val="24"/>
                <w:color w:val="auto"/>
              </w:rPr>
            </w:pPr>
          </w:p>
        </w:tc>
      </w:tr>
      <w:tr>
        <w:trPr>
          <w:trHeight w:val="220"/>
        </w:trPr>
        <w:tc>
          <w:tcPr>
            <w:tcW w:w="4640" w:type="dxa"/>
            <w:vAlign w:val="bottom"/>
          </w:tcPr>
          <w:p>
            <w:pPr>
              <w:jc w:val="center"/>
              <w:ind w:right="1630"/>
              <w:spacing w:after="0"/>
              <w:rPr>
                <w:sz w:val="20"/>
                <w:szCs w:val="20"/>
                <w:color w:val="auto"/>
              </w:rPr>
            </w:pPr>
            <w:r>
              <w:rPr>
                <w:rFonts w:ascii="Arial" w:cs="Arial" w:eastAsia="Arial" w:hAnsi="Arial"/>
                <w:sz w:val="18"/>
                <w:szCs w:val="18"/>
                <w:b w:val="1"/>
                <w:bCs w:val="1"/>
                <w:color w:val="auto"/>
                <w:w w:val="90"/>
              </w:rPr>
              <w:t>Philadelphia, PA</w:t>
            </w:r>
          </w:p>
        </w:tc>
        <w:tc>
          <w:tcPr>
            <w:tcW w:w="4180" w:type="dxa"/>
            <w:vAlign w:val="bottom"/>
          </w:tcPr>
          <w:p>
            <w:pPr>
              <w:jc w:val="center"/>
              <w:ind w:left="1590"/>
              <w:spacing w:after="0"/>
              <w:rPr>
                <w:sz w:val="20"/>
                <w:szCs w:val="20"/>
                <w:color w:val="auto"/>
              </w:rPr>
            </w:pPr>
            <w:r>
              <w:rPr>
                <w:rFonts w:ascii="Arial" w:cs="Arial" w:eastAsia="Arial" w:hAnsi="Arial"/>
                <w:sz w:val="18"/>
                <w:szCs w:val="18"/>
                <w:b w:val="1"/>
                <w:bCs w:val="1"/>
                <w:color w:val="auto"/>
                <w:w w:val="89"/>
              </w:rPr>
              <w:t>19103-2838</w:t>
            </w:r>
          </w:p>
        </w:tc>
      </w:tr>
      <w:tr>
        <w:trPr>
          <w:trHeight w:val="230"/>
        </w:trPr>
        <w:tc>
          <w:tcPr>
            <w:tcW w:w="4640" w:type="dxa"/>
            <w:vAlign w:val="bottom"/>
          </w:tcPr>
          <w:p>
            <w:pPr>
              <w:jc w:val="center"/>
              <w:ind w:right="1630"/>
              <w:spacing w:after="0"/>
              <w:rPr>
                <w:sz w:val="20"/>
                <w:szCs w:val="20"/>
                <w:color w:val="auto"/>
              </w:rPr>
            </w:pPr>
            <w:r>
              <w:rPr>
                <w:rFonts w:ascii="Arial" w:cs="Arial" w:eastAsia="Arial" w:hAnsi="Arial"/>
                <w:sz w:val="18"/>
                <w:szCs w:val="18"/>
                <w:color w:val="auto"/>
                <w:w w:val="92"/>
              </w:rPr>
              <w:t>(Address of Principal Executive Offices)</w:t>
            </w:r>
          </w:p>
        </w:tc>
        <w:tc>
          <w:tcPr>
            <w:tcW w:w="4180" w:type="dxa"/>
            <w:vAlign w:val="bottom"/>
          </w:tcPr>
          <w:p>
            <w:pPr>
              <w:jc w:val="center"/>
              <w:ind w:left="161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14" w:lineRule="exact"/>
        <w:rPr>
          <w:sz w:val="24"/>
          <w:szCs w:val="24"/>
          <w:color w:val="auto"/>
        </w:rPr>
      </w:pPr>
    </w:p>
    <w:p>
      <w:pPr>
        <w:ind w:left="32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(215) 286-1700</w:t>
      </w:r>
    </w:p>
    <w:p>
      <w:pPr>
        <w:spacing w:after="0" w:line="200" w:lineRule="exact"/>
        <w:rPr>
          <w:sz w:val="24"/>
          <w:szCs w:val="24"/>
          <w:color w:val="auto"/>
        </w:rPr>
      </w:pPr>
    </w:p>
    <w:p>
      <w:pPr>
        <w:spacing w:after="0" w:line="245"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880"/>
          </w:cols>
          <w:pgMar w:left="240" w:top="630" w:right="779" w:bottom="1440" w:gutter="0" w:footer="0" w:header="0"/>
        </w:sectPr>
      </w:pPr>
    </w:p>
    <w:bookmarkStart w:id="1" w:name="page2"/>
    <w:bookmarkEnd w:id="1"/>
    <w:p>
      <w:pPr>
        <w:ind w:right="40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At our annual meeting of shareholders held on May 19, 2016 (the “annual meeting”), our shareholders approved amendments to (i) our 2002 Restricted Stock Plan, as amended and restated (the “Restricted Stock Plan”), (ii) our 2003 Stock Option Plan, as amended and restated (the “Stock Option Plan”), (iii) the Comcast Corporation 2002 Employee Stock Purchase Plan, as amended and restated (the “Comcast Employee Stock Purchase Plan”), and (iv) the Comcast-NBCUniversal 2011 Employee Stock Purchase Plan, as amended and restated (the “NBCUniversal Employee Stock Purchase Plan,” and collectively, the “Plans”) as follows:</w:t>
      </w:r>
    </w:p>
    <w:p>
      <w:pPr>
        <w:spacing w:after="0" w:line="188" w:lineRule="exact"/>
        <w:rPr>
          <w:sz w:val="20"/>
          <w:szCs w:val="20"/>
          <w:color w:val="auto"/>
        </w:rPr>
      </w:pPr>
    </w:p>
    <w:p>
      <w:pPr>
        <w:ind w:left="660" w:hanging="328"/>
        <w:spacing w:after="0" w:line="297"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Shareholders approved amendments to the Restricted Stock Plan to increase the number of shares available for issuance by 37,500,000 from 96,500,000 to 134,000,000 and to extend its expiration date from May 11, 2021 to May 19, 2026. Shareholders also approved the range of performance targets that the Compensation Committee of our Board of Directors may use in connection with the grant of awards under the Restricted Stock Plan. By obtaining this approval, any shares delivered pursuant to awards that are tied to objective, quantitative performance targets will be eligible to be treated as “qualified performance-based compensation” within the meaning of Section 162(m) of the Internal Revenue Code.</w:t>
      </w:r>
    </w:p>
    <w:p>
      <w:pPr>
        <w:spacing w:after="0" w:line="185" w:lineRule="exact"/>
        <w:rPr>
          <w:rFonts w:ascii="Arial" w:cs="Arial" w:eastAsia="Arial" w:hAnsi="Arial"/>
          <w:sz w:val="16"/>
          <w:szCs w:val="16"/>
          <w:color w:val="auto"/>
        </w:rPr>
      </w:pPr>
    </w:p>
    <w:p>
      <w:pPr>
        <w:ind w:left="660" w:right="90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Shareholders approved amendments to the Stock Option Plan to increase the number of shares available for issuance by 99,000,000 from 245,000,000 to 344,000,000 and to extend its expiration date from May 11, 2021 to May 19, 2026.</w:t>
      </w:r>
    </w:p>
    <w:p>
      <w:pPr>
        <w:spacing w:after="0" w:line="197" w:lineRule="exact"/>
        <w:rPr>
          <w:rFonts w:ascii="Arial" w:cs="Arial" w:eastAsia="Arial" w:hAnsi="Arial"/>
          <w:sz w:val="18"/>
          <w:szCs w:val="18"/>
          <w:color w:val="auto"/>
        </w:rPr>
      </w:pPr>
    </w:p>
    <w:p>
      <w:pPr>
        <w:ind w:left="660" w:right="120" w:hanging="328"/>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Shareholders approved amendments to the Comcast Employee Stock Purchase Plan to increase the number of shares available for issuance from 35,500,000 to 50,500,000 and approved the Comcast Employee Stock Purchase Plan in its entirety in order to satisfy certain requirements under the Internal Revenue Code so that certain tax benefits will be available to our employees.</w:t>
      </w:r>
    </w:p>
    <w:p>
      <w:pPr>
        <w:spacing w:after="0" w:line="208"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Shareholders approved amendments to the NBCUniversal Employee Stock Purchase Plan to increase the number of shares available for issuance from 4,600,000 to 12,100,000.</w:t>
      </w:r>
    </w:p>
    <w:p>
      <w:pPr>
        <w:spacing w:after="0" w:line="19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amendments to the Plans had previously been approved on February 22, 2016 by the Compensation Committee of our Board of Directors, subject to shareholder approval.</w:t>
      </w:r>
    </w:p>
    <w:p>
      <w:pPr>
        <w:spacing w:after="0" w:line="17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above description of the Plans are qualified in their entirety by reference to the full text of the Restricted Stock Plan, the Stock Option Plan, the Comcast Employee Stock Purchase Plan and the NBCUniversal Employee Stock Purchase Plan, which were filed as Appendix A, Appendix B, Appendix C and Appendix D, respectively, to our definitive proxy statement, dated April 8, 2016 (the “proxy statement”), and are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the annual meeting, our shareholders approved, or did not approve, the following proposals. The number of votes cast for and against (or withheld) and the number of abstentions and broker non-votes with respect to each such proposal are set forth below.</w:t>
      </w:r>
    </w:p>
    <w:p>
      <w:pPr>
        <w:spacing w:after="0" w:line="170"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of the director nominees named in the proxy statement were elected to serve as directors for one-year terms.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60" w:type="dxa"/>
            <w:vAlign w:val="bottom"/>
          </w:tcPr>
          <w:p>
            <w:pPr>
              <w:spacing w:after="0"/>
              <w:rPr>
                <w:sz w:val="18"/>
                <w:szCs w:val="18"/>
                <w:color w:val="auto"/>
              </w:rPr>
            </w:pPr>
          </w:p>
        </w:tc>
        <w:tc>
          <w:tcPr>
            <w:tcW w:w="1220" w:type="dxa"/>
            <w:vAlign w:val="bottom"/>
            <w:gridSpan w:val="2"/>
          </w:tcPr>
          <w:p>
            <w:pPr>
              <w:jc w:val="center"/>
              <w:ind w:right="960"/>
              <w:spacing w:after="0"/>
              <w:rPr>
                <w:sz w:val="20"/>
                <w:szCs w:val="20"/>
                <w:color w:val="auto"/>
              </w:rPr>
            </w:pPr>
            <w:r>
              <w:rPr>
                <w:rFonts w:ascii="Arial" w:cs="Arial" w:eastAsia="Arial" w:hAnsi="Arial"/>
                <w:sz w:val="18"/>
                <w:szCs w:val="18"/>
                <w:color w:val="auto"/>
                <w:w w:val="96"/>
              </w:rPr>
              <w:t>For</w:t>
            </w:r>
          </w:p>
        </w:tc>
        <w:tc>
          <w:tcPr>
            <w:tcW w:w="1820" w:type="dxa"/>
            <w:vAlign w:val="bottom"/>
            <w:gridSpan w:val="3"/>
          </w:tcPr>
          <w:p>
            <w:pPr>
              <w:jc w:val="right"/>
              <w:ind w:right="460"/>
              <w:spacing w:after="0"/>
              <w:rPr>
                <w:sz w:val="20"/>
                <w:szCs w:val="20"/>
                <w:color w:val="auto"/>
              </w:rPr>
            </w:pPr>
            <w:r>
              <w:rPr>
                <w:rFonts w:ascii="Arial" w:cs="Arial" w:eastAsia="Arial" w:hAnsi="Arial"/>
                <w:sz w:val="18"/>
                <w:szCs w:val="18"/>
                <w:color w:val="auto"/>
              </w:rPr>
              <w:t>Withheld</w:t>
            </w:r>
          </w:p>
        </w:tc>
        <w:tc>
          <w:tcPr>
            <w:tcW w:w="3420" w:type="dxa"/>
            <w:vAlign w:val="bottom"/>
            <w:gridSpan w:val="3"/>
          </w:tcPr>
          <w:p>
            <w:pPr>
              <w:ind w:left="360"/>
              <w:spacing w:after="0"/>
              <w:rPr>
                <w:sz w:val="20"/>
                <w:szCs w:val="20"/>
                <w:color w:val="auto"/>
              </w:rPr>
            </w:pPr>
            <w:r>
              <w:rPr>
                <w:rFonts w:ascii="Arial" w:cs="Arial" w:eastAsia="Arial" w:hAnsi="Arial"/>
                <w:sz w:val="18"/>
                <w:szCs w:val="18"/>
                <w:color w:val="auto"/>
              </w:rPr>
              <w:t>Broker Non-Votes</w:t>
            </w: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22"/>
        </w:trPr>
        <w:tc>
          <w:tcPr>
            <w:tcW w:w="1140" w:type="dxa"/>
            <w:vAlign w:val="bottom"/>
          </w:tcPr>
          <w:p>
            <w:pPr>
              <w:spacing w:after="0"/>
              <w:rPr>
                <w:sz w:val="19"/>
                <w:szCs w:val="19"/>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Kenneth J. Bacon</w:t>
            </w:r>
          </w:p>
        </w:tc>
        <w:tc>
          <w:tcPr>
            <w:tcW w:w="248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361,818,329</w:t>
            </w:r>
          </w:p>
        </w:tc>
        <w:tc>
          <w:tcPr>
            <w:tcW w:w="1820" w:type="dxa"/>
            <w:vAlign w:val="bottom"/>
            <w:gridSpan w:val="3"/>
          </w:tcPr>
          <w:p>
            <w:pPr>
              <w:jc w:val="right"/>
              <w:ind w:right="360"/>
              <w:spacing w:after="0"/>
              <w:rPr>
                <w:sz w:val="20"/>
                <w:szCs w:val="20"/>
                <w:color w:val="auto"/>
              </w:rPr>
            </w:pPr>
            <w:r>
              <w:rPr>
                <w:rFonts w:ascii="Arial" w:cs="Arial" w:eastAsia="Arial" w:hAnsi="Arial"/>
                <w:sz w:val="18"/>
                <w:szCs w:val="18"/>
                <w:color w:val="auto"/>
              </w:rPr>
              <w:t>5,149,206</w:t>
            </w: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21,148,493</w:t>
            </w:r>
          </w:p>
        </w:tc>
        <w:tc>
          <w:tcPr>
            <w:tcW w:w="1740" w:type="dxa"/>
            <w:vAlign w:val="bottom"/>
          </w:tcPr>
          <w:p>
            <w:pPr>
              <w:spacing w:after="0"/>
              <w:rPr>
                <w:sz w:val="19"/>
                <w:szCs w:val="19"/>
                <w:color w:val="auto"/>
              </w:rPr>
            </w:pPr>
          </w:p>
        </w:tc>
      </w:tr>
      <w:tr>
        <w:trPr>
          <w:trHeight w:val="216"/>
        </w:trPr>
        <w:tc>
          <w:tcPr>
            <w:tcW w:w="114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Madeline S. Bell</w:t>
            </w:r>
          </w:p>
        </w:tc>
        <w:tc>
          <w:tcPr>
            <w:tcW w:w="248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366,010,378</w:t>
            </w:r>
          </w:p>
        </w:tc>
        <w:tc>
          <w:tcPr>
            <w:tcW w:w="1820" w:type="dxa"/>
            <w:vAlign w:val="bottom"/>
            <w:gridSpan w:val="3"/>
          </w:tcPr>
          <w:p>
            <w:pPr>
              <w:jc w:val="right"/>
              <w:ind w:right="360"/>
              <w:spacing w:after="0"/>
              <w:rPr>
                <w:sz w:val="20"/>
                <w:szCs w:val="20"/>
                <w:color w:val="auto"/>
              </w:rPr>
            </w:pPr>
            <w:r>
              <w:rPr>
                <w:rFonts w:ascii="Arial" w:cs="Arial" w:eastAsia="Arial" w:hAnsi="Arial"/>
                <w:sz w:val="18"/>
                <w:szCs w:val="18"/>
                <w:color w:val="auto"/>
              </w:rPr>
              <w:t>957,157</w:t>
            </w: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21,148,493</w:t>
            </w:r>
          </w:p>
        </w:tc>
        <w:tc>
          <w:tcPr>
            <w:tcW w:w="17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Sheldon M. Bonovitz</w:t>
            </w:r>
          </w:p>
        </w:tc>
        <w:tc>
          <w:tcPr>
            <w:tcW w:w="248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363,428,030</w:t>
            </w:r>
          </w:p>
        </w:tc>
        <w:tc>
          <w:tcPr>
            <w:tcW w:w="1820" w:type="dxa"/>
            <w:vAlign w:val="bottom"/>
            <w:gridSpan w:val="3"/>
          </w:tcPr>
          <w:p>
            <w:pPr>
              <w:jc w:val="right"/>
              <w:ind w:right="360"/>
              <w:spacing w:after="0"/>
              <w:rPr>
                <w:sz w:val="20"/>
                <w:szCs w:val="20"/>
                <w:color w:val="auto"/>
              </w:rPr>
            </w:pPr>
            <w:r>
              <w:rPr>
                <w:rFonts w:ascii="Arial" w:cs="Arial" w:eastAsia="Arial" w:hAnsi="Arial"/>
                <w:sz w:val="18"/>
                <w:szCs w:val="18"/>
                <w:color w:val="auto"/>
              </w:rPr>
              <w:t>3,539,505</w:t>
            </w: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21,148,493</w:t>
            </w:r>
          </w:p>
        </w:tc>
        <w:tc>
          <w:tcPr>
            <w:tcW w:w="17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Edward D. Breen</w:t>
            </w:r>
          </w:p>
        </w:tc>
        <w:tc>
          <w:tcPr>
            <w:tcW w:w="248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288,347,972</w:t>
            </w:r>
          </w:p>
        </w:tc>
        <w:tc>
          <w:tcPr>
            <w:tcW w:w="1820" w:type="dxa"/>
            <w:vAlign w:val="bottom"/>
            <w:gridSpan w:val="3"/>
          </w:tcPr>
          <w:p>
            <w:pPr>
              <w:jc w:val="right"/>
              <w:ind w:right="360"/>
              <w:spacing w:after="0"/>
              <w:rPr>
                <w:sz w:val="20"/>
                <w:szCs w:val="20"/>
                <w:color w:val="auto"/>
              </w:rPr>
            </w:pPr>
            <w:r>
              <w:rPr>
                <w:rFonts w:ascii="Arial" w:cs="Arial" w:eastAsia="Arial" w:hAnsi="Arial"/>
                <w:sz w:val="18"/>
                <w:szCs w:val="18"/>
                <w:color w:val="auto"/>
              </w:rPr>
              <w:t>78,619,563</w:t>
            </w: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21,148,493</w:t>
            </w:r>
          </w:p>
        </w:tc>
        <w:tc>
          <w:tcPr>
            <w:tcW w:w="17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Joseph J. Collins</w:t>
            </w:r>
          </w:p>
        </w:tc>
        <w:tc>
          <w:tcPr>
            <w:tcW w:w="248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289,104,158</w:t>
            </w:r>
          </w:p>
        </w:tc>
        <w:tc>
          <w:tcPr>
            <w:tcW w:w="1820" w:type="dxa"/>
            <w:vAlign w:val="bottom"/>
            <w:gridSpan w:val="3"/>
          </w:tcPr>
          <w:p>
            <w:pPr>
              <w:jc w:val="right"/>
              <w:ind w:right="360"/>
              <w:spacing w:after="0"/>
              <w:rPr>
                <w:sz w:val="20"/>
                <w:szCs w:val="20"/>
                <w:color w:val="auto"/>
              </w:rPr>
            </w:pPr>
            <w:r>
              <w:rPr>
                <w:rFonts w:ascii="Arial" w:cs="Arial" w:eastAsia="Arial" w:hAnsi="Arial"/>
                <w:sz w:val="18"/>
                <w:szCs w:val="18"/>
                <w:color w:val="auto"/>
              </w:rPr>
              <w:t>77,863,377</w:t>
            </w: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21,148,493</w:t>
            </w:r>
          </w:p>
        </w:tc>
        <w:tc>
          <w:tcPr>
            <w:tcW w:w="17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Gerald L. Hassell</w:t>
            </w:r>
          </w:p>
        </w:tc>
        <w:tc>
          <w:tcPr>
            <w:tcW w:w="248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289,362,474</w:t>
            </w:r>
          </w:p>
        </w:tc>
        <w:tc>
          <w:tcPr>
            <w:tcW w:w="1820" w:type="dxa"/>
            <w:vAlign w:val="bottom"/>
            <w:gridSpan w:val="3"/>
          </w:tcPr>
          <w:p>
            <w:pPr>
              <w:jc w:val="right"/>
              <w:ind w:right="360"/>
              <w:spacing w:after="0"/>
              <w:rPr>
                <w:sz w:val="20"/>
                <w:szCs w:val="20"/>
                <w:color w:val="auto"/>
              </w:rPr>
            </w:pPr>
            <w:r>
              <w:rPr>
                <w:rFonts w:ascii="Arial" w:cs="Arial" w:eastAsia="Arial" w:hAnsi="Arial"/>
                <w:sz w:val="18"/>
                <w:szCs w:val="18"/>
                <w:color w:val="auto"/>
              </w:rPr>
              <w:t>77,605,061</w:t>
            </w: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21,148,493</w:t>
            </w:r>
          </w:p>
        </w:tc>
        <w:tc>
          <w:tcPr>
            <w:tcW w:w="17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Jeffrey A. Honickman</w:t>
            </w:r>
          </w:p>
        </w:tc>
        <w:tc>
          <w:tcPr>
            <w:tcW w:w="248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364,799,292</w:t>
            </w:r>
          </w:p>
        </w:tc>
        <w:tc>
          <w:tcPr>
            <w:tcW w:w="1820" w:type="dxa"/>
            <w:vAlign w:val="bottom"/>
            <w:gridSpan w:val="3"/>
          </w:tcPr>
          <w:p>
            <w:pPr>
              <w:jc w:val="right"/>
              <w:ind w:right="360"/>
              <w:spacing w:after="0"/>
              <w:rPr>
                <w:sz w:val="20"/>
                <w:szCs w:val="20"/>
                <w:color w:val="auto"/>
              </w:rPr>
            </w:pPr>
            <w:r>
              <w:rPr>
                <w:rFonts w:ascii="Arial" w:cs="Arial" w:eastAsia="Arial" w:hAnsi="Arial"/>
                <w:sz w:val="18"/>
                <w:szCs w:val="18"/>
                <w:color w:val="auto"/>
              </w:rPr>
              <w:t>2,168,243</w:t>
            </w: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21,148,493</w:t>
            </w:r>
          </w:p>
        </w:tc>
        <w:tc>
          <w:tcPr>
            <w:tcW w:w="17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Eduardo G. Mestre</w:t>
            </w:r>
          </w:p>
        </w:tc>
        <w:tc>
          <w:tcPr>
            <w:tcW w:w="248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365,386,904</w:t>
            </w:r>
          </w:p>
        </w:tc>
        <w:tc>
          <w:tcPr>
            <w:tcW w:w="1820" w:type="dxa"/>
            <w:vAlign w:val="bottom"/>
            <w:gridSpan w:val="3"/>
          </w:tcPr>
          <w:p>
            <w:pPr>
              <w:jc w:val="right"/>
              <w:ind w:right="360"/>
              <w:spacing w:after="0"/>
              <w:rPr>
                <w:sz w:val="20"/>
                <w:szCs w:val="20"/>
                <w:color w:val="auto"/>
              </w:rPr>
            </w:pPr>
            <w:r>
              <w:rPr>
                <w:rFonts w:ascii="Arial" w:cs="Arial" w:eastAsia="Arial" w:hAnsi="Arial"/>
                <w:sz w:val="18"/>
                <w:szCs w:val="18"/>
                <w:color w:val="auto"/>
              </w:rPr>
              <w:t>1,580,631</w:t>
            </w: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21,148,493</w:t>
            </w:r>
          </w:p>
        </w:tc>
        <w:tc>
          <w:tcPr>
            <w:tcW w:w="17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Brian L. Roberts</w:t>
            </w:r>
          </w:p>
        </w:tc>
        <w:tc>
          <w:tcPr>
            <w:tcW w:w="248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359,213,374</w:t>
            </w:r>
          </w:p>
        </w:tc>
        <w:tc>
          <w:tcPr>
            <w:tcW w:w="1820" w:type="dxa"/>
            <w:vAlign w:val="bottom"/>
            <w:gridSpan w:val="3"/>
          </w:tcPr>
          <w:p>
            <w:pPr>
              <w:jc w:val="right"/>
              <w:ind w:right="360"/>
              <w:spacing w:after="0"/>
              <w:rPr>
                <w:sz w:val="20"/>
                <w:szCs w:val="20"/>
                <w:color w:val="auto"/>
              </w:rPr>
            </w:pPr>
            <w:r>
              <w:rPr>
                <w:rFonts w:ascii="Arial" w:cs="Arial" w:eastAsia="Arial" w:hAnsi="Arial"/>
                <w:sz w:val="18"/>
                <w:szCs w:val="18"/>
                <w:color w:val="auto"/>
              </w:rPr>
              <w:t>7,754,161</w:t>
            </w: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21,148,493</w:t>
            </w:r>
          </w:p>
        </w:tc>
        <w:tc>
          <w:tcPr>
            <w:tcW w:w="17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Johnathan A. Rodgers</w:t>
            </w:r>
          </w:p>
        </w:tc>
        <w:tc>
          <w:tcPr>
            <w:tcW w:w="248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364,946,573</w:t>
            </w:r>
          </w:p>
        </w:tc>
        <w:tc>
          <w:tcPr>
            <w:tcW w:w="1820" w:type="dxa"/>
            <w:vAlign w:val="bottom"/>
            <w:gridSpan w:val="3"/>
          </w:tcPr>
          <w:p>
            <w:pPr>
              <w:jc w:val="right"/>
              <w:ind w:right="360"/>
              <w:spacing w:after="0"/>
              <w:rPr>
                <w:sz w:val="20"/>
                <w:szCs w:val="20"/>
                <w:color w:val="auto"/>
              </w:rPr>
            </w:pPr>
            <w:r>
              <w:rPr>
                <w:rFonts w:ascii="Arial" w:cs="Arial" w:eastAsia="Arial" w:hAnsi="Arial"/>
                <w:sz w:val="18"/>
                <w:szCs w:val="18"/>
                <w:color w:val="auto"/>
              </w:rPr>
              <w:t>2,020,962</w:t>
            </w: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21,148,493</w:t>
            </w:r>
          </w:p>
        </w:tc>
        <w:tc>
          <w:tcPr>
            <w:tcW w:w="1740" w:type="dxa"/>
            <w:vAlign w:val="bottom"/>
          </w:tcPr>
          <w:p>
            <w:pPr>
              <w:spacing w:after="0"/>
              <w:rPr>
                <w:sz w:val="18"/>
                <w:szCs w:val="18"/>
                <w:color w:val="auto"/>
              </w:rPr>
            </w:pPr>
          </w:p>
        </w:tc>
      </w:tr>
      <w:tr>
        <w:trPr>
          <w:trHeight w:val="230"/>
        </w:trPr>
        <w:tc>
          <w:tcPr>
            <w:tcW w:w="1140" w:type="dxa"/>
            <w:vAlign w:val="bottom"/>
          </w:tcPr>
          <w:p>
            <w:pPr>
              <w:spacing w:after="0"/>
              <w:rPr>
                <w:sz w:val="20"/>
                <w:szCs w:val="20"/>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Dr. Judith Rodin</w:t>
            </w:r>
          </w:p>
        </w:tc>
        <w:tc>
          <w:tcPr>
            <w:tcW w:w="248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282,060,735</w:t>
            </w:r>
          </w:p>
        </w:tc>
        <w:tc>
          <w:tcPr>
            <w:tcW w:w="1820" w:type="dxa"/>
            <w:vAlign w:val="bottom"/>
            <w:gridSpan w:val="3"/>
          </w:tcPr>
          <w:p>
            <w:pPr>
              <w:jc w:val="right"/>
              <w:ind w:right="360"/>
              <w:spacing w:after="0"/>
              <w:rPr>
                <w:sz w:val="20"/>
                <w:szCs w:val="20"/>
                <w:color w:val="auto"/>
              </w:rPr>
            </w:pPr>
            <w:r>
              <w:rPr>
                <w:rFonts w:ascii="Arial" w:cs="Arial" w:eastAsia="Arial" w:hAnsi="Arial"/>
                <w:sz w:val="18"/>
                <w:szCs w:val="18"/>
                <w:color w:val="auto"/>
              </w:rPr>
              <w:t>84,906,800</w:t>
            </w: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21,148,493</w:t>
            </w:r>
          </w:p>
        </w:tc>
        <w:tc>
          <w:tcPr>
            <w:tcW w:w="1740" w:type="dxa"/>
            <w:vAlign w:val="bottom"/>
          </w:tcPr>
          <w:p>
            <w:pPr>
              <w:spacing w:after="0"/>
              <w:rPr>
                <w:sz w:val="20"/>
                <w:szCs w:val="20"/>
                <w:color w:val="auto"/>
              </w:rPr>
            </w:pPr>
          </w:p>
        </w:tc>
      </w:tr>
      <w:tr>
        <w:trPr>
          <w:trHeight w:val="567"/>
        </w:trPr>
        <w:tc>
          <w:tcPr>
            <w:tcW w:w="1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72" w:right="239" w:bottom="1440" w:gutter="0" w:footer="0" w:header="0"/>
        </w:sectPr>
      </w:pPr>
    </w:p>
    <w:bookmarkStart w:id="2" w:name="page3"/>
    <w:bookmarkEnd w:id="2"/>
    <w:p>
      <w:pPr>
        <w:ind w:left="580" w:hanging="572"/>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appointment of Deloitte &amp; Touche LLP as our independent auditors for the 2016 fiscal year, as described in the proxy statement, was ratified.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6"/>
              </w:rPr>
              <w:t>For</w:t>
            </w:r>
          </w:p>
        </w:tc>
        <w:tc>
          <w:tcPr>
            <w:tcW w:w="320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3"/>
              </w:rPr>
              <w:t>Against</w:t>
            </w:r>
          </w:p>
        </w:tc>
        <w:tc>
          <w:tcPr>
            <w:tcW w:w="236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Abstain</w:t>
            </w:r>
          </w:p>
        </w:tc>
        <w:tc>
          <w:tcPr>
            <w:tcW w:w="206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92"/>
              </w:rPr>
              <w:t>Broker Non-Votes</w:t>
            </w:r>
          </w:p>
        </w:tc>
      </w:tr>
      <w:tr>
        <w:trPr>
          <w:trHeight w:val="224"/>
        </w:trPr>
        <w:tc>
          <w:tcPr>
            <w:tcW w:w="3800" w:type="dxa"/>
            <w:vAlign w:val="bottom"/>
          </w:tcPr>
          <w:p>
            <w:pPr>
              <w:jc w:val="right"/>
              <w:ind w:right="1250"/>
              <w:spacing w:after="0"/>
              <w:rPr>
                <w:sz w:val="20"/>
                <w:szCs w:val="20"/>
                <w:color w:val="auto"/>
              </w:rPr>
            </w:pPr>
            <w:r>
              <w:rPr>
                <w:rFonts w:ascii="Arial" w:cs="Arial" w:eastAsia="Arial" w:hAnsi="Arial"/>
                <w:sz w:val="18"/>
                <w:szCs w:val="18"/>
                <w:color w:val="auto"/>
              </w:rPr>
              <w:t>384,665,478</w:t>
            </w:r>
          </w:p>
        </w:tc>
        <w:tc>
          <w:tcPr>
            <w:tcW w:w="3200" w:type="dxa"/>
            <w:vAlign w:val="bottom"/>
          </w:tcPr>
          <w:p>
            <w:pPr>
              <w:jc w:val="right"/>
              <w:ind w:right="1050"/>
              <w:spacing w:after="0"/>
              <w:rPr>
                <w:sz w:val="20"/>
                <w:szCs w:val="20"/>
                <w:color w:val="auto"/>
              </w:rPr>
            </w:pPr>
            <w:r>
              <w:rPr>
                <w:rFonts w:ascii="Arial" w:cs="Arial" w:eastAsia="Arial" w:hAnsi="Arial"/>
                <w:sz w:val="18"/>
                <w:szCs w:val="18"/>
                <w:color w:val="auto"/>
              </w:rPr>
              <w:t>2,902,801</w:t>
            </w:r>
          </w:p>
        </w:tc>
        <w:tc>
          <w:tcPr>
            <w:tcW w:w="2360" w:type="dxa"/>
            <w:vAlign w:val="bottom"/>
          </w:tcPr>
          <w:p>
            <w:pPr>
              <w:ind w:left="1120"/>
              <w:spacing w:after="0"/>
              <w:rPr>
                <w:sz w:val="20"/>
                <w:szCs w:val="20"/>
                <w:color w:val="auto"/>
              </w:rPr>
            </w:pPr>
            <w:r>
              <w:rPr>
                <w:rFonts w:ascii="Arial" w:cs="Arial" w:eastAsia="Arial" w:hAnsi="Arial"/>
                <w:sz w:val="18"/>
                <w:szCs w:val="18"/>
                <w:color w:val="auto"/>
              </w:rPr>
              <w:t>547,749</w:t>
            </w:r>
          </w:p>
        </w:tc>
        <w:tc>
          <w:tcPr>
            <w:tcW w:w="2060" w:type="dxa"/>
            <w:vAlign w:val="bottom"/>
          </w:tcPr>
          <w:p>
            <w:pPr>
              <w:jc w:val="center"/>
              <w:ind w:left="490"/>
              <w:spacing w:after="0"/>
              <w:rPr>
                <w:sz w:val="20"/>
                <w:szCs w:val="20"/>
                <w:color w:val="auto"/>
              </w:rPr>
            </w:pPr>
            <w:r>
              <w:rPr>
                <w:rFonts w:ascii="Arial" w:cs="Arial" w:eastAsia="Arial" w:hAnsi="Arial"/>
                <w:sz w:val="18"/>
                <w:szCs w:val="18"/>
                <w:color w:val="auto"/>
              </w:rPr>
              <w:t>N/A</w:t>
            </w:r>
          </w:p>
        </w:tc>
      </w:tr>
    </w:tbl>
    <w:p>
      <w:pPr>
        <w:spacing w:after="0" w:line="214" w:lineRule="exact"/>
        <w:rPr>
          <w:sz w:val="20"/>
          <w:szCs w:val="20"/>
          <w:color w:val="auto"/>
        </w:rPr>
      </w:pPr>
    </w:p>
    <w:p>
      <w:pPr>
        <w:ind w:left="660" w:hanging="55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Restricted Stock Plan, as described in the proxy statement, was approved.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6"/>
              </w:rPr>
              <w:t>For</w:t>
            </w:r>
          </w:p>
        </w:tc>
        <w:tc>
          <w:tcPr>
            <w:tcW w:w="324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3"/>
              </w:rPr>
              <w:t>Against</w:t>
            </w:r>
          </w:p>
        </w:tc>
        <w:tc>
          <w:tcPr>
            <w:tcW w:w="234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Abstain</w:t>
            </w:r>
          </w:p>
        </w:tc>
        <w:tc>
          <w:tcPr>
            <w:tcW w:w="206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92"/>
              </w:rPr>
              <w:t>Broker Non-Votes</w:t>
            </w:r>
          </w:p>
        </w:tc>
      </w:tr>
      <w:tr>
        <w:trPr>
          <w:trHeight w:val="224"/>
        </w:trPr>
        <w:tc>
          <w:tcPr>
            <w:tcW w:w="3780" w:type="dxa"/>
            <w:vAlign w:val="bottom"/>
          </w:tcPr>
          <w:p>
            <w:pPr>
              <w:jc w:val="right"/>
              <w:ind w:right="1230"/>
              <w:spacing w:after="0"/>
              <w:rPr>
                <w:sz w:val="20"/>
                <w:szCs w:val="20"/>
                <w:color w:val="auto"/>
              </w:rPr>
            </w:pPr>
            <w:r>
              <w:rPr>
                <w:rFonts w:ascii="Arial" w:cs="Arial" w:eastAsia="Arial" w:hAnsi="Arial"/>
                <w:sz w:val="18"/>
                <w:szCs w:val="18"/>
                <w:color w:val="auto"/>
              </w:rPr>
              <w:t>352,906,642</w:t>
            </w:r>
          </w:p>
        </w:tc>
        <w:tc>
          <w:tcPr>
            <w:tcW w:w="3240" w:type="dxa"/>
            <w:vAlign w:val="bottom"/>
          </w:tcPr>
          <w:p>
            <w:pPr>
              <w:jc w:val="right"/>
              <w:ind w:right="1030"/>
              <w:spacing w:after="0"/>
              <w:rPr>
                <w:sz w:val="20"/>
                <w:szCs w:val="20"/>
                <w:color w:val="auto"/>
              </w:rPr>
            </w:pPr>
            <w:r>
              <w:rPr>
                <w:rFonts w:ascii="Arial" w:cs="Arial" w:eastAsia="Arial" w:hAnsi="Arial"/>
                <w:sz w:val="18"/>
                <w:szCs w:val="18"/>
                <w:color w:val="auto"/>
              </w:rPr>
              <w:t>13,342,770</w:t>
            </w:r>
          </w:p>
        </w:tc>
        <w:tc>
          <w:tcPr>
            <w:tcW w:w="2340" w:type="dxa"/>
            <w:vAlign w:val="bottom"/>
          </w:tcPr>
          <w:p>
            <w:pPr>
              <w:ind w:left="1100"/>
              <w:spacing w:after="0"/>
              <w:rPr>
                <w:sz w:val="20"/>
                <w:szCs w:val="20"/>
                <w:color w:val="auto"/>
              </w:rPr>
            </w:pPr>
            <w:r>
              <w:rPr>
                <w:rFonts w:ascii="Arial" w:cs="Arial" w:eastAsia="Arial" w:hAnsi="Arial"/>
                <w:sz w:val="18"/>
                <w:szCs w:val="18"/>
                <w:color w:val="auto"/>
              </w:rPr>
              <w:t>718,120</w:t>
            </w:r>
          </w:p>
        </w:tc>
        <w:tc>
          <w:tcPr>
            <w:tcW w:w="2060" w:type="dxa"/>
            <w:vAlign w:val="bottom"/>
          </w:tcPr>
          <w:p>
            <w:pPr>
              <w:jc w:val="right"/>
              <w:ind w:right="250"/>
              <w:spacing w:after="0"/>
              <w:rPr>
                <w:sz w:val="20"/>
                <w:szCs w:val="20"/>
                <w:color w:val="auto"/>
              </w:rPr>
            </w:pPr>
            <w:r>
              <w:rPr>
                <w:rFonts w:ascii="Arial" w:cs="Arial" w:eastAsia="Arial" w:hAnsi="Arial"/>
                <w:sz w:val="18"/>
                <w:szCs w:val="18"/>
                <w:color w:val="auto"/>
              </w:rPr>
              <w:t>21,148,496</w:t>
            </w:r>
          </w:p>
        </w:tc>
      </w:tr>
    </w:tbl>
    <w:p>
      <w:pPr>
        <w:spacing w:after="0" w:line="214" w:lineRule="exact"/>
        <w:rPr>
          <w:sz w:val="20"/>
          <w:szCs w:val="20"/>
          <w:color w:val="auto"/>
        </w:rPr>
      </w:pPr>
    </w:p>
    <w:p>
      <w:pPr>
        <w:ind w:left="660" w:hanging="557"/>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Stock Option Plan, as described in the proxy statement, was approved.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6"/>
              </w:rPr>
              <w:t>For</w:t>
            </w:r>
          </w:p>
        </w:tc>
        <w:tc>
          <w:tcPr>
            <w:tcW w:w="324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3"/>
              </w:rPr>
              <w:t>Against</w:t>
            </w:r>
          </w:p>
        </w:tc>
        <w:tc>
          <w:tcPr>
            <w:tcW w:w="234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Abstain</w:t>
            </w:r>
          </w:p>
        </w:tc>
        <w:tc>
          <w:tcPr>
            <w:tcW w:w="206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92"/>
              </w:rPr>
              <w:t>Broker Non-Votes</w:t>
            </w:r>
          </w:p>
        </w:tc>
      </w:tr>
      <w:tr>
        <w:trPr>
          <w:trHeight w:val="224"/>
        </w:trPr>
        <w:tc>
          <w:tcPr>
            <w:tcW w:w="3780" w:type="dxa"/>
            <w:vAlign w:val="bottom"/>
          </w:tcPr>
          <w:p>
            <w:pPr>
              <w:jc w:val="right"/>
              <w:ind w:right="1230"/>
              <w:spacing w:after="0"/>
              <w:rPr>
                <w:sz w:val="20"/>
                <w:szCs w:val="20"/>
                <w:color w:val="auto"/>
              </w:rPr>
            </w:pPr>
            <w:r>
              <w:rPr>
                <w:rFonts w:ascii="Arial" w:cs="Arial" w:eastAsia="Arial" w:hAnsi="Arial"/>
                <w:sz w:val="18"/>
                <w:szCs w:val="18"/>
                <w:color w:val="auto"/>
              </w:rPr>
              <w:t>347,061,741</w:t>
            </w:r>
          </w:p>
        </w:tc>
        <w:tc>
          <w:tcPr>
            <w:tcW w:w="3240" w:type="dxa"/>
            <w:vAlign w:val="bottom"/>
          </w:tcPr>
          <w:p>
            <w:pPr>
              <w:jc w:val="right"/>
              <w:ind w:right="1030"/>
              <w:spacing w:after="0"/>
              <w:rPr>
                <w:sz w:val="20"/>
                <w:szCs w:val="20"/>
                <w:color w:val="auto"/>
              </w:rPr>
            </w:pPr>
            <w:r>
              <w:rPr>
                <w:rFonts w:ascii="Arial" w:cs="Arial" w:eastAsia="Arial" w:hAnsi="Arial"/>
                <w:sz w:val="18"/>
                <w:szCs w:val="18"/>
                <w:color w:val="auto"/>
              </w:rPr>
              <w:t>19,166,397</w:t>
            </w:r>
          </w:p>
        </w:tc>
        <w:tc>
          <w:tcPr>
            <w:tcW w:w="2340" w:type="dxa"/>
            <w:vAlign w:val="bottom"/>
          </w:tcPr>
          <w:p>
            <w:pPr>
              <w:ind w:left="1100"/>
              <w:spacing w:after="0"/>
              <w:rPr>
                <w:sz w:val="20"/>
                <w:szCs w:val="20"/>
                <w:color w:val="auto"/>
              </w:rPr>
            </w:pPr>
            <w:r>
              <w:rPr>
                <w:rFonts w:ascii="Arial" w:cs="Arial" w:eastAsia="Arial" w:hAnsi="Arial"/>
                <w:sz w:val="18"/>
                <w:szCs w:val="18"/>
                <w:color w:val="auto"/>
              </w:rPr>
              <w:t>739,394</w:t>
            </w:r>
          </w:p>
        </w:tc>
        <w:tc>
          <w:tcPr>
            <w:tcW w:w="2060" w:type="dxa"/>
            <w:vAlign w:val="bottom"/>
          </w:tcPr>
          <w:p>
            <w:pPr>
              <w:jc w:val="right"/>
              <w:ind w:right="250"/>
              <w:spacing w:after="0"/>
              <w:rPr>
                <w:sz w:val="20"/>
                <w:szCs w:val="20"/>
                <w:color w:val="auto"/>
              </w:rPr>
            </w:pPr>
            <w:r>
              <w:rPr>
                <w:rFonts w:ascii="Arial" w:cs="Arial" w:eastAsia="Arial" w:hAnsi="Arial"/>
                <w:sz w:val="18"/>
                <w:szCs w:val="18"/>
                <w:color w:val="auto"/>
              </w:rPr>
              <w:t>21,148,496</w:t>
            </w:r>
          </w:p>
        </w:tc>
      </w:tr>
    </w:tbl>
    <w:p>
      <w:pPr>
        <w:spacing w:after="0" w:line="214" w:lineRule="exact"/>
        <w:rPr>
          <w:sz w:val="20"/>
          <w:szCs w:val="20"/>
          <w:color w:val="auto"/>
        </w:rPr>
      </w:pPr>
    </w:p>
    <w:p>
      <w:pPr>
        <w:ind w:left="660" w:hanging="571"/>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Comcast Employee Stock Purchase Plan, as described in the proxy statement, was approved.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6"/>
              </w:rPr>
              <w:t>For</w:t>
            </w:r>
          </w:p>
        </w:tc>
        <w:tc>
          <w:tcPr>
            <w:tcW w:w="320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3"/>
              </w:rPr>
              <w:t>Against</w:t>
            </w:r>
          </w:p>
        </w:tc>
        <w:tc>
          <w:tcPr>
            <w:tcW w:w="236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Abstain</w:t>
            </w:r>
          </w:p>
        </w:tc>
        <w:tc>
          <w:tcPr>
            <w:tcW w:w="206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92"/>
              </w:rPr>
              <w:t>Broker Non-Votes</w:t>
            </w:r>
          </w:p>
        </w:tc>
      </w:tr>
      <w:tr>
        <w:trPr>
          <w:trHeight w:val="224"/>
        </w:trPr>
        <w:tc>
          <w:tcPr>
            <w:tcW w:w="3800" w:type="dxa"/>
            <w:vAlign w:val="bottom"/>
          </w:tcPr>
          <w:p>
            <w:pPr>
              <w:jc w:val="right"/>
              <w:ind w:right="1250"/>
              <w:spacing w:after="0"/>
              <w:rPr>
                <w:sz w:val="20"/>
                <w:szCs w:val="20"/>
                <w:color w:val="auto"/>
              </w:rPr>
            </w:pPr>
            <w:r>
              <w:rPr>
                <w:rFonts w:ascii="Arial" w:cs="Arial" w:eastAsia="Arial" w:hAnsi="Arial"/>
                <w:sz w:val="18"/>
                <w:szCs w:val="18"/>
                <w:color w:val="auto"/>
              </w:rPr>
              <w:t>362,576,437</w:t>
            </w:r>
          </w:p>
        </w:tc>
        <w:tc>
          <w:tcPr>
            <w:tcW w:w="3200" w:type="dxa"/>
            <w:vAlign w:val="bottom"/>
          </w:tcPr>
          <w:p>
            <w:pPr>
              <w:jc w:val="right"/>
              <w:ind w:right="1050"/>
              <w:spacing w:after="0"/>
              <w:rPr>
                <w:sz w:val="20"/>
                <w:szCs w:val="20"/>
                <w:color w:val="auto"/>
              </w:rPr>
            </w:pPr>
            <w:r>
              <w:rPr>
                <w:rFonts w:ascii="Arial" w:cs="Arial" w:eastAsia="Arial" w:hAnsi="Arial"/>
                <w:sz w:val="18"/>
                <w:szCs w:val="18"/>
                <w:color w:val="auto"/>
              </w:rPr>
              <w:t>4,057,040</w:t>
            </w:r>
          </w:p>
        </w:tc>
        <w:tc>
          <w:tcPr>
            <w:tcW w:w="2360" w:type="dxa"/>
            <w:vAlign w:val="bottom"/>
          </w:tcPr>
          <w:p>
            <w:pPr>
              <w:ind w:left="1120"/>
              <w:spacing w:after="0"/>
              <w:rPr>
                <w:sz w:val="20"/>
                <w:szCs w:val="20"/>
                <w:color w:val="auto"/>
              </w:rPr>
            </w:pPr>
            <w:r>
              <w:rPr>
                <w:rFonts w:ascii="Arial" w:cs="Arial" w:eastAsia="Arial" w:hAnsi="Arial"/>
                <w:sz w:val="18"/>
                <w:szCs w:val="18"/>
                <w:color w:val="auto"/>
              </w:rPr>
              <w:t>334,055</w:t>
            </w:r>
          </w:p>
        </w:tc>
        <w:tc>
          <w:tcPr>
            <w:tcW w:w="2060" w:type="dxa"/>
            <w:vAlign w:val="bottom"/>
          </w:tcPr>
          <w:p>
            <w:pPr>
              <w:jc w:val="right"/>
              <w:ind w:right="250"/>
              <w:spacing w:after="0"/>
              <w:rPr>
                <w:sz w:val="20"/>
                <w:szCs w:val="20"/>
                <w:color w:val="auto"/>
              </w:rPr>
            </w:pPr>
            <w:r>
              <w:rPr>
                <w:rFonts w:ascii="Arial" w:cs="Arial" w:eastAsia="Arial" w:hAnsi="Arial"/>
                <w:sz w:val="18"/>
                <w:szCs w:val="18"/>
                <w:color w:val="auto"/>
              </w:rPr>
              <w:t>21,148,496</w:t>
            </w:r>
          </w:p>
        </w:tc>
      </w:tr>
    </w:tbl>
    <w:p>
      <w:pPr>
        <w:spacing w:after="0" w:line="214" w:lineRule="exact"/>
        <w:rPr>
          <w:sz w:val="20"/>
          <w:szCs w:val="20"/>
          <w:color w:val="auto"/>
        </w:rPr>
      </w:pPr>
    </w:p>
    <w:p>
      <w:pPr>
        <w:ind w:left="640" w:hanging="564"/>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NBCUniversal Employee Stock Purchase Plan, as described in the proxy statement, was approved.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6"/>
              </w:rPr>
              <w:t>For</w:t>
            </w:r>
          </w:p>
        </w:tc>
        <w:tc>
          <w:tcPr>
            <w:tcW w:w="320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3"/>
              </w:rPr>
              <w:t>Against</w:t>
            </w:r>
          </w:p>
        </w:tc>
        <w:tc>
          <w:tcPr>
            <w:tcW w:w="236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Abstain</w:t>
            </w:r>
          </w:p>
        </w:tc>
        <w:tc>
          <w:tcPr>
            <w:tcW w:w="206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92"/>
              </w:rPr>
              <w:t>Broker Non-Votes</w:t>
            </w:r>
          </w:p>
        </w:tc>
      </w:tr>
      <w:tr>
        <w:trPr>
          <w:trHeight w:val="224"/>
        </w:trPr>
        <w:tc>
          <w:tcPr>
            <w:tcW w:w="3800" w:type="dxa"/>
            <w:vAlign w:val="bottom"/>
          </w:tcPr>
          <w:p>
            <w:pPr>
              <w:jc w:val="right"/>
              <w:ind w:right="1250"/>
              <w:spacing w:after="0"/>
              <w:rPr>
                <w:sz w:val="20"/>
                <w:szCs w:val="20"/>
                <w:color w:val="auto"/>
              </w:rPr>
            </w:pPr>
            <w:r>
              <w:rPr>
                <w:rFonts w:ascii="Arial" w:cs="Arial" w:eastAsia="Arial" w:hAnsi="Arial"/>
                <w:sz w:val="18"/>
                <w:szCs w:val="18"/>
                <w:color w:val="auto"/>
              </w:rPr>
              <w:t>362,562,940</w:t>
            </w:r>
          </w:p>
        </w:tc>
        <w:tc>
          <w:tcPr>
            <w:tcW w:w="3200" w:type="dxa"/>
            <w:vAlign w:val="bottom"/>
          </w:tcPr>
          <w:p>
            <w:pPr>
              <w:jc w:val="right"/>
              <w:ind w:right="1050"/>
              <w:spacing w:after="0"/>
              <w:rPr>
                <w:sz w:val="20"/>
                <w:szCs w:val="20"/>
                <w:color w:val="auto"/>
              </w:rPr>
            </w:pPr>
            <w:r>
              <w:rPr>
                <w:rFonts w:ascii="Arial" w:cs="Arial" w:eastAsia="Arial" w:hAnsi="Arial"/>
                <w:sz w:val="18"/>
                <w:szCs w:val="18"/>
                <w:color w:val="auto"/>
              </w:rPr>
              <w:t>4,057,744</w:t>
            </w:r>
          </w:p>
        </w:tc>
        <w:tc>
          <w:tcPr>
            <w:tcW w:w="2360" w:type="dxa"/>
            <w:vAlign w:val="bottom"/>
          </w:tcPr>
          <w:p>
            <w:pPr>
              <w:ind w:left="1120"/>
              <w:spacing w:after="0"/>
              <w:rPr>
                <w:sz w:val="20"/>
                <w:szCs w:val="20"/>
                <w:color w:val="auto"/>
              </w:rPr>
            </w:pPr>
            <w:r>
              <w:rPr>
                <w:rFonts w:ascii="Arial" w:cs="Arial" w:eastAsia="Arial" w:hAnsi="Arial"/>
                <w:sz w:val="18"/>
                <w:szCs w:val="18"/>
                <w:color w:val="auto"/>
              </w:rPr>
              <w:t>346,847</w:t>
            </w:r>
          </w:p>
        </w:tc>
        <w:tc>
          <w:tcPr>
            <w:tcW w:w="2060" w:type="dxa"/>
            <w:vAlign w:val="bottom"/>
          </w:tcPr>
          <w:p>
            <w:pPr>
              <w:jc w:val="right"/>
              <w:ind w:right="250"/>
              <w:spacing w:after="0"/>
              <w:rPr>
                <w:sz w:val="20"/>
                <w:szCs w:val="20"/>
                <w:color w:val="auto"/>
              </w:rPr>
            </w:pPr>
            <w:r>
              <w:rPr>
                <w:rFonts w:ascii="Arial" w:cs="Arial" w:eastAsia="Arial" w:hAnsi="Arial"/>
                <w:sz w:val="18"/>
                <w:szCs w:val="18"/>
                <w:color w:val="auto"/>
              </w:rPr>
              <w:t>21,148,497</w:t>
            </w:r>
          </w:p>
        </w:tc>
      </w:tr>
    </w:tbl>
    <w:p>
      <w:pPr>
        <w:spacing w:after="0" w:line="214" w:lineRule="exact"/>
        <w:rPr>
          <w:sz w:val="20"/>
          <w:szCs w:val="20"/>
          <w:color w:val="auto"/>
        </w:rPr>
      </w:pPr>
    </w:p>
    <w:p>
      <w:pPr>
        <w:ind w:left="620" w:hanging="55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shareholder proposal to prepare an annual report on lobbying activities, as described in the proxy statement, was not approved.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Borders>
              <w:bottom w:val="single" w:sz="8" w:color="auto"/>
            </w:tcBorders>
          </w:tcPr>
          <w:p>
            <w:pPr>
              <w:jc w:val="right"/>
              <w:ind w:right="1470"/>
              <w:spacing w:after="0"/>
              <w:rPr>
                <w:sz w:val="20"/>
                <w:szCs w:val="20"/>
                <w:color w:val="auto"/>
              </w:rPr>
            </w:pPr>
            <w:r>
              <w:rPr>
                <w:rFonts w:ascii="Arial" w:cs="Arial" w:eastAsia="Arial" w:hAnsi="Arial"/>
                <w:sz w:val="18"/>
                <w:szCs w:val="18"/>
                <w:color w:val="auto"/>
              </w:rPr>
              <w:t>For</w:t>
            </w:r>
          </w:p>
        </w:tc>
        <w:tc>
          <w:tcPr>
            <w:tcW w:w="326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93"/>
              </w:rPr>
              <w:t>Against</w:t>
            </w:r>
          </w:p>
        </w:tc>
        <w:tc>
          <w:tcPr>
            <w:tcW w:w="244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93"/>
              </w:rPr>
              <w:t>Abstain</w:t>
            </w:r>
          </w:p>
        </w:tc>
        <w:tc>
          <w:tcPr>
            <w:tcW w:w="200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color w:val="auto"/>
                <w:w w:val="92"/>
              </w:rPr>
              <w:t>Broker Non-Votes</w:t>
            </w:r>
          </w:p>
        </w:tc>
      </w:tr>
      <w:tr>
        <w:trPr>
          <w:trHeight w:val="224"/>
        </w:trPr>
        <w:tc>
          <w:tcPr>
            <w:tcW w:w="3720" w:type="dxa"/>
            <w:vAlign w:val="bottom"/>
          </w:tcPr>
          <w:p>
            <w:pPr>
              <w:jc w:val="right"/>
              <w:ind w:right="1210"/>
              <w:spacing w:after="0"/>
              <w:rPr>
                <w:sz w:val="20"/>
                <w:szCs w:val="20"/>
                <w:color w:val="auto"/>
              </w:rPr>
            </w:pPr>
            <w:r>
              <w:rPr>
                <w:rFonts w:ascii="Arial" w:cs="Arial" w:eastAsia="Arial" w:hAnsi="Arial"/>
                <w:sz w:val="18"/>
                <w:szCs w:val="18"/>
                <w:color w:val="auto"/>
              </w:rPr>
              <w:t>58,257,934</w:t>
            </w:r>
          </w:p>
        </w:tc>
        <w:tc>
          <w:tcPr>
            <w:tcW w:w="3260" w:type="dxa"/>
            <w:vAlign w:val="bottom"/>
          </w:tcPr>
          <w:p>
            <w:pPr>
              <w:jc w:val="right"/>
              <w:ind w:right="950"/>
              <w:spacing w:after="0"/>
              <w:rPr>
                <w:sz w:val="20"/>
                <w:szCs w:val="20"/>
                <w:color w:val="auto"/>
              </w:rPr>
            </w:pPr>
            <w:r>
              <w:rPr>
                <w:rFonts w:ascii="Arial" w:cs="Arial" w:eastAsia="Arial" w:hAnsi="Arial"/>
                <w:sz w:val="18"/>
                <w:szCs w:val="18"/>
                <w:color w:val="auto"/>
              </w:rPr>
              <w:t>289,666,817</w:t>
            </w:r>
          </w:p>
        </w:tc>
        <w:tc>
          <w:tcPr>
            <w:tcW w:w="2440" w:type="dxa"/>
            <w:vAlign w:val="bottom"/>
          </w:tcPr>
          <w:p>
            <w:pPr>
              <w:jc w:val="right"/>
              <w:ind w:right="510"/>
              <w:spacing w:after="0"/>
              <w:rPr>
                <w:sz w:val="20"/>
                <w:szCs w:val="20"/>
                <w:color w:val="auto"/>
              </w:rPr>
            </w:pPr>
            <w:r>
              <w:rPr>
                <w:rFonts w:ascii="Arial" w:cs="Arial" w:eastAsia="Arial" w:hAnsi="Arial"/>
                <w:sz w:val="18"/>
                <w:szCs w:val="18"/>
                <w:color w:val="auto"/>
              </w:rPr>
              <w:t>19,042,781</w:t>
            </w:r>
          </w:p>
        </w:tc>
        <w:tc>
          <w:tcPr>
            <w:tcW w:w="2000" w:type="dxa"/>
            <w:vAlign w:val="bottom"/>
          </w:tcPr>
          <w:p>
            <w:pPr>
              <w:jc w:val="right"/>
              <w:ind w:right="250"/>
              <w:spacing w:after="0"/>
              <w:rPr>
                <w:sz w:val="20"/>
                <w:szCs w:val="20"/>
                <w:color w:val="auto"/>
              </w:rPr>
            </w:pPr>
            <w:r>
              <w:rPr>
                <w:rFonts w:ascii="Arial" w:cs="Arial" w:eastAsia="Arial" w:hAnsi="Arial"/>
                <w:sz w:val="18"/>
                <w:szCs w:val="18"/>
                <w:color w:val="auto"/>
              </w:rPr>
              <w:t>21,148,496</w:t>
            </w:r>
          </w:p>
        </w:tc>
      </w:tr>
    </w:tbl>
    <w:p>
      <w:pPr>
        <w:spacing w:after="0" w:line="214" w:lineRule="exact"/>
        <w:rPr>
          <w:sz w:val="20"/>
          <w:szCs w:val="20"/>
          <w:color w:val="auto"/>
        </w:rPr>
      </w:pPr>
    </w:p>
    <w:p>
      <w:pPr>
        <w:ind w:left="620" w:hanging="558"/>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shareholder proposal to prohibit accelerated vesting upon a change in control, as described in the proxy statement, was not approved.</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Borders>
              <w:bottom w:val="single" w:sz="8" w:color="auto"/>
            </w:tcBorders>
          </w:tcPr>
          <w:p>
            <w:pPr>
              <w:jc w:val="right"/>
              <w:ind w:right="1470"/>
              <w:spacing w:after="0"/>
              <w:rPr>
                <w:sz w:val="20"/>
                <w:szCs w:val="20"/>
                <w:color w:val="auto"/>
              </w:rPr>
            </w:pPr>
            <w:r>
              <w:rPr>
                <w:rFonts w:ascii="Arial" w:cs="Arial" w:eastAsia="Arial" w:hAnsi="Arial"/>
                <w:sz w:val="18"/>
                <w:szCs w:val="18"/>
                <w:color w:val="auto"/>
              </w:rPr>
              <w:t>For</w:t>
            </w:r>
          </w:p>
        </w:tc>
        <w:tc>
          <w:tcPr>
            <w:tcW w:w="332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3"/>
              </w:rPr>
              <w:t>Against</w:t>
            </w:r>
          </w:p>
        </w:tc>
        <w:tc>
          <w:tcPr>
            <w:tcW w:w="232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Abstain</w:t>
            </w:r>
          </w:p>
        </w:tc>
        <w:tc>
          <w:tcPr>
            <w:tcW w:w="206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92"/>
              </w:rPr>
              <w:t>Broker Non-Votes</w:t>
            </w:r>
          </w:p>
        </w:tc>
      </w:tr>
      <w:tr>
        <w:trPr>
          <w:trHeight w:val="224"/>
        </w:trPr>
        <w:tc>
          <w:tcPr>
            <w:tcW w:w="3720" w:type="dxa"/>
            <w:vAlign w:val="bottom"/>
          </w:tcPr>
          <w:p>
            <w:pPr>
              <w:jc w:val="right"/>
              <w:ind w:right="1210"/>
              <w:spacing w:after="0"/>
              <w:rPr>
                <w:sz w:val="20"/>
                <w:szCs w:val="20"/>
                <w:color w:val="auto"/>
              </w:rPr>
            </w:pPr>
            <w:r>
              <w:rPr>
                <w:rFonts w:ascii="Arial" w:cs="Arial" w:eastAsia="Arial" w:hAnsi="Arial"/>
                <w:sz w:val="18"/>
                <w:szCs w:val="18"/>
                <w:color w:val="auto"/>
              </w:rPr>
              <w:t>99,045,847</w:t>
            </w:r>
          </w:p>
        </w:tc>
        <w:tc>
          <w:tcPr>
            <w:tcW w:w="3320" w:type="dxa"/>
            <w:vAlign w:val="bottom"/>
          </w:tcPr>
          <w:p>
            <w:pPr>
              <w:jc w:val="right"/>
              <w:ind w:right="1010"/>
              <w:spacing w:after="0"/>
              <w:rPr>
                <w:sz w:val="20"/>
                <w:szCs w:val="20"/>
                <w:color w:val="auto"/>
              </w:rPr>
            </w:pPr>
            <w:r>
              <w:rPr>
                <w:rFonts w:ascii="Arial" w:cs="Arial" w:eastAsia="Arial" w:hAnsi="Arial"/>
                <w:sz w:val="18"/>
                <w:szCs w:val="18"/>
                <w:color w:val="auto"/>
              </w:rPr>
              <w:t>267,319,444</w:t>
            </w:r>
          </w:p>
        </w:tc>
        <w:tc>
          <w:tcPr>
            <w:tcW w:w="2320" w:type="dxa"/>
            <w:vAlign w:val="bottom"/>
          </w:tcPr>
          <w:p>
            <w:pPr>
              <w:ind w:left="1080"/>
              <w:spacing w:after="0"/>
              <w:rPr>
                <w:sz w:val="20"/>
                <w:szCs w:val="20"/>
                <w:color w:val="auto"/>
              </w:rPr>
            </w:pPr>
            <w:r>
              <w:rPr>
                <w:rFonts w:ascii="Arial" w:cs="Arial" w:eastAsia="Arial" w:hAnsi="Arial"/>
                <w:sz w:val="18"/>
                <w:szCs w:val="18"/>
                <w:color w:val="auto"/>
              </w:rPr>
              <w:t>602,240</w:t>
            </w:r>
          </w:p>
        </w:tc>
        <w:tc>
          <w:tcPr>
            <w:tcW w:w="2060" w:type="dxa"/>
            <w:vAlign w:val="bottom"/>
          </w:tcPr>
          <w:p>
            <w:pPr>
              <w:jc w:val="right"/>
              <w:ind w:right="250"/>
              <w:spacing w:after="0"/>
              <w:rPr>
                <w:sz w:val="20"/>
                <w:szCs w:val="20"/>
                <w:color w:val="auto"/>
              </w:rPr>
            </w:pPr>
            <w:r>
              <w:rPr>
                <w:rFonts w:ascii="Arial" w:cs="Arial" w:eastAsia="Arial" w:hAnsi="Arial"/>
                <w:sz w:val="18"/>
                <w:szCs w:val="18"/>
                <w:color w:val="auto"/>
              </w:rPr>
              <w:t>21,148,497</w:t>
            </w:r>
          </w:p>
        </w:tc>
      </w:tr>
    </w:tbl>
    <w:p>
      <w:pPr>
        <w:spacing w:after="0" w:line="214" w:lineRule="exact"/>
        <w:rPr>
          <w:sz w:val="20"/>
          <w:szCs w:val="20"/>
          <w:color w:val="auto"/>
        </w:rPr>
      </w:pPr>
    </w:p>
    <w:p>
      <w:pPr>
        <w:ind w:left="640" w:hanging="564"/>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shareholder proposal to require an independent board chair, as described in the proxy statement, was not approved.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Borders>
              <w:bottom w:val="single" w:sz="8" w:color="auto"/>
            </w:tcBorders>
          </w:tcPr>
          <w:p>
            <w:pPr>
              <w:jc w:val="right"/>
              <w:ind w:right="1470"/>
              <w:spacing w:after="0"/>
              <w:rPr>
                <w:sz w:val="20"/>
                <w:szCs w:val="20"/>
                <w:color w:val="auto"/>
              </w:rPr>
            </w:pPr>
            <w:r>
              <w:rPr>
                <w:rFonts w:ascii="Arial" w:cs="Arial" w:eastAsia="Arial" w:hAnsi="Arial"/>
                <w:sz w:val="18"/>
                <w:szCs w:val="18"/>
                <w:color w:val="auto"/>
              </w:rPr>
              <w:t>For</w:t>
            </w:r>
          </w:p>
        </w:tc>
        <w:tc>
          <w:tcPr>
            <w:tcW w:w="332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3"/>
              </w:rPr>
              <w:t>Against</w:t>
            </w:r>
          </w:p>
        </w:tc>
        <w:tc>
          <w:tcPr>
            <w:tcW w:w="232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Abstain</w:t>
            </w:r>
          </w:p>
        </w:tc>
        <w:tc>
          <w:tcPr>
            <w:tcW w:w="206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92"/>
              </w:rPr>
              <w:t>Broker Non-Votes</w:t>
            </w:r>
          </w:p>
        </w:tc>
      </w:tr>
      <w:tr>
        <w:trPr>
          <w:trHeight w:val="224"/>
        </w:trPr>
        <w:tc>
          <w:tcPr>
            <w:tcW w:w="3720" w:type="dxa"/>
            <w:vAlign w:val="bottom"/>
          </w:tcPr>
          <w:p>
            <w:pPr>
              <w:jc w:val="right"/>
              <w:ind w:right="1210"/>
              <w:spacing w:after="0"/>
              <w:rPr>
                <w:sz w:val="20"/>
                <w:szCs w:val="20"/>
                <w:color w:val="auto"/>
              </w:rPr>
            </w:pPr>
            <w:r>
              <w:rPr>
                <w:rFonts w:ascii="Arial" w:cs="Arial" w:eastAsia="Arial" w:hAnsi="Arial"/>
                <w:sz w:val="18"/>
                <w:szCs w:val="18"/>
                <w:color w:val="auto"/>
              </w:rPr>
              <w:t>85,203,294</w:t>
            </w:r>
          </w:p>
        </w:tc>
        <w:tc>
          <w:tcPr>
            <w:tcW w:w="3320" w:type="dxa"/>
            <w:vAlign w:val="bottom"/>
          </w:tcPr>
          <w:p>
            <w:pPr>
              <w:jc w:val="right"/>
              <w:ind w:right="1010"/>
              <w:spacing w:after="0"/>
              <w:rPr>
                <w:sz w:val="20"/>
                <w:szCs w:val="20"/>
                <w:color w:val="auto"/>
              </w:rPr>
            </w:pPr>
            <w:r>
              <w:rPr>
                <w:rFonts w:ascii="Arial" w:cs="Arial" w:eastAsia="Arial" w:hAnsi="Arial"/>
                <w:sz w:val="18"/>
                <w:szCs w:val="18"/>
                <w:color w:val="auto"/>
              </w:rPr>
              <w:t>281,317,457</w:t>
            </w:r>
          </w:p>
        </w:tc>
        <w:tc>
          <w:tcPr>
            <w:tcW w:w="2320" w:type="dxa"/>
            <w:vAlign w:val="bottom"/>
          </w:tcPr>
          <w:p>
            <w:pPr>
              <w:ind w:left="1080"/>
              <w:spacing w:after="0"/>
              <w:rPr>
                <w:sz w:val="20"/>
                <w:szCs w:val="20"/>
                <w:color w:val="auto"/>
              </w:rPr>
            </w:pPr>
            <w:r>
              <w:rPr>
                <w:rFonts w:ascii="Arial" w:cs="Arial" w:eastAsia="Arial" w:hAnsi="Arial"/>
                <w:sz w:val="18"/>
                <w:szCs w:val="18"/>
                <w:color w:val="auto"/>
              </w:rPr>
              <w:t>446,780</w:t>
            </w:r>
          </w:p>
        </w:tc>
        <w:tc>
          <w:tcPr>
            <w:tcW w:w="2060" w:type="dxa"/>
            <w:vAlign w:val="bottom"/>
          </w:tcPr>
          <w:p>
            <w:pPr>
              <w:jc w:val="right"/>
              <w:ind w:right="250"/>
              <w:spacing w:after="0"/>
              <w:rPr>
                <w:sz w:val="20"/>
                <w:szCs w:val="20"/>
                <w:color w:val="auto"/>
              </w:rPr>
            </w:pPr>
            <w:r>
              <w:rPr>
                <w:rFonts w:ascii="Arial" w:cs="Arial" w:eastAsia="Arial" w:hAnsi="Arial"/>
                <w:sz w:val="18"/>
                <w:szCs w:val="18"/>
                <w:color w:val="auto"/>
              </w:rPr>
              <w:t>21,148,497</w:t>
            </w:r>
          </w:p>
        </w:tc>
      </w:tr>
    </w:tbl>
    <w:p>
      <w:pPr>
        <w:spacing w:after="0" w:line="214" w:lineRule="exact"/>
        <w:rPr>
          <w:sz w:val="20"/>
          <w:szCs w:val="20"/>
          <w:color w:val="auto"/>
        </w:rPr>
      </w:pPr>
    </w:p>
    <w:p>
      <w:pPr>
        <w:ind w:left="640" w:hanging="564"/>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shareholder proposal to stop 100-1 voting power, as described in the proxy statement, was not approved.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color w:val="auto"/>
              </w:rPr>
              <w:t>For</w:t>
            </w:r>
          </w:p>
        </w:tc>
        <w:tc>
          <w:tcPr>
            <w:tcW w:w="324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3"/>
              </w:rPr>
              <w:t>Against</w:t>
            </w:r>
          </w:p>
        </w:tc>
        <w:tc>
          <w:tcPr>
            <w:tcW w:w="24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93"/>
              </w:rPr>
              <w:t>Abstain</w:t>
            </w:r>
          </w:p>
        </w:tc>
        <w:tc>
          <w:tcPr>
            <w:tcW w:w="202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color w:val="auto"/>
                <w:w w:val="92"/>
              </w:rPr>
              <w:t>Broker Non-Votes</w:t>
            </w:r>
          </w:p>
        </w:tc>
      </w:tr>
      <w:tr>
        <w:trPr>
          <w:trHeight w:val="224"/>
        </w:trPr>
        <w:tc>
          <w:tcPr>
            <w:tcW w:w="3760" w:type="dxa"/>
            <w:vAlign w:val="bottom"/>
          </w:tcPr>
          <w:p>
            <w:pPr>
              <w:jc w:val="right"/>
              <w:ind w:right="1210"/>
              <w:spacing w:after="0"/>
              <w:rPr>
                <w:sz w:val="20"/>
                <w:szCs w:val="20"/>
                <w:color w:val="auto"/>
              </w:rPr>
            </w:pPr>
            <w:r>
              <w:rPr>
                <w:rFonts w:ascii="Arial" w:cs="Arial" w:eastAsia="Arial" w:hAnsi="Arial"/>
                <w:sz w:val="18"/>
                <w:szCs w:val="18"/>
                <w:color w:val="auto"/>
              </w:rPr>
              <w:t>140,611,248</w:t>
            </w:r>
          </w:p>
        </w:tc>
        <w:tc>
          <w:tcPr>
            <w:tcW w:w="3240" w:type="dxa"/>
            <w:vAlign w:val="bottom"/>
          </w:tcPr>
          <w:p>
            <w:pPr>
              <w:jc w:val="right"/>
              <w:ind w:right="970"/>
              <w:spacing w:after="0"/>
              <w:rPr>
                <w:sz w:val="20"/>
                <w:szCs w:val="20"/>
                <w:color w:val="auto"/>
              </w:rPr>
            </w:pPr>
            <w:r>
              <w:rPr>
                <w:rFonts w:ascii="Arial" w:cs="Arial" w:eastAsia="Arial" w:hAnsi="Arial"/>
                <w:sz w:val="18"/>
                <w:szCs w:val="18"/>
                <w:color w:val="auto"/>
              </w:rPr>
              <w:t>225,083,842</w:t>
            </w:r>
          </w:p>
        </w:tc>
        <w:tc>
          <w:tcPr>
            <w:tcW w:w="2400" w:type="dxa"/>
            <w:vAlign w:val="bottom"/>
          </w:tcPr>
          <w:p>
            <w:pPr>
              <w:jc w:val="right"/>
              <w:ind w:right="530"/>
              <w:spacing w:after="0"/>
              <w:rPr>
                <w:sz w:val="20"/>
                <w:szCs w:val="20"/>
                <w:color w:val="auto"/>
              </w:rPr>
            </w:pPr>
            <w:r>
              <w:rPr>
                <w:rFonts w:ascii="Arial" w:cs="Arial" w:eastAsia="Arial" w:hAnsi="Arial"/>
                <w:sz w:val="18"/>
                <w:szCs w:val="18"/>
                <w:color w:val="auto"/>
              </w:rPr>
              <w:t>1,272,441</w:t>
            </w:r>
          </w:p>
        </w:tc>
        <w:tc>
          <w:tcPr>
            <w:tcW w:w="2020" w:type="dxa"/>
            <w:vAlign w:val="bottom"/>
          </w:tcPr>
          <w:p>
            <w:pPr>
              <w:jc w:val="right"/>
              <w:ind w:right="250"/>
              <w:spacing w:after="0"/>
              <w:rPr>
                <w:sz w:val="20"/>
                <w:szCs w:val="20"/>
                <w:color w:val="auto"/>
              </w:rPr>
            </w:pPr>
            <w:r>
              <w:rPr>
                <w:rFonts w:ascii="Arial" w:cs="Arial" w:eastAsia="Arial" w:hAnsi="Arial"/>
                <w:sz w:val="18"/>
                <w:szCs w:val="18"/>
                <w:color w:val="auto"/>
              </w:rPr>
              <w:t>21,148,497</w:t>
            </w:r>
          </w:p>
        </w:tc>
      </w:tr>
      <w:tr>
        <w:trPr>
          <w:trHeight w:val="553"/>
        </w:trPr>
        <w:tc>
          <w:tcPr>
            <w:tcW w:w="37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9.01(d).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Arial" w:cs="Arial" w:eastAsia="Arial" w:hAnsi="Arial"/>
                <w:sz w:val="18"/>
                <w:szCs w:val="18"/>
                <w:color w:val="auto"/>
                <w:w w:val="94"/>
              </w:rPr>
              <w:t>Exhibit Number</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8180" w:type="dxa"/>
            <w:vAlign w:val="bottom"/>
          </w:tcPr>
          <w:p>
            <w:pPr>
              <w:spacing w:after="0"/>
              <w:rPr>
                <w:sz w:val="17"/>
                <w:szCs w:val="17"/>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99.1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w w:val="91"/>
              </w:rPr>
              <w:t>Comcast Corporation 2002</w:t>
            </w:r>
          </w:p>
        </w:tc>
        <w:tc>
          <w:tcPr>
            <w:tcW w:w="8180" w:type="dxa"/>
            <w:vAlign w:val="bottom"/>
          </w:tcPr>
          <w:p>
            <w:pPr>
              <w:ind w:left="20"/>
              <w:spacing w:after="0"/>
              <w:rPr>
                <w:sz w:val="20"/>
                <w:szCs w:val="20"/>
                <w:color w:val="auto"/>
              </w:rPr>
            </w:pPr>
            <w:r>
              <w:rPr>
                <w:rFonts w:ascii="Arial" w:cs="Arial" w:eastAsia="Arial" w:hAnsi="Arial"/>
                <w:sz w:val="18"/>
                <w:szCs w:val="18"/>
                <w:color w:val="auto"/>
                <w:w w:val="91"/>
              </w:rPr>
              <w:t>Restricted Plan, as amended and restated effective February 22, 2016 (incorporated by reference to Appendix A</w:t>
            </w:r>
          </w:p>
        </w:tc>
      </w:tr>
      <w:tr>
        <w:trPr>
          <w:trHeight w:val="230"/>
        </w:trPr>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0" w:type="dxa"/>
            <w:vAlign w:val="bottom"/>
            <w:gridSpan w:val="4"/>
          </w:tcPr>
          <w:p>
            <w:pPr>
              <w:ind w:left="40"/>
              <w:spacing w:after="0"/>
              <w:rPr>
                <w:sz w:val="20"/>
                <w:szCs w:val="20"/>
                <w:color w:val="auto"/>
              </w:rPr>
            </w:pPr>
            <w:r>
              <w:rPr>
                <w:rFonts w:ascii="Arial" w:cs="Arial" w:eastAsia="Arial" w:hAnsi="Arial"/>
                <w:sz w:val="18"/>
                <w:szCs w:val="18"/>
                <w:color w:val="auto"/>
              </w:rPr>
              <w:t>to our Definitive Proxy Statement on Schedule 14A filed on April 8, 2016)</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99.2</w:t>
            </w:r>
          </w:p>
        </w:tc>
        <w:tc>
          <w:tcPr>
            <w:tcW w:w="40" w:type="dxa"/>
            <w:vAlign w:val="bottom"/>
          </w:tcPr>
          <w:p>
            <w:pPr>
              <w:spacing w:after="0"/>
              <w:rPr>
                <w:sz w:val="24"/>
                <w:szCs w:val="24"/>
                <w:color w:val="auto"/>
              </w:rPr>
            </w:pPr>
          </w:p>
        </w:tc>
        <w:tc>
          <w:tcPr>
            <w:tcW w:w="2020" w:type="dxa"/>
            <w:vAlign w:val="bottom"/>
            <w:gridSpan w:val="3"/>
          </w:tcPr>
          <w:p>
            <w:pPr>
              <w:ind w:left="40"/>
              <w:spacing w:after="0"/>
              <w:rPr>
                <w:sz w:val="20"/>
                <w:szCs w:val="20"/>
                <w:color w:val="auto"/>
              </w:rPr>
            </w:pPr>
            <w:r>
              <w:rPr>
                <w:rFonts w:ascii="Arial" w:cs="Arial" w:eastAsia="Arial" w:hAnsi="Arial"/>
                <w:sz w:val="18"/>
                <w:szCs w:val="18"/>
                <w:color w:val="auto"/>
                <w:w w:val="91"/>
              </w:rPr>
              <w:t>Comcast Corporation 2003</w:t>
            </w:r>
          </w:p>
        </w:tc>
        <w:tc>
          <w:tcPr>
            <w:tcW w:w="8180" w:type="dxa"/>
            <w:vAlign w:val="bottom"/>
          </w:tcPr>
          <w:p>
            <w:pPr>
              <w:ind w:left="20"/>
              <w:spacing w:after="0"/>
              <w:rPr>
                <w:sz w:val="20"/>
                <w:szCs w:val="20"/>
                <w:color w:val="auto"/>
              </w:rPr>
            </w:pPr>
            <w:r>
              <w:rPr>
                <w:rFonts w:ascii="Arial" w:cs="Arial" w:eastAsia="Arial" w:hAnsi="Arial"/>
                <w:sz w:val="18"/>
                <w:szCs w:val="18"/>
                <w:color w:val="auto"/>
                <w:w w:val="90"/>
              </w:rPr>
              <w:t>Stock Option Plan, as amended and restated effective February 22, 2016 (incorporated by reference to Appendix</w:t>
            </w:r>
          </w:p>
        </w:tc>
      </w:tr>
      <w:tr>
        <w:trPr>
          <w:trHeight w:val="230"/>
        </w:trPr>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0" w:type="dxa"/>
            <w:vAlign w:val="bottom"/>
            <w:gridSpan w:val="4"/>
          </w:tcPr>
          <w:p>
            <w:pPr>
              <w:ind w:left="40"/>
              <w:spacing w:after="0"/>
              <w:rPr>
                <w:sz w:val="20"/>
                <w:szCs w:val="20"/>
                <w:color w:val="auto"/>
              </w:rPr>
            </w:pPr>
            <w:r>
              <w:rPr>
                <w:rFonts w:ascii="Arial" w:cs="Arial" w:eastAsia="Arial" w:hAnsi="Arial"/>
                <w:sz w:val="18"/>
                <w:szCs w:val="18"/>
                <w:color w:val="auto"/>
              </w:rPr>
              <w:t>B to our Definitive Proxy Statement on Schedule 14A filed on April 8, 2016)</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99.3</w:t>
            </w:r>
          </w:p>
        </w:tc>
        <w:tc>
          <w:tcPr>
            <w:tcW w:w="40" w:type="dxa"/>
            <w:vAlign w:val="bottom"/>
          </w:tcPr>
          <w:p>
            <w:pPr>
              <w:spacing w:after="0"/>
              <w:rPr>
                <w:sz w:val="24"/>
                <w:szCs w:val="24"/>
                <w:color w:val="auto"/>
              </w:rPr>
            </w:pPr>
          </w:p>
        </w:tc>
        <w:tc>
          <w:tcPr>
            <w:tcW w:w="2020" w:type="dxa"/>
            <w:vAlign w:val="bottom"/>
            <w:gridSpan w:val="3"/>
          </w:tcPr>
          <w:p>
            <w:pPr>
              <w:ind w:left="40"/>
              <w:spacing w:after="0"/>
              <w:rPr>
                <w:sz w:val="20"/>
                <w:szCs w:val="20"/>
                <w:color w:val="auto"/>
              </w:rPr>
            </w:pPr>
            <w:r>
              <w:rPr>
                <w:rFonts w:ascii="Arial" w:cs="Arial" w:eastAsia="Arial" w:hAnsi="Arial"/>
                <w:sz w:val="18"/>
                <w:szCs w:val="18"/>
                <w:color w:val="auto"/>
                <w:w w:val="91"/>
              </w:rPr>
              <w:t>Comcast Corporation 2002</w:t>
            </w:r>
          </w:p>
        </w:tc>
        <w:tc>
          <w:tcPr>
            <w:tcW w:w="8180" w:type="dxa"/>
            <w:vAlign w:val="bottom"/>
          </w:tcPr>
          <w:p>
            <w:pPr>
              <w:ind w:left="20"/>
              <w:spacing w:after="0"/>
              <w:rPr>
                <w:sz w:val="20"/>
                <w:szCs w:val="20"/>
                <w:color w:val="auto"/>
              </w:rPr>
            </w:pPr>
            <w:r>
              <w:rPr>
                <w:rFonts w:ascii="Arial" w:cs="Arial" w:eastAsia="Arial" w:hAnsi="Arial"/>
                <w:sz w:val="18"/>
                <w:szCs w:val="18"/>
                <w:color w:val="auto"/>
                <w:w w:val="89"/>
              </w:rPr>
              <w:t>Employee Stock Purchase Plan, as amended and restated effective February 22, 2016 (incorporated by reference</w:t>
            </w:r>
          </w:p>
        </w:tc>
      </w:tr>
      <w:tr>
        <w:trPr>
          <w:trHeight w:val="230"/>
        </w:trPr>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0" w:type="dxa"/>
            <w:vAlign w:val="bottom"/>
            <w:gridSpan w:val="4"/>
          </w:tcPr>
          <w:p>
            <w:pPr>
              <w:ind w:left="40"/>
              <w:spacing w:after="0"/>
              <w:rPr>
                <w:sz w:val="20"/>
                <w:szCs w:val="20"/>
                <w:color w:val="auto"/>
              </w:rPr>
            </w:pPr>
            <w:r>
              <w:rPr>
                <w:rFonts w:ascii="Arial" w:cs="Arial" w:eastAsia="Arial" w:hAnsi="Arial"/>
                <w:sz w:val="18"/>
                <w:szCs w:val="18"/>
                <w:color w:val="auto"/>
              </w:rPr>
              <w:t>to Appendix C to our Definitive Proxy Statement on Schedule 14A filed on April 8, 2016)</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99.4</w:t>
            </w:r>
          </w:p>
        </w:tc>
        <w:tc>
          <w:tcPr>
            <w:tcW w:w="40" w:type="dxa"/>
            <w:vAlign w:val="bottom"/>
          </w:tcPr>
          <w:p>
            <w:pPr>
              <w:spacing w:after="0"/>
              <w:rPr>
                <w:sz w:val="24"/>
                <w:szCs w:val="24"/>
                <w:color w:val="auto"/>
              </w:rPr>
            </w:pPr>
          </w:p>
        </w:tc>
        <w:tc>
          <w:tcPr>
            <w:tcW w:w="10200" w:type="dxa"/>
            <w:vAlign w:val="bottom"/>
            <w:gridSpan w:val="4"/>
          </w:tcPr>
          <w:p>
            <w:pPr>
              <w:ind w:left="40"/>
              <w:spacing w:after="0"/>
              <w:rPr>
                <w:sz w:val="20"/>
                <w:szCs w:val="20"/>
                <w:color w:val="auto"/>
              </w:rPr>
            </w:pPr>
            <w:r>
              <w:rPr>
                <w:rFonts w:ascii="Arial" w:cs="Arial" w:eastAsia="Arial" w:hAnsi="Arial"/>
                <w:sz w:val="18"/>
                <w:szCs w:val="18"/>
                <w:color w:val="auto"/>
                <w:w w:val="90"/>
              </w:rPr>
              <w:t>Comcast-NBCUniversal Employee Stock Purchase Plan, as amended and restated effective February 22, 2016 (incorporated by reference to</w:t>
            </w:r>
          </w:p>
        </w:tc>
      </w:tr>
      <w:tr>
        <w:trPr>
          <w:trHeight w:val="230"/>
        </w:trPr>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0" w:type="dxa"/>
            <w:vAlign w:val="bottom"/>
            <w:gridSpan w:val="4"/>
          </w:tcPr>
          <w:p>
            <w:pPr>
              <w:ind w:left="40"/>
              <w:spacing w:after="0"/>
              <w:rPr>
                <w:sz w:val="20"/>
                <w:szCs w:val="20"/>
                <w:color w:val="auto"/>
              </w:rPr>
            </w:pPr>
            <w:r>
              <w:rPr>
                <w:rFonts w:ascii="Arial" w:cs="Arial" w:eastAsia="Arial" w:hAnsi="Arial"/>
                <w:sz w:val="18"/>
                <w:szCs w:val="18"/>
                <w:color w:val="auto"/>
              </w:rPr>
              <w:t>Appendix D to our Definitive Proxy Statement on Schedule 14A filed on April 8, 2016)</w:t>
            </w:r>
          </w:p>
        </w:tc>
      </w:tr>
      <w:tr>
        <w:trPr>
          <w:trHeight w:val="743"/>
        </w:trPr>
        <w:tc>
          <w:tcPr>
            <w:tcW w:w="1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6580" w:type="dxa"/>
            <w:vAlign w:val="bottom"/>
            <w:gridSpan w:val="2"/>
          </w:tcPr>
          <w:p>
            <w:pPr>
              <w:ind w:left="2120"/>
              <w:spacing w:after="0"/>
              <w:rPr>
                <w:sz w:val="20"/>
                <w:szCs w:val="20"/>
                <w:color w:val="auto"/>
              </w:rPr>
            </w:pPr>
            <w:r>
              <w:rPr>
                <w:rFonts w:ascii="Arial" w:cs="Arial" w:eastAsia="Arial" w:hAnsi="Arial"/>
                <w:sz w:val="18"/>
                <w:szCs w:val="18"/>
                <w:b w:val="1"/>
                <w:bCs w:val="1"/>
                <w:color w:val="auto"/>
              </w:rPr>
              <w:t>COMCAST CORPORATION</w:t>
            </w:r>
          </w:p>
        </w:tc>
        <w:tc>
          <w:tcPr>
            <w:tcW w:w="1240" w:type="dxa"/>
            <w:vAlign w:val="bottom"/>
          </w:tcPr>
          <w:p>
            <w:pPr>
              <w:spacing w:after="0"/>
              <w:rPr>
                <w:sz w:val="20"/>
                <w:szCs w:val="20"/>
                <w:color w:val="auto"/>
              </w:rPr>
            </w:pPr>
          </w:p>
        </w:tc>
      </w:tr>
      <w:tr>
        <w:trPr>
          <w:trHeight w:val="513"/>
        </w:trPr>
        <w:tc>
          <w:tcPr>
            <w:tcW w:w="3600" w:type="dxa"/>
            <w:vAlign w:val="bottom"/>
          </w:tcPr>
          <w:p>
            <w:pPr>
              <w:spacing w:after="0"/>
              <w:rPr>
                <w:sz w:val="20"/>
                <w:szCs w:val="20"/>
                <w:color w:val="auto"/>
              </w:rPr>
            </w:pPr>
            <w:r>
              <w:rPr>
                <w:rFonts w:ascii="Arial" w:cs="Arial" w:eastAsia="Arial" w:hAnsi="Arial"/>
                <w:sz w:val="18"/>
                <w:szCs w:val="18"/>
                <w:color w:val="auto"/>
              </w:rPr>
              <w:t>Date: May 24, 2016</w:t>
            </w:r>
          </w:p>
        </w:tc>
        <w:tc>
          <w:tcPr>
            <w:tcW w:w="6580" w:type="dxa"/>
            <w:vAlign w:val="bottom"/>
            <w:gridSpan w:val="2"/>
          </w:tcPr>
          <w:p>
            <w:pPr>
              <w:ind w:left="2120"/>
              <w:spacing w:after="0"/>
              <w:rPr>
                <w:sz w:val="20"/>
                <w:szCs w:val="20"/>
                <w:color w:val="auto"/>
              </w:rPr>
            </w:pPr>
            <w:r>
              <w:rPr>
                <w:rFonts w:ascii="Arial" w:cs="Arial" w:eastAsia="Arial" w:hAnsi="Arial"/>
                <w:sz w:val="18"/>
                <w:szCs w:val="18"/>
                <w:color w:val="auto"/>
              </w:rPr>
              <w:t>By:  /s/ Arthur R. Block</w:t>
            </w:r>
          </w:p>
        </w:tc>
        <w:tc>
          <w:tcPr>
            <w:tcW w:w="1240" w:type="dxa"/>
            <w:vAlign w:val="bottom"/>
          </w:tcPr>
          <w:p>
            <w:pPr>
              <w:spacing w:after="0"/>
              <w:rPr>
                <w:sz w:val="24"/>
                <w:szCs w:val="24"/>
                <w:color w:val="auto"/>
              </w:rPr>
            </w:pPr>
          </w:p>
        </w:tc>
      </w:tr>
      <w:tr>
        <w:trPr>
          <w:trHeight w:val="195"/>
        </w:trPr>
        <w:tc>
          <w:tcPr>
            <w:tcW w:w="36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Arthur R. Block</w:t>
            </w:r>
          </w:p>
        </w:tc>
        <w:tc>
          <w:tcPr>
            <w:tcW w:w="1240" w:type="dxa"/>
            <w:vAlign w:val="bottom"/>
          </w:tcPr>
          <w:p>
            <w:pPr>
              <w:spacing w:after="0"/>
              <w:rPr>
                <w:sz w:val="16"/>
                <w:szCs w:val="16"/>
                <w:color w:val="auto"/>
              </w:rPr>
            </w:pPr>
          </w:p>
        </w:tc>
      </w:tr>
      <w:tr>
        <w:trPr>
          <w:trHeight w:val="216"/>
        </w:trPr>
        <w:tc>
          <w:tcPr>
            <w:tcW w:w="36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w w:val="92"/>
              </w:rPr>
              <w:t>Title:  Executive Vice President, General Counsel and</w:t>
            </w:r>
          </w:p>
        </w:tc>
        <w:tc>
          <w:tcPr>
            <w:tcW w:w="1240" w:type="dxa"/>
            <w:vAlign w:val="bottom"/>
          </w:tcPr>
          <w:p>
            <w:pPr>
              <w:spacing w:after="0"/>
              <w:rPr>
                <w:sz w:val="18"/>
                <w:szCs w:val="18"/>
                <w:color w:val="auto"/>
              </w:rPr>
            </w:pPr>
          </w:p>
        </w:tc>
      </w:tr>
      <w:tr>
        <w:trPr>
          <w:trHeight w:val="230"/>
        </w:trPr>
        <w:tc>
          <w:tcPr>
            <w:tcW w:w="36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000" w:type="dxa"/>
            <w:vAlign w:val="bottom"/>
          </w:tcPr>
          <w:p>
            <w:pPr>
              <w:ind w:left="580"/>
              <w:spacing w:after="0"/>
              <w:rPr>
                <w:sz w:val="20"/>
                <w:szCs w:val="20"/>
                <w:color w:val="auto"/>
              </w:rPr>
            </w:pPr>
            <w:r>
              <w:rPr>
                <w:rFonts w:ascii="Arial" w:cs="Arial" w:eastAsia="Arial" w:hAnsi="Arial"/>
                <w:sz w:val="18"/>
                <w:szCs w:val="18"/>
                <w:color w:val="auto"/>
              </w:rPr>
              <w:t>Secretary</w:t>
            </w:r>
          </w:p>
        </w:tc>
        <w:tc>
          <w:tcPr>
            <w:tcW w:w="1240" w:type="dxa"/>
            <w:vAlign w:val="bottom"/>
          </w:tcPr>
          <w:p>
            <w:pPr>
              <w:spacing w:after="0"/>
              <w:rPr>
                <w:sz w:val="20"/>
                <w:szCs w:val="20"/>
                <w:color w:val="auto"/>
              </w:rPr>
            </w:pPr>
          </w:p>
        </w:tc>
      </w:tr>
      <w:tr>
        <w:trPr>
          <w:trHeight w:val="783"/>
        </w:trPr>
        <w:tc>
          <w:tcPr>
            <w:tcW w:w="36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2"/>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4"/>
    </w:lvl>
  </w:abstractNum>
  <w:abstractNum w:abstractNumId="5">
    <w:nsid w:val="515F007C"/>
    <w:multiLevelType w:val="hybridMultilevel"/>
    <w:lvl w:ilvl="0">
      <w:lvlJc w:val="left"/>
      <w:lvlText w:val="(%1)"/>
      <w:numFmt w:val="decimal"/>
      <w:start w:val="5"/>
    </w:lvl>
  </w:abstractNum>
  <w:abstractNum w:abstractNumId="6">
    <w:nsid w:val="5BD062C2"/>
    <w:multiLevelType w:val="hybridMultilevel"/>
    <w:lvl w:ilvl="0">
      <w:lvlJc w:val="left"/>
      <w:lvlText w:val="(%1)"/>
      <w:numFmt w:val="decimal"/>
      <w:start w:val="6"/>
    </w:lvl>
  </w:abstractNum>
  <w:abstractNum w:abstractNumId="7">
    <w:nsid w:val="12200854"/>
    <w:multiLevelType w:val="hybridMultilevel"/>
    <w:lvl w:ilvl="0">
      <w:lvlJc w:val="left"/>
      <w:lvlText w:val="(%1)"/>
      <w:numFmt w:val="decimal"/>
      <w:start w:val="7"/>
    </w:lvl>
  </w:abstractNum>
  <w:abstractNum w:abstractNumId="8">
    <w:nsid w:val="4DB127F8"/>
    <w:multiLevelType w:val="hybridMultilevel"/>
    <w:lvl w:ilvl="0">
      <w:lvlJc w:val="left"/>
      <w:lvlText w:val="(%1)"/>
      <w:numFmt w:val="decimal"/>
      <w:start w:val="8"/>
    </w:lvl>
  </w:abstractNum>
  <w:abstractNum w:abstractNumId="9">
    <w:nsid w:val="216231B"/>
    <w:multiLevelType w:val="hybridMultilevel"/>
    <w:lvl w:ilvl="0">
      <w:lvlJc w:val="left"/>
      <w:lvlText w:val="(%1)"/>
      <w:numFmt w:val="decimal"/>
      <w:start w:val="9"/>
    </w:lvl>
  </w:abstractNum>
  <w:abstractNum w:abstractNumId="10">
    <w:nsid w:val="1F16E9E8"/>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2019-12-07T15:44:09Z</dcterms:created>
  <dcterms:modified xsi:type="dcterms:W3CDTF">2019-12-07T15:44:09Z</dcterms:modified>
</cp:coreProperties>
</file>