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0)1</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20030010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4" w:lineRule="exact"/>
        <w:rPr>
          <w:sz w:val="24"/>
          <w:szCs w:val="24"/>
          <w:color w:val="auto"/>
        </w:rPr>
      </w:pPr>
    </w:p>
    <w:p>
      <w:pPr>
        <w:spacing w:after="0"/>
        <w:tabs>
          <w:tab w:leader="none" w:pos="3360" w:val="left"/>
          <w:tab w:leader="none" w:pos="5880" w:val="left"/>
        </w:tabs>
        <w:rPr>
          <w:sz w:val="20"/>
          <w:szCs w:val="20"/>
          <w:color w:val="auto"/>
        </w:rPr>
      </w:pPr>
      <w:r>
        <w:rPr>
          <w:rFonts w:ascii="Courier New" w:cs="Courier New" w:eastAsia="Courier New" w:hAnsi="Courier New"/>
          <w:sz w:val="18"/>
          <w:szCs w:val="18"/>
          <w:color w:val="auto"/>
        </w:rPr>
        <w:t>CUSIP No. 20030010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38" w:lineRule="auto"/>
        <w:rPr>
          <w:sz w:val="20"/>
          <w:szCs w:val="20"/>
          <w:color w:val="auto"/>
        </w:rPr>
      </w:pPr>
      <w:r>
        <w:rPr>
          <w:rFonts w:ascii="Courier New" w:cs="Courier New" w:eastAsia="Courier New" w:hAnsi="Courier New"/>
          <w:sz w:val="18"/>
          <w:szCs w:val="18"/>
          <w:color w:val="auto"/>
        </w:rPr>
        <w:t>- ----------------------------------------------------------------</w:t>
      </w:r>
    </w:p>
    <w:p>
      <w:pPr>
        <w:ind w:left="1700" w:hanging="1692"/>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37" w:lineRule="auto"/>
        <w:rPr>
          <w:sz w:val="20"/>
          <w:szCs w:val="20"/>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Wellington Management Company, LLP</w:t>
      </w:r>
    </w:p>
    <w:p>
      <w:pPr>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202"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760" w:hanging="852"/>
        <w:spacing w:after="0" w:line="238" w:lineRule="auto"/>
        <w:tabs>
          <w:tab w:leader="none" w:pos="67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c>
          <w:tcPr>
            <w:tcW w:w="2380" w:type="dxa"/>
            <w:vAlign w:val="bottom"/>
            <w:gridSpan w:val="2"/>
          </w:tcPr>
          <w:p>
            <w:pPr>
              <w:ind w:left="840"/>
              <w:spacing w:after="0"/>
              <w:rPr>
                <w:sz w:val="20"/>
                <w:szCs w:val="20"/>
                <w:color w:val="auto"/>
              </w:rPr>
            </w:pPr>
            <w:r>
              <w:rPr>
                <w:rFonts w:ascii="Courier New" w:cs="Courier New" w:eastAsia="Courier New" w:hAnsi="Courier New"/>
                <w:sz w:val="12"/>
                <w:szCs w:val="12"/>
                <w:color w:val="auto"/>
                <w:w w:val="72"/>
              </w:rPr>
              <w:t>-----------------------------</w:t>
            </w:r>
          </w:p>
        </w:tc>
        <w:tc>
          <w:tcPr>
            <w:tcW w:w="24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4,000</w:t>
            </w:r>
          </w:p>
        </w:tc>
        <w:tc>
          <w:tcPr>
            <w:tcW w:w="24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2380" w:type="dxa"/>
            <w:vAlign w:val="bottom"/>
            <w:gridSpan w:val="2"/>
          </w:tcPr>
          <w:p>
            <w:pPr>
              <w:ind w:left="840"/>
              <w:spacing w:after="0"/>
              <w:rPr>
                <w:sz w:val="20"/>
                <w:szCs w:val="20"/>
                <w:color w:val="auto"/>
              </w:rPr>
            </w:pPr>
            <w:r>
              <w:rPr>
                <w:rFonts w:ascii="Courier New" w:cs="Courier New" w:eastAsia="Courier New" w:hAnsi="Courier New"/>
                <w:sz w:val="12"/>
                <w:szCs w:val="12"/>
                <w:color w:val="auto"/>
                <w:w w:val="72"/>
              </w:rPr>
              <w:t>-----------------------------</w:t>
            </w:r>
          </w:p>
        </w:tc>
        <w:tc>
          <w:tcPr>
            <w:tcW w:w="24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2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68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4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3,300,100</w:t>
            </w:r>
          </w:p>
        </w:tc>
      </w:tr>
      <w:tr>
        <w:trPr>
          <w:trHeight w:val="203"/>
        </w:trPr>
        <w:tc>
          <w:tcPr>
            <w:tcW w:w="9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85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bl>
    <w:p>
      <w:pPr>
        <w:sectPr>
          <w:pgSz w:w="11900" w:h="16855"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3,300,100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jc w:val="both"/>
        <w:ind w:left="10960"/>
        <w:spacing w:after="0" w:line="237" w:lineRule="auto"/>
        <w:tabs>
          <w:tab w:leader="none" w:pos="113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IA, HC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CUSIP No. 20030010</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3 of 7 Pages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Name of Issuer:</w:t>
            </w:r>
          </w:p>
        </w:tc>
        <w:tc>
          <w:tcPr>
            <w:tcW w:w="148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tabs>
          <w:tab w:leader="none" w:pos="17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338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State Street</w:t>
      </w: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20030010</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left="3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Bank as defined in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(c)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Insurance Company as defined in Section 3(a)(19)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Act,</w:t>
            </w:r>
          </w:p>
        </w:tc>
        <w:tc>
          <w:tcPr>
            <w:tcW w:w="3960" w:type="dxa"/>
            <w:vAlign w:val="bottom"/>
          </w:tcPr>
          <w:p>
            <w:pPr>
              <w:spacing w:after="0"/>
              <w:rPr>
                <w:sz w:val="17"/>
                <w:szCs w:val="17"/>
                <w:color w:val="auto"/>
              </w:rPr>
            </w:pP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(d)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bl>
    <w:p>
      <w:pPr>
        <w:spacing w:after="0" w:line="207" w:lineRule="exact"/>
        <w:rPr>
          <w:sz w:val="20"/>
          <w:szCs w:val="20"/>
          <w:color w:val="auto"/>
        </w:rPr>
      </w:pPr>
    </w:p>
    <w:p>
      <w:pPr>
        <w:ind w:left="3380" w:right="2440" w:hanging="1686"/>
        <w:spacing w:after="0" w:line="235" w:lineRule="auto"/>
        <w:tabs>
          <w:tab w:leader="none" w:pos="21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CUSIP No. 20030010</w:t>
            </w:r>
          </w:p>
        </w:tc>
        <w:tc>
          <w:tcPr>
            <w:tcW w:w="188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Page 4</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of 7 Pages</w:t>
            </w:r>
          </w:p>
        </w:tc>
        <w:tc>
          <w:tcPr>
            <w:tcW w:w="1620" w:type="dxa"/>
            <w:vAlign w:val="bottom"/>
          </w:tcPr>
          <w:p>
            <w:pPr>
              <w:spacing w:after="0"/>
              <w:rPr>
                <w:sz w:val="17"/>
                <w:szCs w:val="17"/>
                <w:color w:val="auto"/>
              </w:rPr>
            </w:pPr>
          </w:p>
        </w:tc>
      </w:tr>
      <w:tr>
        <w:trPr>
          <w:trHeight w:val="405"/>
        </w:trPr>
        <w:tc>
          <w:tcPr>
            <w:tcW w:w="3020" w:type="dxa"/>
            <w:vAlign w:val="bottom"/>
          </w:tcPr>
          <w:p>
            <w:pPr>
              <w:ind w:left="1700"/>
              <w:spacing w:after="0"/>
              <w:rPr>
                <w:sz w:val="20"/>
                <w:szCs w:val="20"/>
                <w:color w:val="auto"/>
              </w:rPr>
            </w:pPr>
            <w:r>
              <w:rPr>
                <w:rFonts w:ascii="Courier New" w:cs="Courier New" w:eastAsia="Courier New" w:hAnsi="Courier New"/>
                <w:sz w:val="18"/>
                <w:szCs w:val="18"/>
                <w:color w:val="auto"/>
              </w:rPr>
              <w:t>(f) [   ]</w:t>
            </w:r>
          </w:p>
        </w:tc>
        <w:tc>
          <w:tcPr>
            <w:tcW w:w="358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Employee Benefit Plan, Pension</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Fund which</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is subject to</w:t>
            </w:r>
          </w:p>
        </w:tc>
      </w:tr>
      <w:tr>
        <w:trPr>
          <w:trHeight w:val="203"/>
        </w:trPr>
        <w:tc>
          <w:tcPr>
            <w:tcW w:w="3020" w:type="dxa"/>
            <w:vAlign w:val="bottom"/>
          </w:tcPr>
          <w:p>
            <w:pPr>
              <w:spacing w:after="0"/>
              <w:rPr>
                <w:sz w:val="17"/>
                <w:szCs w:val="17"/>
                <w:color w:val="auto"/>
              </w:rPr>
            </w:pPr>
          </w:p>
        </w:tc>
        <w:tc>
          <w:tcPr>
            <w:tcW w:w="1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the provisions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the Employee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Retirement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Income Security</w:t>
            </w:r>
          </w:p>
        </w:tc>
      </w:tr>
      <w:tr>
        <w:trPr>
          <w:trHeight w:val="203"/>
        </w:trPr>
        <w:tc>
          <w:tcPr>
            <w:tcW w:w="3020" w:type="dxa"/>
            <w:vAlign w:val="bottom"/>
          </w:tcPr>
          <w:p>
            <w:pPr>
              <w:spacing w:after="0"/>
              <w:rPr>
                <w:sz w:val="17"/>
                <w:szCs w:val="17"/>
                <w:color w:val="auto"/>
              </w:rPr>
            </w:pPr>
          </w:p>
        </w:tc>
        <w:tc>
          <w:tcPr>
            <w:tcW w:w="1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Act of 1974 or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Endowment Fund;</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see 13d-1(b)(1)(ii)(F),</w:t>
            </w:r>
          </w:p>
        </w:tc>
      </w:tr>
    </w:tbl>
    <w:p>
      <w:pPr>
        <w:spacing w:after="0" w:line="207" w:lineRule="exact"/>
        <w:rPr>
          <w:sz w:val="20"/>
          <w:szCs w:val="20"/>
          <w:color w:val="auto"/>
        </w:rPr>
      </w:pPr>
    </w:p>
    <w:p>
      <w:pPr>
        <w:ind w:left="3380" w:right="2640" w:hanging="1686"/>
        <w:spacing w:after="0" w:line="235" w:lineRule="auto"/>
        <w:tabs>
          <w:tab w:leader="none" w:pos="21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]Parent Holding Company, in accordance with Rule 13d-1(b)(1)(ii)(G); see Item 7,</w:t>
      </w:r>
    </w:p>
    <w:p>
      <w:pPr>
        <w:spacing w:after="0" w:line="203" w:lineRule="exact"/>
        <w:rPr>
          <w:sz w:val="20"/>
          <w:szCs w:val="20"/>
          <w:color w:val="auto"/>
        </w:rPr>
      </w:pPr>
    </w:p>
    <w:p>
      <w:pPr>
        <w:ind w:left="1700"/>
        <w:spacing w:after="0"/>
        <w:tabs>
          <w:tab w:leader="none" w:pos="2520" w:val="left"/>
          <w:tab w:leader="none" w:pos="3360" w:val="left"/>
        </w:tabs>
        <w:rPr>
          <w:sz w:val="20"/>
          <w:szCs w:val="20"/>
          <w:color w:val="auto"/>
        </w:rPr>
      </w:pPr>
      <w:r>
        <w:rPr>
          <w:rFonts w:ascii="Courier New" w:cs="Courier New" w:eastAsia="Courier New" w:hAnsi="Courier New"/>
          <w:sz w:val="18"/>
          <w:szCs w:val="18"/>
          <w:color w:val="auto"/>
        </w:rPr>
        <w:t>(h)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Rule 13d-1(b)(1)(ii)(H).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4540" w:firstLine="851"/>
        <w:spacing w:after="0" w:line="235" w:lineRule="auto"/>
        <w:tabs>
          <w:tab w:leader="none" w:pos="168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w:t>
      </w:r>
    </w:p>
    <w:p>
      <w:pPr>
        <w:spacing w:after="0" w:line="5" w:lineRule="exact"/>
        <w:rPr>
          <w:rFonts w:ascii="Courier New" w:cs="Courier New" w:eastAsia="Courier New" w:hAnsi="Courier New"/>
          <w:sz w:val="18"/>
          <w:szCs w:val="18"/>
          <w:color w:val="auto"/>
        </w:rPr>
      </w:pPr>
    </w:p>
    <w:p>
      <w:pPr>
        <w:ind w:right="538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3,300,100 shares of the Issuer which are held of record by clients of WMC.</w:t>
      </w:r>
    </w:p>
    <w:p>
      <w:pPr>
        <w:sectPr>
          <w:pgSz w:w="11900" w:h="16838" w:orient="portrait"/>
          <w:cols w:equalWidth="0" w:num="1">
            <w:col w:w="11500"/>
          </w:cols>
          <w:pgMar w:left="240" w:top="339" w:right="159" w:bottom="0" w:gutter="0" w:footer="0" w:header="0"/>
        </w:sectPr>
      </w:pPr>
    </w:p>
    <w:bookmarkStart w:id="2" w:name="page3"/>
    <w:bookmarkEnd w:id="2"/>
    <w:p>
      <w:pPr>
        <w:ind w:left="1700" w:hanging="84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10.37%</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8"/>
        <w:spacing w:after="0"/>
        <w:tabs>
          <w:tab w:leader="none" w:pos="14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0" w:type="dxa"/>
        <w:tblCellMar>
          <w:top w:w="0" w:type="dxa"/>
          <w:left w:w="0" w:type="dxa"/>
          <w:bottom w:w="0" w:type="dxa"/>
          <w:right w:w="0" w:type="dxa"/>
        </w:tblCellMar>
      </w:tblPr>
      <w:tr>
        <w:trPr>
          <w:trHeight w:val="203"/>
        </w:trPr>
        <w:tc>
          <w:tcPr>
            <w:tcW w:w="30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the vote</w:t>
            </w:r>
          </w:p>
        </w:tc>
        <w:tc>
          <w:tcPr>
            <w:tcW w:w="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vote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vote</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w:t>
            </w:r>
          </w:p>
        </w:tc>
        <w:tc>
          <w:tcPr>
            <w:tcW w:w="280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5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Sole 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3,300,100</w:t>
            </w:r>
          </w:p>
        </w:tc>
      </w:tr>
      <w:tr>
        <w:trPr>
          <w:trHeight w:val="608"/>
        </w:trPr>
        <w:tc>
          <w:tcPr>
            <w:tcW w:w="22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CUSIP No. 20030010</w:t>
            </w:r>
          </w:p>
        </w:tc>
        <w:tc>
          <w:tcPr>
            <w:tcW w:w="74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940" w:type="dxa"/>
            <w:vAlign w:val="bottom"/>
          </w:tcPr>
          <w:p>
            <w:pPr>
              <w:spacing w:after="0"/>
              <w:rPr>
                <w:sz w:val="24"/>
                <w:szCs w:val="24"/>
                <w:color w:val="auto"/>
              </w:rPr>
            </w:pPr>
          </w:p>
        </w:tc>
        <w:tc>
          <w:tcPr>
            <w:tcW w:w="28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1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ind w:left="2540"/>
        <w:spacing w:after="0" w:line="238" w:lineRule="auto"/>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The securities as to which this Schedule is filed by WMC, in its capacity as investment adviser, are owned of record by clients of WMC.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Vanguard/Windsor Funds,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4" w:lineRule="exact"/>
        <w:rPr>
          <w:sz w:val="20"/>
          <w:szCs w:val="20"/>
          <w:color w:val="auto"/>
        </w:rPr>
      </w:pPr>
    </w:p>
    <w:p>
      <w:pPr>
        <w:ind w:left="2540" w:right="125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2939" w:firstLine="843"/>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13d-1(b)(1)(ii)(H) or Rule 13d-1(c).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5" w:lineRule="exact"/>
        <w:rPr>
          <w:sz w:val="20"/>
          <w:szCs w:val="20"/>
          <w:color w:val="auto"/>
        </w:rPr>
      </w:pPr>
    </w:p>
    <w:p>
      <w:pPr>
        <w:spacing w:after="0"/>
        <w:tabs>
          <w:tab w:leader="none" w:pos="3360" w:val="left"/>
          <w:tab w:leader="none" w:pos="5880" w:val="left"/>
        </w:tabs>
        <w:rPr>
          <w:sz w:val="20"/>
          <w:szCs w:val="20"/>
          <w:color w:val="auto"/>
        </w:rPr>
      </w:pPr>
      <w:r>
        <w:rPr>
          <w:rFonts w:ascii="Courier New" w:cs="Courier New" w:eastAsia="Courier New" w:hAnsi="Courier New"/>
          <w:sz w:val="18"/>
          <w:szCs w:val="18"/>
          <w:color w:val="auto"/>
        </w:rPr>
        <w:t>CUSIP No. 20030010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August 6,</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Signature:</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--//Brian</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 Hillery//--</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Brian P. Hillery</w:t>
            </w:r>
          </w:p>
        </w:tc>
      </w:tr>
    </w:tbl>
    <w:p>
      <w:pPr>
        <w:ind w:left="5060"/>
        <w:spacing w:after="0" w:line="238" w:lineRule="auto"/>
        <w:rPr>
          <w:sz w:val="20"/>
          <w:szCs w:val="20"/>
          <w:color w:val="auto"/>
        </w:rPr>
      </w:pPr>
      <w:r>
        <w:rPr>
          <w:rFonts w:ascii="Courier New" w:cs="Courier New" w:eastAsia="Courier New" w:hAnsi="Courier New"/>
          <w:sz w:val="18"/>
          <w:szCs w:val="18"/>
          <w:color w:val="auto"/>
        </w:rPr>
        <w:t>Regulatory Analyst</w:t>
      </w:r>
    </w:p>
    <w:p>
      <w:pPr>
        <w:sectPr>
          <w:pgSz w:w="11900" w:h="16838" w:orient="portrait"/>
          <w:cols w:equalWidth="0" w:num="1">
            <w:col w:w="10219"/>
          </w:cols>
          <w:pgMar w:left="240" w:top="136" w:right="1440" w:bottom="943" w:gutter="0" w:footer="0" w:header="0"/>
        </w:sectPr>
      </w:pPr>
    </w:p>
    <w:bookmarkStart w:id="3" w:name="page4"/>
    <w:bookmarkEnd w:id="3"/>
    <w:p>
      <w:pPr>
        <w:spacing w:after="0" w:line="323" w:lineRule="exact"/>
        <w:rPr>
          <w:sz w:val="20"/>
          <w:szCs w:val="20"/>
          <w:color w:val="auto"/>
        </w:rPr>
      </w:pPr>
    </w:p>
    <w:p>
      <w:pPr>
        <w:ind w:right="2519" w:firstLine="8"/>
        <w:spacing w:after="0" w:line="235"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360" w:val="left"/>
          <w:tab w:leader="none" w:pos="5880" w:val="left"/>
        </w:tabs>
        <w:rPr>
          <w:sz w:val="20"/>
          <w:szCs w:val="20"/>
          <w:color w:val="auto"/>
        </w:rPr>
      </w:pPr>
      <w:r>
        <w:rPr>
          <w:rFonts w:ascii="Courier New" w:cs="Courier New" w:eastAsia="Courier New" w:hAnsi="Courier New"/>
          <w:sz w:val="18"/>
          <w:szCs w:val="18"/>
          <w:color w:val="auto"/>
        </w:rPr>
        <w:t>CUSIP No. 20030010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
      <w:numFmt w:val="bullet"/>
      <w:start w:val="1"/>
    </w:lvl>
    <w:lvl w:ilvl="1">
      <w:lvlJc w:val="left"/>
      <w:lvlText w:val="%2."/>
      <w:numFmt w:val="decimal"/>
      <w:start w:val="5"/>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lowerLetter"/>
      <w:start w:val="5"/>
    </w:lvl>
  </w:abstractNum>
  <w:abstractNum w:abstractNumId="10">
    <w:nsid w:val="140E0F76"/>
    <w:multiLevelType w:val="hybridMultilevel"/>
    <w:lvl w:ilvl="0">
      <w:lvlJc w:val="left"/>
      <w:lvlText w:val="(%1)"/>
      <w:numFmt w:val="lowerLetter"/>
      <w:start w:val="7"/>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lvl w:ilvl="1">
      <w:lvlJc w:val="left"/>
      <w:lvlText w:val="(%2)"/>
      <w:numFmt w:val="lowerLetter"/>
      <w:start w:val="9"/>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2019-12-12T23:05:13Z</dcterms:created>
  <dcterms:modified xsi:type="dcterms:W3CDTF">2019-12-12T23:05:13Z</dcterms:modified>
</cp:coreProperties>
</file>