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24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4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38"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3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February 13, 2014 (February 12, 2014)</w:t>
      </w:r>
    </w:p>
    <w:p>
      <w:pPr>
        <w:spacing w:after="0" w:line="140"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3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Pennsylvania</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001-32871</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346"/>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One Comcast Center</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Philadelphia, PA 19103-2838</w:t>
            </w:r>
          </w:p>
        </w:tc>
        <w:tc>
          <w:tcPr>
            <w:tcW w:w="1660" w:type="dxa"/>
            <w:vAlign w:val="bottom"/>
          </w:tcPr>
          <w:p>
            <w:pPr>
              <w:spacing w:after="0"/>
              <w:rPr>
                <w:sz w:val="19"/>
                <w:szCs w:val="19"/>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(215) 286-1700</w:t>
            </w:r>
          </w:p>
        </w:tc>
        <w:tc>
          <w:tcPr>
            <w:tcW w:w="1660" w:type="dxa"/>
            <w:vAlign w:val="bottom"/>
          </w:tcPr>
          <w:p>
            <w:pPr>
              <w:spacing w:after="0"/>
              <w:rPr>
                <w:sz w:val="24"/>
                <w:szCs w:val="24"/>
                <w:color w:val="auto"/>
              </w:rPr>
            </w:pPr>
          </w:p>
        </w:tc>
      </w:tr>
      <w:tr>
        <w:trPr>
          <w:trHeight w:val="350"/>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0"/>
                <w:szCs w:val="20"/>
                <w:color w:val="auto"/>
              </w:rPr>
            </w:pPr>
          </w:p>
        </w:tc>
      </w:tr>
    </w:tbl>
    <w:p>
      <w:pPr>
        <w:spacing w:after="0" w:line="130" w:lineRule="exact"/>
        <w:rPr>
          <w:sz w:val="24"/>
          <w:szCs w:val="24"/>
          <w:color w:val="auto"/>
        </w:rPr>
      </w:pPr>
    </w:p>
    <w:p>
      <w:pPr>
        <w:ind w:left="4600"/>
        <w:spacing w:after="0"/>
        <w:rPr>
          <w:sz w:val="20"/>
          <w:szCs w:val="20"/>
          <w:color w:val="auto"/>
        </w:rPr>
      </w:pPr>
      <w:r>
        <w:rPr>
          <w:rFonts w:ascii="Arial" w:cs="Arial" w:eastAsia="Arial" w:hAnsi="Arial"/>
          <w:sz w:val="14"/>
          <w:szCs w:val="14"/>
          <w:color w:val="auto"/>
        </w:rPr>
        <w:t>_______________________________</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15" w:right="77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 Agreement</w:t>
      </w:r>
    </w:p>
    <w:p>
      <w:pPr>
        <w:spacing w:after="0" w:line="252" w:lineRule="exact"/>
        <w:rPr>
          <w:sz w:val="20"/>
          <w:szCs w:val="20"/>
          <w:color w:val="auto"/>
        </w:rPr>
      </w:pPr>
    </w:p>
    <w:p>
      <w:pPr>
        <w:jc w:val="both"/>
        <w:ind w:right="60" w:firstLine="648"/>
        <w:spacing w:after="0" w:line="281" w:lineRule="auto"/>
        <w:rPr>
          <w:sz w:val="20"/>
          <w:szCs w:val="20"/>
          <w:color w:val="auto"/>
        </w:rPr>
      </w:pPr>
      <w:r>
        <w:rPr>
          <w:rFonts w:ascii="Arial" w:cs="Arial" w:eastAsia="Arial" w:hAnsi="Arial"/>
          <w:sz w:val="17"/>
          <w:szCs w:val="17"/>
          <w:color w:val="auto"/>
        </w:rPr>
        <w:t>On February 12, 2014, Comcast Corporation, a Pennsylvania corporation (“</w:t>
      </w:r>
      <w:r>
        <w:rPr>
          <w:rFonts w:ascii="Arial" w:cs="Arial" w:eastAsia="Arial" w:hAnsi="Arial"/>
          <w:sz w:val="17"/>
          <w:szCs w:val="17"/>
          <w:b w:val="1"/>
          <w:bCs w:val="1"/>
          <w:color w:val="auto"/>
        </w:rPr>
        <w:t>Comcast</w:t>
      </w:r>
      <w:r>
        <w:rPr>
          <w:rFonts w:ascii="Arial" w:cs="Arial" w:eastAsia="Arial" w:hAnsi="Arial"/>
          <w:sz w:val="17"/>
          <w:szCs w:val="17"/>
          <w:color w:val="auto"/>
        </w:rPr>
        <w:t>”), Time Warner Cable Inc., a Delaware corporation (“</w:t>
      </w:r>
      <w:r>
        <w:rPr>
          <w:rFonts w:ascii="Arial" w:cs="Arial" w:eastAsia="Arial" w:hAnsi="Arial"/>
          <w:sz w:val="17"/>
          <w:szCs w:val="17"/>
          <w:b w:val="1"/>
          <w:bCs w:val="1"/>
          <w:color w:val="auto"/>
        </w:rPr>
        <w:t>TWC</w:t>
      </w:r>
      <w:r>
        <w:rPr>
          <w:rFonts w:ascii="Arial" w:cs="Arial" w:eastAsia="Arial" w:hAnsi="Arial"/>
          <w:sz w:val="17"/>
          <w:szCs w:val="17"/>
          <w:color w:val="auto"/>
        </w:rPr>
        <w:t>”), and Tango Acquisition Sub, Inc., a Delaware corporation and a wholly owned subsidiary of Comcast (“</w:t>
      </w:r>
      <w:r>
        <w:rPr>
          <w:rFonts w:ascii="Arial" w:cs="Arial" w:eastAsia="Arial" w:hAnsi="Arial"/>
          <w:sz w:val="17"/>
          <w:szCs w:val="17"/>
          <w:b w:val="1"/>
          <w:bCs w:val="1"/>
          <w:color w:val="auto"/>
        </w:rPr>
        <w:t>Merger Subsidiary</w:t>
      </w:r>
      <w:r>
        <w:rPr>
          <w:rFonts w:ascii="Arial" w:cs="Arial" w:eastAsia="Arial" w:hAnsi="Arial"/>
          <w:sz w:val="17"/>
          <w:szCs w:val="17"/>
          <w:color w:val="auto"/>
        </w:rPr>
        <w:t>”), entered into an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subject to the satisfaction or waiver of certain conditions, Merger Subsidiary will merge with and into TWC (the “</w:t>
      </w:r>
      <w:r>
        <w:rPr>
          <w:rFonts w:ascii="Arial" w:cs="Arial" w:eastAsia="Arial" w:hAnsi="Arial"/>
          <w:sz w:val="17"/>
          <w:szCs w:val="17"/>
          <w:b w:val="1"/>
          <w:bCs w:val="1"/>
          <w:color w:val="auto"/>
        </w:rPr>
        <w:t>Merger</w:t>
      </w:r>
      <w:r>
        <w:rPr>
          <w:rFonts w:ascii="Arial" w:cs="Arial" w:eastAsia="Arial" w:hAnsi="Arial"/>
          <w:sz w:val="17"/>
          <w:szCs w:val="17"/>
          <w:color w:val="auto"/>
        </w:rPr>
        <w:t>”), with TWC surviving as a wholly owned subsidiary of Comcast.</w:t>
      </w:r>
    </w:p>
    <w:p>
      <w:pPr>
        <w:spacing w:after="0" w:line="1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the consummation of the Merger, each share of TWC common stock (other than treasury shares held by TWC and any shares of TWC common stock owned by Comcast) will be converted into the right to receive 2.875 shares of Comcast Class A Common Stock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No fractional shares of Comcast Class A Common Stock will be issued in the Merger and TWC’s stockholders will receive cash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fractional shares.</w:t>
      </w:r>
    </w:p>
    <w:p>
      <w:pPr>
        <w:spacing w:after="0" w:line="21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TWC stock options and other equity awards will generally convert upon consummation of the Merger into stock options and equity awards with respect to Comcast Class A Common Stock, after giving effect to the 2.875 exchange ratio. However, in the case of (i) any restricted stock units held by current or former non-employee directors of TWC; and (ii) any options or restricted stock units held by former employees of TWC, such options or restricted stock units will be cancelled and converted into the right to receive cash from TWC. in an amount equal to the number of shares of stock that such options or restricted stock units would have converted into after giving effect to the 2.875 exchange ratio multiplied by the closing sale price of Comcast Class A Common Stock on the trading day immediately prior to the consummation of the Merger and, in the case of options, minus the aggregate exercise price of such options</w:t>
      </w:r>
    </w:p>
    <w:p>
      <w:pPr>
        <w:spacing w:after="0" w:line="2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Comcast and TWC each made customary representations, warranties and covenants in the Merger Agreement, including, among others, covenants by each of Comcast and TWC to, subject to certain exceptions, conduct its business in the ordinary course during the interim period between the execution of the Merger Agreement and the consummation of the Merger. Each of Comcast and TWC are permitted to pay regular quarterly cash dividends.</w:t>
      </w:r>
    </w:p>
    <w:p>
      <w:pPr>
        <w:spacing w:after="0" w:line="17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obligation of the parties to consummate the Merger is subject to customary closing conditions, including, among other things, (i) the approval and adoption of the Merger Agreement by TWC’s stockholders; (ii) the approval by Comcast’s shareholders of the issuance of Comcast Class A Common Stock in the Merger (the “</w:t>
      </w:r>
      <w:r>
        <w:rPr>
          <w:rFonts w:ascii="Arial" w:cs="Arial" w:eastAsia="Arial" w:hAnsi="Arial"/>
          <w:sz w:val="16"/>
          <w:szCs w:val="16"/>
          <w:b w:val="1"/>
          <w:bCs w:val="1"/>
          <w:color w:val="auto"/>
        </w:rPr>
        <w:t>Stock Issuance</w:t>
      </w:r>
      <w:r>
        <w:rPr>
          <w:rFonts w:ascii="Arial" w:cs="Arial" w:eastAsia="Arial" w:hAnsi="Arial"/>
          <w:sz w:val="16"/>
          <w:szCs w:val="16"/>
          <w:color w:val="auto"/>
        </w:rPr>
        <w:t>”); (iii) the expiration or termination of the applicable waiting period under the Hart-Scott-Rodino Antitrust Improvements Act of 1976; (iv) the receipt of applicable regulatory approvals from the Federal Communications Commission and local franchising authorities; (v) the absence of legal restraints and prohibitions; and (vi) the effectiveness of the registration statement on Form S-4 to be filed with the Securities and Exchange Commission and the approval of the listing on the NASDAQ of the Comcast Class A Common Stock to be issued in the Merger. Comcast’s obligation is further subject to the satisfaction of certain regulatory conditions without the imposition of burdensome conditions or actions as more fully described in the Merger Agreement. The obligation of each party to consummate the Merger is also conditioned upon the other party’s representations and warranties being true and correct (subject to certain materiality exceptions), the other party having performed in all material respects its material obligations under the Merger Agreement and the other party having not suffered a material adverse effect.</w:t>
      </w:r>
    </w:p>
    <w:p>
      <w:pPr>
        <w:spacing w:after="0" w:line="19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Merger Agreement requires each of Comcast and TWC to call and hold special shareholder meetings and, subject to certain exceptions, requires TWC’s board of directors to recommend that TWC’s stockholders approve and adopt the Merger Agreement. Prior to the approval and adoption of the Merger Agreement by TWC’s stockholders, TWC’s board of directors may, upon receipt of a Company Superior Proposal (as defined in the Merger Agreement) and in certain other circumstances, change its recommendation that TWC’s stockholders approve and adopt the Merger Agreement, subject to complying with notice and other specified conditions, including giving Comcast the opportunity to propose changes to the Merger Agreement in response to such Company Superior Proposal or other circumstances. If TWC’s board of directors changes its recommendation that TWC’s stockholders approve and adopt the Merger Agreement, Comcast may terminate the Merger Agreement. Unless Comcast terminates the Merger Agreement, TWC would remain obligated to call and hold the special meeting and does not have the right to terminate the merger agreement in connection with such a change in recommendation.</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Merger Agreement contains certain other termination rights for each of Comcast and TWC, including the right of each party to terminate the Merger Agreement if the Merger has not been consummated by the “end date” of February 12, 2015, subject to each party’s right to extend the end date for an additional six months if all closing conditions (other than receipt of antitrust and other specified regulatory approvals) have been satisfied by February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right="40" w:firstLine="648"/>
        <w:spacing w:after="0" w:line="277"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full text of the Merger Agreement, which is filed herewith as Exhibit 2.1 and is incorporated herein by reference.</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copy of the Merger Agreement has been included as an exhibit to this Current Report on Form 8-Kto provide investors with information regarding its terms. It is not intended to provide any other factual information about Comcast, TWC or any of their respective subsidiaries or affiliates. The representations, warranties and covenants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Agreement</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12, 2014, concurrently with the execution of the Merger Agreement, TWC entered into a voting agreement (the “</w:t>
      </w:r>
      <w:r>
        <w:rPr>
          <w:rFonts w:ascii="Arial" w:cs="Arial" w:eastAsia="Arial" w:hAnsi="Arial"/>
          <w:sz w:val="16"/>
          <w:szCs w:val="16"/>
          <w:b w:val="1"/>
          <w:bCs w:val="1"/>
          <w:color w:val="auto"/>
        </w:rPr>
        <w:t>Voting Agreement</w:t>
      </w:r>
      <w:r>
        <w:rPr>
          <w:rFonts w:ascii="Arial" w:cs="Arial" w:eastAsia="Arial" w:hAnsi="Arial"/>
          <w:sz w:val="16"/>
          <w:szCs w:val="16"/>
          <w:color w:val="auto"/>
        </w:rPr>
        <w:t>”) with Brian L. Roberts and certain family trusts and investment vehicles (collectively, the “</w:t>
      </w:r>
      <w:r>
        <w:rPr>
          <w:rFonts w:ascii="Arial" w:cs="Arial" w:eastAsia="Arial" w:hAnsi="Arial"/>
          <w:sz w:val="16"/>
          <w:szCs w:val="16"/>
          <w:b w:val="1"/>
          <w:bCs w:val="1"/>
          <w:color w:val="auto"/>
        </w:rPr>
        <w:t>Principal Stockholders</w:t>
      </w:r>
      <w:r>
        <w:rPr>
          <w:rFonts w:ascii="Arial" w:cs="Arial" w:eastAsia="Arial" w:hAnsi="Arial"/>
          <w:sz w:val="16"/>
          <w:szCs w:val="16"/>
          <w:color w:val="auto"/>
        </w:rPr>
        <w:t>”) which, together, hold approximately 471,435.749 shares of Comcast Class A Common Stock and 9,444,375 shares of Comcast Class B Common Stock. Pursuant to the Voting Agreement, each Principal Stockholder agreed, among other things, to vote all of its shares in favor of the Stock Issuance, and against any actions that would impede the consummation of the Merger. In addition, pursuant to the Voting Agreement, immediately after the execution of the Merger Agreement, each Principal Stockholder that is the holder of Comcast Class B Common Stock executed a written consent in favor of the Stock Issuance for purposes of the separate approval rights held by holders of Comcast Class B Common Stock pursuant to the Amended and Restated Articles of Incorporation of Comcast.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Stockholders further agreed, subject to certain exceptions, not to transfer or convert their shares of Comcast Class B Common Stock during the term of the Voting Agreement.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Voting Agreement will terminate upon the earlier of (i) the consummation of the Merger; (ii) the termination of the Merger Agreement in accordance with its terms; and (iii) the date on which the Merger Agreement is modified, amended or supplemented, or any waiver is granted thereunder, which has not been consented to by Brian L. Roberts or holders of a majority of the Class B Common Stock and would (A) increase the Exchange Ratio, (B) change the form of Merger Consideration or (C) otherwise amend certain provisions of the Merger Agreement in a manner materially adverse to investors.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of the Voting Agreement does not purport to be complete, and is qualified in its entirety by reference to the full text of the Voting Agreement, which is filed herewith as Exhibit 2.2 and is incorporated herein by reference.</w:t>
      </w:r>
    </w:p>
    <w:p>
      <w:pPr>
        <w:spacing w:after="0" w:line="1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copy of the joint press release announcing the execution of the Merger Agreement is attached hereto as Exhibit 99.1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and TWC, Comcast and TWC will file relevant materials with the Securities and Exchange Commission (the “SEC”), including a Comcast registration statement on Form S-4 that will include a joint proxy statement of Comcast and TWC that also constitutes a prospectus of Comcast, and a definitive joint proxy statement/prospectus will be mailed to shareholders of Comcast and TWC. INVESTORS AND SECURITY HOLDERS OF COMCAST AND TWC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TWC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TWC will be available free of charge on TWC’s website at http://ir.timewarnercable.com or by contacting TWC’s Investor Relations Department at 877-446-3689.</w:t>
      </w:r>
    </w:p>
    <w:p>
      <w:pPr>
        <w:spacing w:after="0" w:line="2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Comcast, TWC, their respective directors and certain of their respective executive officers may be considered participants in the solicitation of proxies in connection with the proposed transaction. Information about the directors and executive officers of TWC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in this communication regarding the proposed acquisition of TWC by Comcast, including any statements regarding the expected timetable for completing the transaction, benefits and synergies of the transaction, future opportunities for the combined company and products, and any other statements regarding Comcast’s and TWC’s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TWC’s operations into those of Comcast; and the diversion of management time on transaction-related issues. Additional information concerning these and other factors can be found in Comcast’s and TWC’s respective filings with the SEC, including Comcast’s and TWC’s most recent Annual Reports on Form 10-K, Quarterly Reports on Form 10-Q and Current Reports on Form 8-K. Comcast and TWC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 w:name="page5"/>
    <w:bookmarkEnd w:id="4"/>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February 12, 2014 among Comcast Corporation, Time Warner Cable Inc. and Tango Acquisition Sub, Inc.*</w:t>
      </w:r>
    </w:p>
    <w:p>
      <w:pPr>
        <w:spacing w:after="0" w:line="197"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Voting Agreement dated as of February 12, 2014 among Time Warner Cable Inc., Brian L. Roberts, BRCC Holdings LLC, Irrevocable Deed of Trust of Brian L. Roberts for Children and Other Issue dated June 10, 1998 and Irrevocable Deed of Trust of Ralph J. Roberts for Brian L. Roberts and Other Beneficiaries dated May 11, 1993.*</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February 12, 2014.</w:t>
      </w:r>
    </w:p>
    <w:p>
      <w:pPr>
        <w:spacing w:after="0" w:line="200" w:lineRule="exact"/>
        <w:rPr>
          <w:sz w:val="20"/>
          <w:szCs w:val="20"/>
          <w:color w:val="auto"/>
        </w:rPr>
      </w:pPr>
    </w:p>
    <w:p>
      <w:pPr>
        <w:spacing w:after="0" w:line="295" w:lineRule="exact"/>
        <w:rPr>
          <w:sz w:val="20"/>
          <w:szCs w:val="20"/>
          <w:color w:val="auto"/>
        </w:rPr>
      </w:pPr>
    </w:p>
    <w:p>
      <w:pPr>
        <w:ind w:left="660" w:hanging="4"/>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have been omitted from this filing pursuant to Item 601(b)(2) of Regulation S-K. Comcast agrees to furnish supplementally a copy of any omitted schedule to the SEC upon its request; provided, however, that Comcast may request confidential treatment pursuant to Rule 24b-2 of the Exchange Act for any schedule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960" w:type="dxa"/>
            <w:vAlign w:val="bottom"/>
            <w:gridSpan w:val="3"/>
          </w:tcPr>
          <w:p>
            <w:pPr>
              <w:ind w:left="2280"/>
              <w:spacing w:after="0"/>
              <w:rPr>
                <w:sz w:val="20"/>
                <w:szCs w:val="20"/>
                <w:color w:val="auto"/>
              </w:rPr>
            </w:pPr>
            <w:r>
              <w:rPr>
                <w:rFonts w:ascii="Arial" w:cs="Arial" w:eastAsia="Arial" w:hAnsi="Arial"/>
                <w:sz w:val="18"/>
                <w:szCs w:val="18"/>
                <w:color w:val="auto"/>
              </w:rPr>
              <w:t>Comcast Corporation</w:t>
            </w:r>
          </w:p>
        </w:tc>
      </w:tr>
      <w:tr>
        <w:trPr>
          <w:trHeight w:val="648"/>
        </w:trPr>
        <w:tc>
          <w:tcPr>
            <w:tcW w:w="3460" w:type="dxa"/>
            <w:vAlign w:val="bottom"/>
            <w:gridSpan w:val="2"/>
          </w:tcPr>
          <w:p>
            <w:pPr>
              <w:spacing w:after="0"/>
              <w:rPr>
                <w:sz w:val="20"/>
                <w:szCs w:val="20"/>
                <w:color w:val="auto"/>
              </w:rPr>
            </w:pPr>
            <w:r>
              <w:rPr>
                <w:rFonts w:ascii="Arial" w:cs="Arial" w:eastAsia="Arial" w:hAnsi="Arial"/>
                <w:sz w:val="18"/>
                <w:szCs w:val="18"/>
                <w:color w:val="auto"/>
              </w:rPr>
              <w:t>Date:  February 13, 2014</w:t>
            </w:r>
          </w:p>
        </w:tc>
        <w:tc>
          <w:tcPr>
            <w:tcW w:w="7960" w:type="dxa"/>
            <w:vAlign w:val="bottom"/>
            <w:gridSpan w:val="3"/>
          </w:tcPr>
          <w:p>
            <w:pPr>
              <w:ind w:left="2280"/>
              <w:spacing w:after="0"/>
              <w:rPr>
                <w:sz w:val="20"/>
                <w:szCs w:val="20"/>
                <w:color w:val="auto"/>
              </w:rPr>
            </w:pPr>
            <w:r>
              <w:rPr>
                <w:rFonts w:ascii="Arial" w:cs="Arial" w:eastAsia="Arial" w:hAnsi="Arial"/>
                <w:sz w:val="18"/>
                <w:szCs w:val="18"/>
                <w:color w:val="auto"/>
              </w:rPr>
              <w:t>By:  /s/ Arthur R. Block</w:t>
            </w:r>
          </w:p>
        </w:tc>
      </w:tr>
      <w:tr>
        <w:trPr>
          <w:trHeight w:val="195"/>
        </w:trPr>
        <w:tc>
          <w:tcPr>
            <w:tcW w:w="58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Arthur R. Block</w:t>
            </w: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32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Secretary</w:t>
            </w:r>
          </w:p>
        </w:tc>
      </w:tr>
      <w:tr>
        <w:trPr>
          <w:trHeight w:val="1145"/>
        </w:trPr>
        <w:tc>
          <w:tcPr>
            <w:tcW w:w="58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648"/>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4"/>
                <w:szCs w:val="24"/>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Agreement and Plan of Merger dated as of February 12, 2014 among Comcast Corporation, Time Warner Cable Inc. and Tango Acquisition</w:t>
            </w:r>
          </w:p>
        </w:tc>
        <w:tc>
          <w:tcPr>
            <w:tcW w:w="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Sub, Inc.*</w:t>
            </w:r>
          </w:p>
        </w:tc>
        <w:tc>
          <w:tcPr>
            <w:tcW w:w="2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Voting Agreement dated as of February 12, 2014 among Time Warner Cable Inc., Brian L. Roberts, BRCC Holdings LLC, Irrevocable Deed</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of Trust of Brian L. Roberts for Children and Other Issue dated June 10, 1998 and Irrevocable Deed of Trust of Ralph J. Roberts for Brian</w:t>
            </w:r>
          </w:p>
        </w:tc>
        <w:tc>
          <w:tcPr>
            <w:tcW w:w="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L. Roberts and Other Beneficiaries dated May 11, 1993.*</w:t>
            </w:r>
          </w:p>
        </w:tc>
        <w:tc>
          <w:tcPr>
            <w:tcW w:w="2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Joint Press Release dated February 12, 2014.</w:t>
            </w:r>
          </w:p>
        </w:tc>
        <w:tc>
          <w:tcPr>
            <w:tcW w:w="20" w:type="dxa"/>
            <w:vAlign w:val="bottom"/>
          </w:tcPr>
          <w:p>
            <w:pPr>
              <w:spacing w:after="0"/>
              <w:rPr>
                <w:sz w:val="24"/>
                <w:szCs w:val="24"/>
                <w:color w:val="auto"/>
              </w:rPr>
            </w:pPr>
          </w:p>
        </w:tc>
      </w:tr>
      <w:tr>
        <w:trPr>
          <w:trHeight w:val="350"/>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 Schedules have been omitted from this filing pursuant to Item 601(b)(2) of Regulation S-K. Comcast agrees to furnish supplementally a</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copy of any omitted schedule to the SEC upon its request; provided, however, that Comcast may request confidential treatment pursuant to</w:t>
            </w:r>
          </w:p>
        </w:tc>
        <w:tc>
          <w:tcPr>
            <w:tcW w:w="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Rule 24b-2 of the Exchange Act for any schedule so furnished.</w:t>
            </w:r>
          </w:p>
        </w:tc>
        <w:tc>
          <w:tcPr>
            <w:tcW w:w="20" w:type="dxa"/>
            <w:vAlign w:val="bottom"/>
          </w:tcPr>
          <w:p>
            <w:pPr>
              <w:spacing w:after="0"/>
              <w:rPr>
                <w:sz w:val="20"/>
                <w:szCs w:val="20"/>
                <w:color w:val="auto"/>
              </w:rPr>
            </w:pPr>
          </w:p>
        </w:tc>
      </w:tr>
      <w:tr>
        <w:trPr>
          <w:trHeight w:val="1064"/>
        </w:trPr>
        <w:tc>
          <w:tcPr>
            <w:tcW w:w="1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99"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TANGO ACQUISITION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426720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520"/>
        </w:trPr>
        <w:tc>
          <w:tcPr>
            <w:tcW w:w="89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0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1.01.</w:t>
            </w:r>
          </w:p>
        </w:tc>
        <w:tc>
          <w:tcPr>
            <w:tcW w:w="75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1.02.</w:t>
            </w:r>
          </w:p>
        </w:tc>
        <w:tc>
          <w:tcPr>
            <w:tcW w:w="7580" w:type="dxa"/>
            <w:vAlign w:val="bottom"/>
          </w:tcPr>
          <w:p>
            <w:pPr>
              <w:ind w:left="320"/>
              <w:spacing w:after="0"/>
              <w:rPr>
                <w:sz w:val="20"/>
                <w:szCs w:val="20"/>
                <w:color w:val="auto"/>
              </w:rPr>
            </w:pPr>
            <w:r>
              <w:rPr>
                <w:rFonts w:ascii="Arial" w:cs="Arial" w:eastAsia="Arial" w:hAnsi="Arial"/>
                <w:sz w:val="18"/>
                <w:szCs w:val="18"/>
                <w:color w:val="auto"/>
              </w:rPr>
              <w:t>Other Definitional and Interpretative Provisions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ARTICLE 2 The Merger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2.01.</w:t>
            </w:r>
          </w:p>
        </w:tc>
        <w:tc>
          <w:tcPr>
            <w:tcW w:w="758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2.02.</w:t>
            </w:r>
          </w:p>
        </w:tc>
        <w:tc>
          <w:tcPr>
            <w:tcW w:w="7580" w:type="dxa"/>
            <w:vAlign w:val="bottom"/>
          </w:tcPr>
          <w:p>
            <w:pPr>
              <w:ind w:left="320"/>
              <w:spacing w:after="0"/>
              <w:rPr>
                <w:sz w:val="20"/>
                <w:szCs w:val="20"/>
                <w:color w:val="auto"/>
              </w:rPr>
            </w:pPr>
            <w:r>
              <w:rPr>
                <w:rFonts w:ascii="Arial" w:cs="Arial" w:eastAsia="Arial" w:hAnsi="Arial"/>
                <w:sz w:val="18"/>
                <w:szCs w:val="18"/>
                <w:color w:val="auto"/>
              </w:rPr>
              <w:t>Conversion of Shares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2.03.</w:t>
            </w:r>
          </w:p>
        </w:tc>
        <w:tc>
          <w:tcPr>
            <w:tcW w:w="7580" w:type="dxa"/>
            <w:vAlign w:val="bottom"/>
          </w:tcPr>
          <w:p>
            <w:pPr>
              <w:ind w:left="320"/>
              <w:spacing w:after="0"/>
              <w:rPr>
                <w:sz w:val="20"/>
                <w:szCs w:val="20"/>
                <w:color w:val="auto"/>
              </w:rPr>
            </w:pPr>
            <w:r>
              <w:rPr>
                <w:rFonts w:ascii="Arial" w:cs="Arial" w:eastAsia="Arial" w:hAnsi="Arial"/>
                <w:sz w:val="18"/>
                <w:szCs w:val="18"/>
                <w:color w:val="auto"/>
              </w:rPr>
              <w:t>Surrender and Payment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2.04.</w:t>
            </w:r>
          </w:p>
        </w:tc>
        <w:tc>
          <w:tcPr>
            <w:tcW w:w="7580" w:type="dxa"/>
            <w:vAlign w:val="bottom"/>
          </w:tcPr>
          <w:p>
            <w:pPr>
              <w:ind w:left="320"/>
              <w:spacing w:after="0"/>
              <w:rPr>
                <w:sz w:val="20"/>
                <w:szCs w:val="20"/>
                <w:color w:val="auto"/>
              </w:rPr>
            </w:pPr>
            <w:r>
              <w:rPr>
                <w:rFonts w:ascii="Arial" w:cs="Arial" w:eastAsia="Arial" w:hAnsi="Arial"/>
                <w:sz w:val="18"/>
                <w:szCs w:val="18"/>
                <w:color w:val="auto"/>
              </w:rPr>
              <w:t>Equity-Based Awards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2.05.</w:t>
            </w:r>
          </w:p>
        </w:tc>
        <w:tc>
          <w:tcPr>
            <w:tcW w:w="758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2.06.</w:t>
            </w:r>
          </w:p>
        </w:tc>
        <w:tc>
          <w:tcPr>
            <w:tcW w:w="7580" w:type="dxa"/>
            <w:vAlign w:val="bottom"/>
          </w:tcPr>
          <w:p>
            <w:pPr>
              <w:ind w:left="320"/>
              <w:spacing w:after="0"/>
              <w:rPr>
                <w:sz w:val="20"/>
                <w:szCs w:val="20"/>
                <w:color w:val="auto"/>
              </w:rPr>
            </w:pPr>
            <w:r>
              <w:rPr>
                <w:rFonts w:ascii="Arial" w:cs="Arial" w:eastAsia="Arial" w:hAnsi="Arial"/>
                <w:sz w:val="18"/>
                <w:szCs w:val="18"/>
                <w:color w:val="auto"/>
              </w:rPr>
              <w:t>Fractional Shares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2.07.</w:t>
            </w:r>
          </w:p>
        </w:tc>
        <w:tc>
          <w:tcPr>
            <w:tcW w:w="7580" w:type="dxa"/>
            <w:vAlign w:val="bottom"/>
          </w:tcPr>
          <w:p>
            <w:pPr>
              <w:ind w:left="320"/>
              <w:spacing w:after="0"/>
              <w:rPr>
                <w:sz w:val="20"/>
                <w:szCs w:val="20"/>
                <w:color w:val="auto"/>
              </w:rPr>
            </w:pPr>
            <w:r>
              <w:rPr>
                <w:rFonts w:ascii="Arial" w:cs="Arial" w:eastAsia="Arial" w:hAnsi="Arial"/>
                <w:sz w:val="18"/>
                <w:szCs w:val="18"/>
                <w:color w:val="auto"/>
              </w:rPr>
              <w:t>Withholding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2.08.</w:t>
            </w:r>
          </w:p>
        </w:tc>
        <w:tc>
          <w:tcPr>
            <w:tcW w:w="7580" w:type="dxa"/>
            <w:vAlign w:val="bottom"/>
          </w:tcPr>
          <w:p>
            <w:pPr>
              <w:ind w:left="320"/>
              <w:spacing w:after="0"/>
              <w:rPr>
                <w:sz w:val="20"/>
                <w:szCs w:val="20"/>
                <w:color w:val="auto"/>
              </w:rPr>
            </w:pPr>
            <w:r>
              <w:rPr>
                <w:rFonts w:ascii="Arial" w:cs="Arial" w:eastAsia="Arial" w:hAnsi="Arial"/>
                <w:sz w:val="18"/>
                <w:szCs w:val="18"/>
                <w:color w:val="auto"/>
              </w:rPr>
              <w:t>Lost Certificates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ARTICLE 3 The Surviving Corporation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3.01.</w:t>
            </w:r>
          </w:p>
        </w:tc>
        <w:tc>
          <w:tcPr>
            <w:tcW w:w="7580" w:type="dxa"/>
            <w:vAlign w:val="bottom"/>
          </w:tcPr>
          <w:p>
            <w:pPr>
              <w:ind w:left="320"/>
              <w:spacing w:after="0"/>
              <w:rPr>
                <w:sz w:val="20"/>
                <w:szCs w:val="20"/>
                <w:color w:val="auto"/>
              </w:rPr>
            </w:pPr>
            <w:r>
              <w:rPr>
                <w:rFonts w:ascii="Arial" w:cs="Arial" w:eastAsia="Arial" w:hAnsi="Arial"/>
                <w:sz w:val="18"/>
                <w:szCs w:val="18"/>
                <w:color w:val="auto"/>
              </w:rPr>
              <w:t>Certificate of Incorporation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3.02.</w:t>
            </w:r>
          </w:p>
        </w:tc>
        <w:tc>
          <w:tcPr>
            <w:tcW w:w="7580" w:type="dxa"/>
            <w:vAlign w:val="bottom"/>
          </w:tcPr>
          <w:p>
            <w:pPr>
              <w:ind w:left="320"/>
              <w:spacing w:after="0"/>
              <w:rPr>
                <w:sz w:val="20"/>
                <w:szCs w:val="20"/>
                <w:color w:val="auto"/>
              </w:rPr>
            </w:pPr>
            <w:r>
              <w:rPr>
                <w:rFonts w:ascii="Arial" w:cs="Arial" w:eastAsia="Arial" w:hAnsi="Arial"/>
                <w:sz w:val="18"/>
                <w:szCs w:val="18"/>
                <w:color w:val="auto"/>
              </w:rPr>
              <w:t>Bylaws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3.03.</w:t>
            </w:r>
          </w:p>
        </w:tc>
        <w:tc>
          <w:tcPr>
            <w:tcW w:w="758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the Company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4.01.</w:t>
            </w:r>
          </w:p>
        </w:tc>
        <w:tc>
          <w:tcPr>
            <w:tcW w:w="758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4.02.</w:t>
            </w:r>
          </w:p>
        </w:tc>
        <w:tc>
          <w:tcPr>
            <w:tcW w:w="758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4.03.</w:t>
            </w:r>
          </w:p>
        </w:tc>
        <w:tc>
          <w:tcPr>
            <w:tcW w:w="758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4.04.</w:t>
            </w:r>
          </w:p>
        </w:tc>
        <w:tc>
          <w:tcPr>
            <w:tcW w:w="758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4.05.</w:t>
            </w:r>
          </w:p>
        </w:tc>
        <w:tc>
          <w:tcPr>
            <w:tcW w:w="758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4.06.</w:t>
            </w:r>
          </w:p>
        </w:tc>
        <w:tc>
          <w:tcPr>
            <w:tcW w:w="758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4.07.</w:t>
            </w:r>
          </w:p>
        </w:tc>
        <w:tc>
          <w:tcPr>
            <w:tcW w:w="7580" w:type="dxa"/>
            <w:vAlign w:val="bottom"/>
          </w:tcPr>
          <w:p>
            <w:pPr>
              <w:ind w:left="320"/>
              <w:spacing w:after="0"/>
              <w:rPr>
                <w:sz w:val="20"/>
                <w:szCs w:val="20"/>
                <w:color w:val="auto"/>
              </w:rPr>
            </w:pPr>
            <w:r>
              <w:rPr>
                <w:rFonts w:ascii="Arial" w:cs="Arial" w:eastAsia="Arial" w:hAnsi="Arial"/>
                <w:sz w:val="18"/>
                <w:szCs w:val="18"/>
                <w:color w:val="auto"/>
              </w:rPr>
              <w:t>SEC Filings and the Sarbanes-Oxley Act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4.08.</w:t>
            </w:r>
          </w:p>
        </w:tc>
        <w:tc>
          <w:tcPr>
            <w:tcW w:w="758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4.09.</w:t>
            </w:r>
          </w:p>
        </w:tc>
        <w:tc>
          <w:tcPr>
            <w:tcW w:w="758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4.10.</w:t>
            </w:r>
          </w:p>
        </w:tc>
        <w:tc>
          <w:tcPr>
            <w:tcW w:w="758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4.11.</w:t>
            </w:r>
          </w:p>
        </w:tc>
        <w:tc>
          <w:tcPr>
            <w:tcW w:w="7580" w:type="dxa"/>
            <w:vAlign w:val="bottom"/>
          </w:tcPr>
          <w:p>
            <w:pPr>
              <w:ind w:left="320"/>
              <w:spacing w:after="0"/>
              <w:rPr>
                <w:sz w:val="20"/>
                <w:szCs w:val="20"/>
                <w:color w:val="auto"/>
              </w:rPr>
            </w:pPr>
            <w:r>
              <w:rPr>
                <w:rFonts w:ascii="Arial" w:cs="Arial" w:eastAsia="Arial" w:hAnsi="Arial"/>
                <w:sz w:val="18"/>
                <w:szCs w:val="18"/>
                <w:color w:val="auto"/>
              </w:rPr>
              <w:t>No Undisclosed Material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4.12.</w:t>
            </w:r>
          </w:p>
        </w:tc>
        <w:tc>
          <w:tcPr>
            <w:tcW w:w="7580" w:type="dxa"/>
            <w:vAlign w:val="bottom"/>
          </w:tcPr>
          <w:p>
            <w:pPr>
              <w:ind w:left="320"/>
              <w:spacing w:after="0"/>
              <w:rPr>
                <w:sz w:val="20"/>
                <w:szCs w:val="20"/>
                <w:color w:val="auto"/>
              </w:rPr>
            </w:pPr>
            <w:r>
              <w:rPr>
                <w:rFonts w:ascii="Arial" w:cs="Arial" w:eastAsia="Arial" w:hAnsi="Arial"/>
                <w:sz w:val="18"/>
                <w:szCs w:val="18"/>
                <w:color w:val="auto"/>
              </w:rPr>
              <w:t>Compliance with Laws and Court Orders; Governmental Authorizations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80" w:top="7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Section 4.13.</w:t>
            </w:r>
          </w:p>
        </w:tc>
        <w:tc>
          <w:tcPr>
            <w:tcW w:w="764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4.14.</w:t>
            </w:r>
          </w:p>
        </w:tc>
        <w:tc>
          <w:tcPr>
            <w:tcW w:w="764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4.15.</w:t>
            </w:r>
          </w:p>
        </w:tc>
        <w:tc>
          <w:tcPr>
            <w:tcW w:w="76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4.16.</w:t>
            </w:r>
          </w:p>
        </w:tc>
        <w:tc>
          <w:tcPr>
            <w:tcW w:w="7640" w:type="dxa"/>
            <w:vAlign w:val="bottom"/>
          </w:tcPr>
          <w:p>
            <w:pPr>
              <w:ind w:left="32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4.17.</w:t>
            </w:r>
          </w:p>
        </w:tc>
        <w:tc>
          <w:tcPr>
            <w:tcW w:w="7640" w:type="dxa"/>
            <w:vAlign w:val="bottom"/>
          </w:tcPr>
          <w:p>
            <w:pPr>
              <w:ind w:left="320"/>
              <w:spacing w:after="0"/>
              <w:rPr>
                <w:sz w:val="20"/>
                <w:szCs w:val="20"/>
                <w:color w:val="auto"/>
              </w:rPr>
            </w:pPr>
            <w:r>
              <w:rPr>
                <w:rFonts w:ascii="Arial" w:cs="Arial" w:eastAsia="Arial" w:hAnsi="Arial"/>
                <w:sz w:val="18"/>
                <w:szCs w:val="18"/>
                <w:color w:val="auto"/>
              </w:rPr>
              <w:t>Employees and Employee Benefit Plans</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4.18.</w:t>
            </w:r>
          </w:p>
        </w:tc>
        <w:tc>
          <w:tcPr>
            <w:tcW w:w="764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4.19.</w:t>
            </w:r>
          </w:p>
        </w:tc>
        <w:tc>
          <w:tcPr>
            <w:tcW w:w="764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4.20.</w:t>
            </w:r>
          </w:p>
        </w:tc>
        <w:tc>
          <w:tcPr>
            <w:tcW w:w="7640" w:type="dxa"/>
            <w:vAlign w:val="bottom"/>
          </w:tcPr>
          <w:p>
            <w:pPr>
              <w:ind w:left="320"/>
              <w:spacing w:after="0"/>
              <w:rPr>
                <w:sz w:val="20"/>
                <w:szCs w:val="20"/>
                <w:color w:val="auto"/>
              </w:rPr>
            </w:pPr>
            <w:r>
              <w:rPr>
                <w:rFonts w:ascii="Arial" w:cs="Arial" w:eastAsia="Arial" w:hAnsi="Arial"/>
                <w:sz w:val="18"/>
                <w:szCs w:val="18"/>
                <w:color w:val="auto"/>
              </w:rPr>
              <w:t>Cable System and Subscriber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4.21.</w:t>
            </w:r>
          </w:p>
        </w:tc>
        <w:tc>
          <w:tcPr>
            <w:tcW w:w="7640" w:type="dxa"/>
            <w:vAlign w:val="bottom"/>
          </w:tcPr>
          <w:p>
            <w:pPr>
              <w:ind w:left="320"/>
              <w:spacing w:after="0"/>
              <w:rPr>
                <w:sz w:val="20"/>
                <w:szCs w:val="20"/>
                <w:color w:val="auto"/>
              </w:rPr>
            </w:pPr>
            <w:r>
              <w:rPr>
                <w:rFonts w:ascii="Arial" w:cs="Arial" w:eastAsia="Arial" w:hAnsi="Arial"/>
                <w:sz w:val="18"/>
                <w:szCs w:val="18"/>
                <w:color w:val="auto"/>
              </w:rPr>
              <w:t>Franchises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4.22.</w:t>
            </w:r>
          </w:p>
        </w:tc>
        <w:tc>
          <w:tcPr>
            <w:tcW w:w="7640" w:type="dxa"/>
            <w:vAlign w:val="bottom"/>
          </w:tcPr>
          <w:p>
            <w:pPr>
              <w:ind w:left="320"/>
              <w:spacing w:after="0"/>
              <w:rPr>
                <w:sz w:val="20"/>
                <w:szCs w:val="20"/>
                <w:color w:val="auto"/>
              </w:rPr>
            </w:pPr>
            <w:r>
              <w:rPr>
                <w:rFonts w:ascii="Arial" w:cs="Arial" w:eastAsia="Arial" w:hAnsi="Arial"/>
                <w:sz w:val="18"/>
                <w:szCs w:val="18"/>
                <w:color w:val="auto"/>
              </w:rPr>
              <w:t>Tax Treatment</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4.23.</w:t>
            </w:r>
          </w:p>
        </w:tc>
        <w:tc>
          <w:tcPr>
            <w:tcW w:w="7640" w:type="dxa"/>
            <w:vAlign w:val="bottom"/>
          </w:tcPr>
          <w:p>
            <w:pPr>
              <w:ind w:left="320"/>
              <w:spacing w:after="0"/>
              <w:rPr>
                <w:sz w:val="20"/>
                <w:szCs w:val="20"/>
                <w:color w:val="auto"/>
              </w:rPr>
            </w:pPr>
            <w:r>
              <w:rPr>
                <w:rFonts w:ascii="Arial" w:cs="Arial" w:eastAsia="Arial" w:hAnsi="Arial"/>
                <w:sz w:val="18"/>
                <w:szCs w:val="18"/>
                <w:color w:val="auto"/>
              </w:rPr>
              <w:t>Finders’ Fees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4.24.</w:t>
            </w:r>
          </w:p>
        </w:tc>
        <w:tc>
          <w:tcPr>
            <w:tcW w:w="7640" w:type="dxa"/>
            <w:vAlign w:val="bottom"/>
          </w:tcPr>
          <w:p>
            <w:pPr>
              <w:ind w:left="320"/>
              <w:spacing w:after="0"/>
              <w:rPr>
                <w:sz w:val="20"/>
                <w:szCs w:val="20"/>
                <w:color w:val="auto"/>
              </w:rPr>
            </w:pPr>
            <w:r>
              <w:rPr>
                <w:rFonts w:ascii="Arial" w:cs="Arial" w:eastAsia="Arial" w:hAnsi="Arial"/>
                <w:sz w:val="18"/>
                <w:szCs w:val="18"/>
                <w:color w:val="auto"/>
              </w:rPr>
              <w:t>Opinion of Financial Advisor</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4.25.</w:t>
            </w:r>
          </w:p>
        </w:tc>
        <w:tc>
          <w:tcPr>
            <w:tcW w:w="7640" w:type="dxa"/>
            <w:vAlign w:val="bottom"/>
          </w:tcPr>
          <w:p>
            <w:pPr>
              <w:ind w:left="320"/>
              <w:spacing w:after="0"/>
              <w:rPr>
                <w:sz w:val="20"/>
                <w:szCs w:val="20"/>
                <w:color w:val="auto"/>
              </w:rPr>
            </w:pPr>
            <w:r>
              <w:rPr>
                <w:rFonts w:ascii="Arial" w:cs="Arial" w:eastAsia="Arial" w:hAnsi="Arial"/>
                <w:sz w:val="18"/>
                <w:szCs w:val="18"/>
                <w:color w:val="auto"/>
              </w:rPr>
              <w:t>Antitakeover Statutes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4.26.</w:t>
            </w:r>
          </w:p>
        </w:tc>
        <w:tc>
          <w:tcPr>
            <w:tcW w:w="7640" w:type="dxa"/>
            <w:vAlign w:val="bottom"/>
          </w:tcPr>
          <w:p>
            <w:pPr>
              <w:ind w:left="320"/>
              <w:spacing w:after="0"/>
              <w:rPr>
                <w:sz w:val="20"/>
                <w:szCs w:val="20"/>
                <w:color w:val="auto"/>
              </w:rPr>
            </w:pPr>
            <w:r>
              <w:rPr>
                <w:rFonts w:ascii="Arial" w:cs="Arial" w:eastAsia="Arial" w:hAnsi="Arial"/>
                <w:sz w:val="18"/>
                <w:szCs w:val="18"/>
                <w:color w:val="auto"/>
              </w:rPr>
              <w:t>No Additional Representations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90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Parent</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5.01.</w:t>
            </w:r>
          </w:p>
        </w:tc>
        <w:tc>
          <w:tcPr>
            <w:tcW w:w="764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5.02.</w:t>
            </w:r>
          </w:p>
        </w:tc>
        <w:tc>
          <w:tcPr>
            <w:tcW w:w="764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5.03.</w:t>
            </w:r>
          </w:p>
        </w:tc>
        <w:tc>
          <w:tcPr>
            <w:tcW w:w="764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5.04.</w:t>
            </w:r>
          </w:p>
        </w:tc>
        <w:tc>
          <w:tcPr>
            <w:tcW w:w="764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5.05.</w:t>
            </w:r>
          </w:p>
        </w:tc>
        <w:tc>
          <w:tcPr>
            <w:tcW w:w="764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5.06.</w:t>
            </w:r>
          </w:p>
        </w:tc>
        <w:tc>
          <w:tcPr>
            <w:tcW w:w="764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5.07.</w:t>
            </w:r>
          </w:p>
        </w:tc>
        <w:tc>
          <w:tcPr>
            <w:tcW w:w="7640" w:type="dxa"/>
            <w:vAlign w:val="bottom"/>
          </w:tcPr>
          <w:p>
            <w:pPr>
              <w:ind w:left="320"/>
              <w:spacing w:after="0"/>
              <w:rPr>
                <w:sz w:val="20"/>
                <w:szCs w:val="20"/>
                <w:color w:val="auto"/>
              </w:rPr>
            </w:pPr>
            <w:r>
              <w:rPr>
                <w:rFonts w:ascii="Arial" w:cs="Arial" w:eastAsia="Arial" w:hAnsi="Arial"/>
                <w:sz w:val="18"/>
                <w:szCs w:val="18"/>
                <w:color w:val="auto"/>
              </w:rPr>
              <w:t>SEC Filings and the Sarbanes-Oxley Act</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5.08.</w:t>
            </w:r>
          </w:p>
        </w:tc>
        <w:tc>
          <w:tcPr>
            <w:tcW w:w="764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5.09.</w:t>
            </w:r>
          </w:p>
        </w:tc>
        <w:tc>
          <w:tcPr>
            <w:tcW w:w="764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5.10.</w:t>
            </w:r>
          </w:p>
        </w:tc>
        <w:tc>
          <w:tcPr>
            <w:tcW w:w="764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5.11.</w:t>
            </w:r>
          </w:p>
        </w:tc>
        <w:tc>
          <w:tcPr>
            <w:tcW w:w="7640" w:type="dxa"/>
            <w:vAlign w:val="bottom"/>
          </w:tcPr>
          <w:p>
            <w:pPr>
              <w:ind w:left="320"/>
              <w:spacing w:after="0"/>
              <w:rPr>
                <w:sz w:val="20"/>
                <w:szCs w:val="20"/>
                <w:color w:val="auto"/>
              </w:rPr>
            </w:pPr>
            <w:r>
              <w:rPr>
                <w:rFonts w:ascii="Arial" w:cs="Arial" w:eastAsia="Arial" w:hAnsi="Arial"/>
                <w:sz w:val="18"/>
                <w:szCs w:val="18"/>
                <w:color w:val="auto"/>
              </w:rPr>
              <w:t>No Undisclosed Material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5.12.</w:t>
            </w:r>
          </w:p>
        </w:tc>
        <w:tc>
          <w:tcPr>
            <w:tcW w:w="7640" w:type="dxa"/>
            <w:vAlign w:val="bottom"/>
          </w:tcPr>
          <w:p>
            <w:pPr>
              <w:ind w:left="320"/>
              <w:spacing w:after="0"/>
              <w:rPr>
                <w:sz w:val="20"/>
                <w:szCs w:val="20"/>
                <w:color w:val="auto"/>
              </w:rPr>
            </w:pPr>
            <w:r>
              <w:rPr>
                <w:rFonts w:ascii="Arial" w:cs="Arial" w:eastAsia="Arial" w:hAnsi="Arial"/>
                <w:sz w:val="18"/>
                <w:szCs w:val="18"/>
                <w:color w:val="auto"/>
              </w:rPr>
              <w:t>Compliance with Laws and Court Orders; Governmental Authorizations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5.13.</w:t>
            </w:r>
          </w:p>
        </w:tc>
        <w:tc>
          <w:tcPr>
            <w:tcW w:w="764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5.14.</w:t>
            </w:r>
          </w:p>
        </w:tc>
        <w:tc>
          <w:tcPr>
            <w:tcW w:w="7640" w:type="dxa"/>
            <w:vAlign w:val="bottom"/>
          </w:tcPr>
          <w:p>
            <w:pPr>
              <w:ind w:left="32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5.15.</w:t>
            </w:r>
          </w:p>
        </w:tc>
        <w:tc>
          <w:tcPr>
            <w:tcW w:w="7640" w:type="dxa"/>
            <w:vAlign w:val="bottom"/>
          </w:tcPr>
          <w:p>
            <w:pPr>
              <w:ind w:left="320"/>
              <w:spacing w:after="0"/>
              <w:rPr>
                <w:sz w:val="20"/>
                <w:szCs w:val="20"/>
                <w:color w:val="auto"/>
              </w:rPr>
            </w:pPr>
            <w:r>
              <w:rPr>
                <w:rFonts w:ascii="Arial" w:cs="Arial" w:eastAsia="Arial" w:hAnsi="Arial"/>
                <w:sz w:val="18"/>
                <w:szCs w:val="18"/>
                <w:color w:val="auto"/>
              </w:rPr>
              <w:t>Franchises</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5.16.</w:t>
            </w:r>
          </w:p>
        </w:tc>
        <w:tc>
          <w:tcPr>
            <w:tcW w:w="7640" w:type="dxa"/>
            <w:vAlign w:val="bottom"/>
          </w:tcPr>
          <w:p>
            <w:pPr>
              <w:ind w:left="320"/>
              <w:spacing w:after="0"/>
              <w:rPr>
                <w:sz w:val="20"/>
                <w:szCs w:val="20"/>
                <w:color w:val="auto"/>
              </w:rPr>
            </w:pPr>
            <w:r>
              <w:rPr>
                <w:rFonts w:ascii="Arial" w:cs="Arial" w:eastAsia="Arial" w:hAnsi="Arial"/>
                <w:sz w:val="18"/>
                <w:szCs w:val="18"/>
                <w:color w:val="auto"/>
              </w:rPr>
              <w:t>Tax Treatment</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5.17.</w:t>
            </w:r>
          </w:p>
        </w:tc>
        <w:tc>
          <w:tcPr>
            <w:tcW w:w="7640" w:type="dxa"/>
            <w:vAlign w:val="bottom"/>
          </w:tcPr>
          <w:p>
            <w:pPr>
              <w:ind w:left="320"/>
              <w:spacing w:after="0"/>
              <w:rPr>
                <w:sz w:val="20"/>
                <w:szCs w:val="20"/>
                <w:color w:val="auto"/>
              </w:rPr>
            </w:pPr>
            <w:r>
              <w:rPr>
                <w:rFonts w:ascii="Arial" w:cs="Arial" w:eastAsia="Arial" w:hAnsi="Arial"/>
                <w:sz w:val="18"/>
                <w:szCs w:val="18"/>
                <w:color w:val="auto"/>
              </w:rPr>
              <w:t>NBCUniversal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5.18.</w:t>
            </w:r>
          </w:p>
        </w:tc>
        <w:tc>
          <w:tcPr>
            <w:tcW w:w="7640" w:type="dxa"/>
            <w:vAlign w:val="bottom"/>
          </w:tcPr>
          <w:p>
            <w:pPr>
              <w:ind w:left="320"/>
              <w:spacing w:after="0"/>
              <w:rPr>
                <w:sz w:val="20"/>
                <w:szCs w:val="20"/>
                <w:color w:val="auto"/>
              </w:rPr>
            </w:pPr>
            <w:r>
              <w:rPr>
                <w:rFonts w:ascii="Arial" w:cs="Arial" w:eastAsia="Arial" w:hAnsi="Arial"/>
                <w:sz w:val="18"/>
                <w:szCs w:val="18"/>
                <w:color w:val="auto"/>
              </w:rPr>
              <w:t>Finders’ Fees</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5.19.</w:t>
            </w:r>
          </w:p>
        </w:tc>
        <w:tc>
          <w:tcPr>
            <w:tcW w:w="7640" w:type="dxa"/>
            <w:vAlign w:val="bottom"/>
          </w:tcPr>
          <w:p>
            <w:pPr>
              <w:ind w:left="320"/>
              <w:spacing w:after="0"/>
              <w:rPr>
                <w:sz w:val="20"/>
                <w:szCs w:val="20"/>
                <w:color w:val="auto"/>
              </w:rPr>
            </w:pPr>
            <w:r>
              <w:rPr>
                <w:rFonts w:ascii="Arial" w:cs="Arial" w:eastAsia="Arial" w:hAnsi="Arial"/>
                <w:sz w:val="18"/>
                <w:szCs w:val="18"/>
                <w:color w:val="auto"/>
              </w:rPr>
              <w:t>Opinion of Financial Advisor</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57"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Section 5.20.</w:t>
            </w:r>
          </w:p>
        </w:tc>
        <w:tc>
          <w:tcPr>
            <w:tcW w:w="7300" w:type="dxa"/>
            <w:vAlign w:val="bottom"/>
          </w:tcPr>
          <w:p>
            <w:pPr>
              <w:ind w:left="320"/>
              <w:spacing w:after="0"/>
              <w:rPr>
                <w:sz w:val="20"/>
                <w:szCs w:val="20"/>
                <w:color w:val="auto"/>
              </w:rPr>
            </w:pPr>
            <w:r>
              <w:rPr>
                <w:rFonts w:ascii="Arial" w:cs="Arial" w:eastAsia="Arial" w:hAnsi="Arial"/>
                <w:sz w:val="18"/>
                <w:szCs w:val="18"/>
                <w:color w:val="auto"/>
              </w:rPr>
              <w:t>No Additional Representations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6 Covenants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6.01.</w:t>
            </w:r>
          </w:p>
        </w:tc>
        <w:tc>
          <w:tcPr>
            <w:tcW w:w="7300" w:type="dxa"/>
            <w:vAlign w:val="bottom"/>
          </w:tcPr>
          <w:p>
            <w:pPr>
              <w:ind w:left="320"/>
              <w:spacing w:after="0"/>
              <w:rPr>
                <w:sz w:val="20"/>
                <w:szCs w:val="20"/>
                <w:color w:val="auto"/>
              </w:rPr>
            </w:pPr>
            <w:r>
              <w:rPr>
                <w:rFonts w:ascii="Arial" w:cs="Arial" w:eastAsia="Arial" w:hAnsi="Arial"/>
                <w:sz w:val="18"/>
                <w:szCs w:val="18"/>
                <w:color w:val="auto"/>
              </w:rPr>
              <w:t>Conduct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6.02.</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Stockholder Meeting</w:t>
            </w:r>
          </w:p>
        </w:tc>
        <w:tc>
          <w:tcPr>
            <w:tcW w:w="2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6.03.</w:t>
            </w:r>
          </w:p>
        </w:tc>
        <w:tc>
          <w:tcPr>
            <w:tcW w:w="7300" w:type="dxa"/>
            <w:vAlign w:val="bottom"/>
          </w:tcPr>
          <w:p>
            <w:pPr>
              <w:ind w:left="320"/>
              <w:spacing w:after="0"/>
              <w:rPr>
                <w:sz w:val="20"/>
                <w:szCs w:val="20"/>
                <w:color w:val="auto"/>
              </w:rPr>
            </w:pPr>
            <w:r>
              <w:rPr>
                <w:rFonts w:ascii="Arial" w:cs="Arial" w:eastAsia="Arial" w:hAnsi="Arial"/>
                <w:sz w:val="18"/>
                <w:szCs w:val="18"/>
                <w:color w:val="auto"/>
              </w:rPr>
              <w:t>No Solicitation; Other Offers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6.04.</w:t>
            </w:r>
          </w:p>
        </w:tc>
        <w:tc>
          <w:tcPr>
            <w:tcW w:w="73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6.05.</w:t>
            </w:r>
          </w:p>
        </w:tc>
        <w:tc>
          <w:tcPr>
            <w:tcW w:w="7300" w:type="dxa"/>
            <w:vAlign w:val="bottom"/>
          </w:tcPr>
          <w:p>
            <w:pPr>
              <w:ind w:left="320"/>
              <w:spacing w:after="0"/>
              <w:rPr>
                <w:sz w:val="20"/>
                <w:szCs w:val="20"/>
                <w:color w:val="auto"/>
              </w:rPr>
            </w:pPr>
            <w:r>
              <w:rPr>
                <w:rFonts w:ascii="Arial" w:cs="Arial" w:eastAsia="Arial" w:hAnsi="Arial"/>
                <w:sz w:val="18"/>
                <w:szCs w:val="18"/>
                <w:color w:val="auto"/>
              </w:rPr>
              <w:t>Voting of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7 Covenants of Parent</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7.01.</w:t>
            </w:r>
          </w:p>
        </w:tc>
        <w:tc>
          <w:tcPr>
            <w:tcW w:w="7300" w:type="dxa"/>
            <w:vAlign w:val="bottom"/>
          </w:tcPr>
          <w:p>
            <w:pPr>
              <w:ind w:left="320"/>
              <w:spacing w:after="0"/>
              <w:rPr>
                <w:sz w:val="20"/>
                <w:szCs w:val="20"/>
                <w:color w:val="auto"/>
              </w:rPr>
            </w:pPr>
            <w:r>
              <w:rPr>
                <w:rFonts w:ascii="Arial" w:cs="Arial" w:eastAsia="Arial" w:hAnsi="Arial"/>
                <w:sz w:val="18"/>
                <w:szCs w:val="18"/>
                <w:color w:val="auto"/>
              </w:rPr>
              <w:t>Conduct of Parent</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7.02.</w:t>
            </w:r>
          </w:p>
        </w:tc>
        <w:tc>
          <w:tcPr>
            <w:tcW w:w="7300" w:type="dxa"/>
            <w:vAlign w:val="bottom"/>
          </w:tcPr>
          <w:p>
            <w:pPr>
              <w:ind w:left="320"/>
              <w:spacing w:after="0"/>
              <w:rPr>
                <w:sz w:val="20"/>
                <w:szCs w:val="20"/>
                <w:color w:val="auto"/>
              </w:rPr>
            </w:pPr>
            <w:r>
              <w:rPr>
                <w:rFonts w:ascii="Arial" w:cs="Arial" w:eastAsia="Arial" w:hAnsi="Arial"/>
                <w:sz w:val="18"/>
                <w:szCs w:val="18"/>
                <w:color w:val="auto"/>
              </w:rPr>
              <w:t>Obligations of Merger Subsidiary</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7.03.</w:t>
            </w:r>
          </w:p>
        </w:tc>
        <w:tc>
          <w:tcPr>
            <w:tcW w:w="7300" w:type="dxa"/>
            <w:vAlign w:val="bottom"/>
          </w:tcPr>
          <w:p>
            <w:pPr>
              <w:ind w:left="320"/>
              <w:spacing w:after="0"/>
              <w:rPr>
                <w:sz w:val="20"/>
                <w:szCs w:val="20"/>
                <w:color w:val="auto"/>
              </w:rPr>
            </w:pPr>
            <w:r>
              <w:rPr>
                <w:rFonts w:ascii="Arial" w:cs="Arial" w:eastAsia="Arial" w:hAnsi="Arial"/>
                <w:sz w:val="18"/>
                <w:szCs w:val="18"/>
                <w:color w:val="auto"/>
              </w:rPr>
              <w:t>Parent Shareholder Meeting</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7.04.</w:t>
            </w:r>
          </w:p>
        </w:tc>
        <w:tc>
          <w:tcPr>
            <w:tcW w:w="7300" w:type="dxa"/>
            <w:vAlign w:val="bottom"/>
          </w:tcPr>
          <w:p>
            <w:pPr>
              <w:ind w:left="320"/>
              <w:spacing w:after="0"/>
              <w:rPr>
                <w:sz w:val="20"/>
                <w:szCs w:val="20"/>
                <w:color w:val="auto"/>
              </w:rPr>
            </w:pPr>
            <w:r>
              <w:rPr>
                <w:rFonts w:ascii="Arial" w:cs="Arial" w:eastAsia="Arial" w:hAnsi="Arial"/>
                <w:sz w:val="18"/>
                <w:szCs w:val="18"/>
                <w:color w:val="auto"/>
              </w:rPr>
              <w:t>Certain Prohibitions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7.05.</w:t>
            </w:r>
          </w:p>
        </w:tc>
        <w:tc>
          <w:tcPr>
            <w:tcW w:w="7300" w:type="dxa"/>
            <w:vAlign w:val="bottom"/>
          </w:tcPr>
          <w:p>
            <w:pPr>
              <w:ind w:left="320"/>
              <w:spacing w:after="0"/>
              <w:rPr>
                <w:sz w:val="20"/>
                <w:szCs w:val="20"/>
                <w:color w:val="auto"/>
              </w:rPr>
            </w:pPr>
            <w:r>
              <w:rPr>
                <w:rFonts w:ascii="Arial" w:cs="Arial" w:eastAsia="Arial" w:hAnsi="Arial"/>
                <w:sz w:val="18"/>
                <w:szCs w:val="18"/>
                <w:color w:val="auto"/>
              </w:rPr>
              <w:t>Approval by Sole Stockholder of Merger Subsidiary</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7.06.</w:t>
            </w:r>
          </w:p>
        </w:tc>
        <w:tc>
          <w:tcPr>
            <w:tcW w:w="7300" w:type="dxa"/>
            <w:vAlign w:val="bottom"/>
          </w:tcPr>
          <w:p>
            <w:pPr>
              <w:ind w:left="320"/>
              <w:spacing w:after="0"/>
              <w:rPr>
                <w:sz w:val="20"/>
                <w:szCs w:val="20"/>
                <w:color w:val="auto"/>
              </w:rPr>
            </w:pPr>
            <w:r>
              <w:rPr>
                <w:rFonts w:ascii="Arial" w:cs="Arial" w:eastAsia="Arial" w:hAnsi="Arial"/>
                <w:sz w:val="18"/>
                <w:szCs w:val="18"/>
                <w:color w:val="auto"/>
              </w:rPr>
              <w:t>Voting of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7.07.</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 and Officer 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7.08.</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Exchange Listing</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7.09.</w:t>
            </w:r>
          </w:p>
        </w:tc>
        <w:tc>
          <w:tcPr>
            <w:tcW w:w="7300" w:type="dxa"/>
            <w:vAlign w:val="bottom"/>
          </w:tcPr>
          <w:p>
            <w:pPr>
              <w:ind w:left="320"/>
              <w:spacing w:after="0"/>
              <w:rPr>
                <w:sz w:val="20"/>
                <w:szCs w:val="20"/>
                <w:color w:val="auto"/>
              </w:rPr>
            </w:pPr>
            <w:r>
              <w:rPr>
                <w:rFonts w:ascii="Arial" w:cs="Arial" w:eastAsia="Arial" w:hAnsi="Arial"/>
                <w:sz w:val="18"/>
                <w:szCs w:val="18"/>
                <w:color w:val="auto"/>
              </w:rPr>
              <w:t>Employee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8 Covenants of Parent and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8.01.</w:t>
            </w:r>
          </w:p>
        </w:tc>
        <w:tc>
          <w:tcPr>
            <w:tcW w:w="7300" w:type="dxa"/>
            <w:vAlign w:val="bottom"/>
          </w:tcPr>
          <w:p>
            <w:pPr>
              <w:ind w:left="320"/>
              <w:spacing w:after="0"/>
              <w:rPr>
                <w:sz w:val="20"/>
                <w:szCs w:val="20"/>
                <w:color w:val="auto"/>
              </w:rPr>
            </w:pPr>
            <w:r>
              <w:rPr>
                <w:rFonts w:ascii="Arial" w:cs="Arial" w:eastAsia="Arial" w:hAnsi="Arial"/>
                <w:sz w:val="18"/>
                <w:szCs w:val="18"/>
                <w:color w:val="auto"/>
              </w:rPr>
              <w:t>Reasonable Best Efforts</w:t>
            </w:r>
          </w:p>
        </w:tc>
        <w:tc>
          <w:tcPr>
            <w:tcW w:w="2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8.02.</w:t>
            </w:r>
          </w:p>
        </w:tc>
        <w:tc>
          <w:tcPr>
            <w:tcW w:w="7300" w:type="dxa"/>
            <w:vAlign w:val="bottom"/>
          </w:tcPr>
          <w:p>
            <w:pPr>
              <w:ind w:left="320"/>
              <w:spacing w:after="0"/>
              <w:rPr>
                <w:sz w:val="20"/>
                <w:szCs w:val="20"/>
                <w:color w:val="auto"/>
              </w:rPr>
            </w:pPr>
            <w:r>
              <w:rPr>
                <w:rFonts w:ascii="Arial" w:cs="Arial" w:eastAsia="Arial" w:hAnsi="Arial"/>
                <w:sz w:val="18"/>
                <w:szCs w:val="18"/>
                <w:color w:val="auto"/>
              </w:rPr>
              <w:t>Joint Proxy Statement/Prospectus; Registration Statement</w:t>
            </w:r>
          </w:p>
        </w:tc>
        <w:tc>
          <w:tcPr>
            <w:tcW w:w="2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8.03.</w:t>
            </w:r>
          </w:p>
        </w:tc>
        <w:tc>
          <w:tcPr>
            <w:tcW w:w="730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8.04.</w:t>
            </w:r>
          </w:p>
        </w:tc>
        <w:tc>
          <w:tcPr>
            <w:tcW w:w="73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8.05.</w:t>
            </w:r>
          </w:p>
        </w:tc>
        <w:tc>
          <w:tcPr>
            <w:tcW w:w="7300" w:type="dxa"/>
            <w:vAlign w:val="bottom"/>
          </w:tcPr>
          <w:p>
            <w:pPr>
              <w:ind w:left="320"/>
              <w:spacing w:after="0"/>
              <w:rPr>
                <w:sz w:val="20"/>
                <w:szCs w:val="20"/>
                <w:color w:val="auto"/>
              </w:rPr>
            </w:pPr>
            <w:r>
              <w:rPr>
                <w:rFonts w:ascii="Arial" w:cs="Arial" w:eastAsia="Arial" w:hAnsi="Arial"/>
                <w:sz w:val="18"/>
                <w:szCs w:val="18"/>
                <w:color w:val="auto"/>
              </w:rPr>
              <w:t>Notices of Certain Events</w:t>
            </w:r>
          </w:p>
        </w:tc>
        <w:tc>
          <w:tcPr>
            <w:tcW w:w="2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8.06.</w:t>
            </w:r>
          </w:p>
        </w:tc>
        <w:tc>
          <w:tcPr>
            <w:tcW w:w="7300" w:type="dxa"/>
            <w:vAlign w:val="bottom"/>
          </w:tcPr>
          <w:p>
            <w:pPr>
              <w:ind w:left="320"/>
              <w:spacing w:after="0"/>
              <w:rPr>
                <w:sz w:val="20"/>
                <w:szCs w:val="20"/>
                <w:color w:val="auto"/>
              </w:rPr>
            </w:pPr>
            <w:r>
              <w:rPr>
                <w:rFonts w:ascii="Arial" w:cs="Arial" w:eastAsia="Arial" w:hAnsi="Arial"/>
                <w:sz w:val="18"/>
                <w:szCs w:val="18"/>
                <w:color w:val="auto"/>
              </w:rPr>
              <w:t>Access to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8.07.</w:t>
            </w:r>
          </w:p>
        </w:tc>
        <w:tc>
          <w:tcPr>
            <w:tcW w:w="7300" w:type="dxa"/>
            <w:vAlign w:val="bottom"/>
          </w:tcPr>
          <w:p>
            <w:pPr>
              <w:ind w:left="320"/>
              <w:spacing w:after="0"/>
              <w:rPr>
                <w:sz w:val="20"/>
                <w:szCs w:val="20"/>
                <w:color w:val="auto"/>
              </w:rPr>
            </w:pPr>
            <w:r>
              <w:rPr>
                <w:rFonts w:ascii="Arial" w:cs="Arial" w:eastAsia="Arial" w:hAnsi="Arial"/>
                <w:sz w:val="18"/>
                <w:szCs w:val="18"/>
                <w:color w:val="auto"/>
              </w:rPr>
              <w:t>Tax-free Reorganization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8.08.</w:t>
            </w:r>
          </w:p>
        </w:tc>
        <w:tc>
          <w:tcPr>
            <w:tcW w:w="7300" w:type="dxa"/>
            <w:vAlign w:val="bottom"/>
          </w:tcPr>
          <w:p>
            <w:pPr>
              <w:ind w:left="320"/>
              <w:spacing w:after="0"/>
              <w:rPr>
                <w:sz w:val="20"/>
                <w:szCs w:val="20"/>
                <w:color w:val="auto"/>
              </w:rPr>
            </w:pPr>
            <w:r>
              <w:rPr>
                <w:rFonts w:ascii="Arial" w:cs="Arial" w:eastAsia="Arial" w:hAnsi="Arial"/>
                <w:sz w:val="18"/>
                <w:szCs w:val="18"/>
                <w:color w:val="auto"/>
              </w:rPr>
              <w:t>Section 16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8.09.</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Exchange De-listing; 1934 Act Deregistration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8.10.</w:t>
            </w:r>
          </w:p>
        </w:tc>
        <w:tc>
          <w:tcPr>
            <w:tcW w:w="7300" w:type="dxa"/>
            <w:vAlign w:val="bottom"/>
          </w:tcPr>
          <w:p>
            <w:pPr>
              <w:ind w:left="320"/>
              <w:spacing w:after="0"/>
              <w:rPr>
                <w:sz w:val="20"/>
                <w:szCs w:val="20"/>
                <w:color w:val="auto"/>
              </w:rPr>
            </w:pPr>
            <w:r>
              <w:rPr>
                <w:rFonts w:ascii="Arial" w:cs="Arial" w:eastAsia="Arial" w:hAnsi="Arial"/>
                <w:sz w:val="18"/>
                <w:szCs w:val="18"/>
                <w:color w:val="auto"/>
              </w:rPr>
              <w:t>Dividends</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8.11.</w:t>
            </w:r>
          </w:p>
        </w:tc>
        <w:tc>
          <w:tcPr>
            <w:tcW w:w="7300" w:type="dxa"/>
            <w:vAlign w:val="bottom"/>
          </w:tcPr>
          <w:p>
            <w:pPr>
              <w:ind w:left="320"/>
              <w:spacing w:after="0"/>
              <w:rPr>
                <w:sz w:val="20"/>
                <w:szCs w:val="20"/>
                <w:color w:val="auto"/>
              </w:rPr>
            </w:pPr>
            <w:r>
              <w:rPr>
                <w:rFonts w:ascii="Arial" w:cs="Arial" w:eastAsia="Arial" w:hAnsi="Arial"/>
                <w:sz w:val="18"/>
                <w:szCs w:val="18"/>
                <w:color w:val="auto"/>
              </w:rPr>
              <w:t>Stockholder Litigation</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8700" w:type="dxa"/>
            <w:vAlign w:val="bottom"/>
            <w:gridSpan w:val="2"/>
          </w:tcPr>
          <w:p>
            <w:pPr>
              <w:spacing w:after="0"/>
              <w:rPr>
                <w:sz w:val="20"/>
                <w:szCs w:val="20"/>
                <w:color w:val="auto"/>
              </w:rPr>
            </w:pPr>
            <w:r>
              <w:rPr>
                <w:rFonts w:ascii="Arial" w:cs="Arial" w:eastAsia="Arial" w:hAnsi="Arial"/>
                <w:sz w:val="18"/>
                <w:szCs w:val="18"/>
                <w:color w:val="auto"/>
              </w:rPr>
              <w:t>ARTICLE 9 Conditions to the Merger</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9.01.</w:t>
            </w:r>
          </w:p>
        </w:tc>
        <w:tc>
          <w:tcPr>
            <w:tcW w:w="7300" w:type="dxa"/>
            <w:vAlign w:val="bottom"/>
          </w:tcPr>
          <w:p>
            <w:pPr>
              <w:ind w:left="320"/>
              <w:spacing w:after="0"/>
              <w:rPr>
                <w:sz w:val="20"/>
                <w:szCs w:val="20"/>
                <w:color w:val="auto"/>
              </w:rPr>
            </w:pPr>
            <w:r>
              <w:rPr>
                <w:rFonts w:ascii="Arial" w:cs="Arial" w:eastAsia="Arial" w:hAnsi="Arial"/>
                <w:sz w:val="18"/>
                <w:szCs w:val="18"/>
                <w:color w:val="auto"/>
              </w:rPr>
              <w:t>Conditions to the Obligations of Each Party</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9.02.</w:t>
            </w:r>
          </w:p>
        </w:tc>
        <w:tc>
          <w:tcPr>
            <w:tcW w:w="7300" w:type="dxa"/>
            <w:vAlign w:val="bottom"/>
          </w:tcPr>
          <w:p>
            <w:pPr>
              <w:ind w:left="320"/>
              <w:spacing w:after="0"/>
              <w:rPr>
                <w:sz w:val="20"/>
                <w:szCs w:val="20"/>
                <w:color w:val="auto"/>
              </w:rPr>
            </w:pPr>
            <w:r>
              <w:rPr>
                <w:rFonts w:ascii="Arial" w:cs="Arial" w:eastAsia="Arial" w:hAnsi="Arial"/>
                <w:sz w:val="18"/>
                <w:szCs w:val="18"/>
                <w:color w:val="auto"/>
              </w:rPr>
              <w:t>Conditions to the Obligations of Parent and Merger Subsidiary</w:t>
            </w:r>
          </w:p>
        </w:tc>
        <w:tc>
          <w:tcPr>
            <w:tcW w:w="26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97"/>
        </w:trPr>
        <w:tc>
          <w:tcPr>
            <w:tcW w:w="1400" w:type="dxa"/>
            <w:vAlign w:val="bottom"/>
          </w:tcPr>
          <w:p>
            <w:pPr>
              <w:ind w:left="140"/>
              <w:spacing w:after="0"/>
              <w:rPr>
                <w:sz w:val="20"/>
                <w:szCs w:val="20"/>
                <w:color w:val="auto"/>
              </w:rPr>
            </w:pPr>
            <w:r>
              <w:rPr>
                <w:rFonts w:ascii="Arial" w:cs="Arial" w:eastAsia="Arial" w:hAnsi="Arial"/>
                <w:sz w:val="18"/>
                <w:szCs w:val="18"/>
                <w:color w:val="auto"/>
              </w:rPr>
              <w:t>Section 9.03.</w:t>
            </w:r>
          </w:p>
        </w:tc>
        <w:tc>
          <w:tcPr>
            <w:tcW w:w="7300" w:type="dxa"/>
            <w:vAlign w:val="bottom"/>
          </w:tcPr>
          <w:p>
            <w:pPr>
              <w:ind w:left="320"/>
              <w:spacing w:after="0"/>
              <w:rPr>
                <w:sz w:val="20"/>
                <w:szCs w:val="20"/>
                <w:color w:val="auto"/>
              </w:rPr>
            </w:pPr>
            <w:r>
              <w:rPr>
                <w:rFonts w:ascii="Arial" w:cs="Arial" w:eastAsia="Arial" w:hAnsi="Arial"/>
                <w:sz w:val="18"/>
                <w:szCs w:val="18"/>
                <w:color w:val="auto"/>
              </w:rPr>
              <w:t>Conditions to the Obligations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57" w:right="27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ARTICLE 10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10.01.</w:t>
            </w:r>
          </w:p>
        </w:tc>
        <w:tc>
          <w:tcPr>
            <w:tcW w:w="6900" w:type="dxa"/>
            <w:vAlign w:val="bottom"/>
          </w:tcPr>
          <w:p>
            <w:pPr>
              <w:ind w:left="280"/>
              <w:spacing w:after="0"/>
              <w:rPr>
                <w:sz w:val="20"/>
                <w:szCs w:val="20"/>
                <w:color w:val="auto"/>
              </w:rPr>
            </w:pPr>
            <w:r>
              <w:rPr>
                <w:rFonts w:ascii="Arial" w:cs="Arial" w:eastAsia="Arial" w:hAnsi="Arial"/>
                <w:sz w:val="18"/>
                <w:szCs w:val="18"/>
                <w:color w:val="auto"/>
              </w:rPr>
              <w:t>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10.02.</w:t>
            </w:r>
          </w:p>
        </w:tc>
        <w:tc>
          <w:tcPr>
            <w:tcW w:w="6900" w:type="dxa"/>
            <w:vAlign w:val="bottom"/>
          </w:tcPr>
          <w:p>
            <w:pPr>
              <w:ind w:left="280"/>
              <w:spacing w:after="0"/>
              <w:rPr>
                <w:sz w:val="20"/>
                <w:szCs w:val="20"/>
                <w:color w:val="auto"/>
              </w:rPr>
            </w:pPr>
            <w:r>
              <w:rPr>
                <w:rFonts w:ascii="Arial" w:cs="Arial" w:eastAsia="Arial" w:hAnsi="Arial"/>
                <w:sz w:val="18"/>
                <w:szCs w:val="18"/>
                <w:color w:val="auto"/>
              </w:rPr>
              <w:t>Effect of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834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11.01.</w:t>
            </w:r>
          </w:p>
        </w:tc>
        <w:tc>
          <w:tcPr>
            <w:tcW w:w="6900" w:type="dxa"/>
            <w:vAlign w:val="bottom"/>
          </w:tcPr>
          <w:p>
            <w:pPr>
              <w:ind w:left="280"/>
              <w:spacing w:after="0"/>
              <w:rPr>
                <w:sz w:val="20"/>
                <w:szCs w:val="20"/>
                <w:color w:val="auto"/>
              </w:rPr>
            </w:pPr>
            <w:r>
              <w:rPr>
                <w:rFonts w:ascii="Arial" w:cs="Arial" w:eastAsia="Arial" w:hAnsi="Arial"/>
                <w:sz w:val="18"/>
                <w:szCs w:val="18"/>
                <w:color w:val="auto"/>
              </w:rPr>
              <w:t>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11.02.</w:t>
            </w:r>
          </w:p>
        </w:tc>
        <w:tc>
          <w:tcPr>
            <w:tcW w:w="6900" w:type="dxa"/>
            <w:vAlign w:val="bottom"/>
          </w:tcPr>
          <w:p>
            <w:pPr>
              <w:ind w:left="280"/>
              <w:spacing w:after="0"/>
              <w:rPr>
                <w:sz w:val="20"/>
                <w:szCs w:val="20"/>
                <w:color w:val="auto"/>
              </w:rPr>
            </w:pPr>
            <w:r>
              <w:rPr>
                <w:rFonts w:ascii="Arial" w:cs="Arial" w:eastAsia="Arial" w:hAnsi="Arial"/>
                <w:sz w:val="18"/>
                <w:szCs w:val="18"/>
                <w:color w:val="auto"/>
              </w:rPr>
              <w:t>Survival of Representations and Warranties</w:t>
            </w:r>
          </w:p>
        </w:tc>
        <w:tc>
          <w:tcPr>
            <w:tcW w:w="3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11.03.</w:t>
            </w:r>
          </w:p>
        </w:tc>
        <w:tc>
          <w:tcPr>
            <w:tcW w:w="6900" w:type="dxa"/>
            <w:vAlign w:val="bottom"/>
          </w:tcPr>
          <w:p>
            <w:pPr>
              <w:ind w:left="280"/>
              <w:spacing w:after="0"/>
              <w:rPr>
                <w:sz w:val="20"/>
                <w:szCs w:val="20"/>
                <w:color w:val="auto"/>
              </w:rPr>
            </w:pPr>
            <w:r>
              <w:rPr>
                <w:rFonts w:ascii="Arial" w:cs="Arial" w:eastAsia="Arial" w:hAnsi="Arial"/>
                <w:sz w:val="18"/>
                <w:szCs w:val="18"/>
                <w:color w:val="auto"/>
              </w:rPr>
              <w:t>Amendments and Waivers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11.04.</w:t>
            </w:r>
          </w:p>
        </w:tc>
        <w:tc>
          <w:tcPr>
            <w:tcW w:w="6900" w:type="dxa"/>
            <w:vAlign w:val="bottom"/>
          </w:tcPr>
          <w:p>
            <w:pPr>
              <w:ind w:left="280"/>
              <w:spacing w:after="0"/>
              <w:rPr>
                <w:sz w:val="20"/>
                <w:szCs w:val="20"/>
                <w:color w:val="auto"/>
              </w:rPr>
            </w:pPr>
            <w:r>
              <w:rPr>
                <w:rFonts w:ascii="Arial" w:cs="Arial" w:eastAsia="Arial" w:hAnsi="Arial"/>
                <w:sz w:val="18"/>
                <w:szCs w:val="18"/>
                <w:color w:val="auto"/>
              </w:rPr>
              <w:t>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11.05.</w:t>
            </w:r>
          </w:p>
        </w:tc>
        <w:tc>
          <w:tcPr>
            <w:tcW w:w="6900" w:type="dxa"/>
            <w:vAlign w:val="bottom"/>
          </w:tcPr>
          <w:p>
            <w:pPr>
              <w:ind w:left="280"/>
              <w:spacing w:after="0"/>
              <w:rPr>
                <w:sz w:val="20"/>
                <w:szCs w:val="20"/>
                <w:color w:val="auto"/>
              </w:rPr>
            </w:pPr>
            <w:r>
              <w:rPr>
                <w:rFonts w:ascii="Arial" w:cs="Arial" w:eastAsia="Arial" w:hAnsi="Arial"/>
                <w:sz w:val="18"/>
                <w:szCs w:val="18"/>
                <w:color w:val="auto"/>
              </w:rPr>
              <w:t>Disclosure Schedule and SEC Document References</w:t>
            </w:r>
          </w:p>
        </w:tc>
        <w:tc>
          <w:tcPr>
            <w:tcW w:w="3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11.06.</w:t>
            </w:r>
          </w:p>
        </w:tc>
        <w:tc>
          <w:tcPr>
            <w:tcW w:w="6900" w:type="dxa"/>
            <w:vAlign w:val="bottom"/>
          </w:tcPr>
          <w:p>
            <w:pPr>
              <w:ind w:left="280"/>
              <w:spacing w:after="0"/>
              <w:rPr>
                <w:sz w:val="20"/>
                <w:szCs w:val="20"/>
                <w:color w:val="auto"/>
              </w:rPr>
            </w:pPr>
            <w:r>
              <w:rPr>
                <w:rFonts w:ascii="Arial" w:cs="Arial" w:eastAsia="Arial" w:hAnsi="Arial"/>
                <w:sz w:val="18"/>
                <w:szCs w:val="18"/>
                <w:color w:val="auto"/>
              </w:rPr>
              <w:t>Binding Effect; Benefit; Assignment</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11.07.</w:t>
            </w:r>
          </w:p>
        </w:tc>
        <w:tc>
          <w:tcPr>
            <w:tcW w:w="690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11.08.</w:t>
            </w:r>
          </w:p>
        </w:tc>
        <w:tc>
          <w:tcPr>
            <w:tcW w:w="6900" w:type="dxa"/>
            <w:vAlign w:val="bottom"/>
          </w:tcPr>
          <w:p>
            <w:pPr>
              <w:ind w:left="280"/>
              <w:spacing w:after="0"/>
              <w:rPr>
                <w:sz w:val="20"/>
                <w:szCs w:val="20"/>
                <w:color w:val="auto"/>
              </w:rPr>
            </w:pPr>
            <w:r>
              <w:rPr>
                <w:rFonts w:ascii="Arial" w:cs="Arial" w:eastAsia="Arial" w:hAnsi="Arial"/>
                <w:sz w:val="18"/>
                <w:szCs w:val="18"/>
                <w:color w:val="auto"/>
              </w:rPr>
              <w:t>Jurisdiction</w:t>
            </w:r>
          </w:p>
        </w:tc>
        <w:tc>
          <w:tcPr>
            <w:tcW w:w="3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11.09.</w:t>
            </w:r>
          </w:p>
        </w:tc>
        <w:tc>
          <w:tcPr>
            <w:tcW w:w="690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11.10.</w:t>
            </w:r>
          </w:p>
        </w:tc>
        <w:tc>
          <w:tcPr>
            <w:tcW w:w="6900" w:type="dxa"/>
            <w:vAlign w:val="bottom"/>
          </w:tcPr>
          <w:p>
            <w:pPr>
              <w:ind w:left="280"/>
              <w:spacing w:after="0"/>
              <w:rPr>
                <w:sz w:val="20"/>
                <w:szCs w:val="20"/>
                <w:color w:val="auto"/>
              </w:rPr>
            </w:pPr>
            <w:r>
              <w:rPr>
                <w:rFonts w:ascii="Arial" w:cs="Arial" w:eastAsia="Arial" w:hAnsi="Arial"/>
                <w:sz w:val="18"/>
                <w:szCs w:val="18"/>
                <w:color w:val="auto"/>
              </w:rPr>
              <w:t>Counterparts; Effectiveness</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11.11.</w:t>
            </w:r>
          </w:p>
        </w:tc>
        <w:tc>
          <w:tcPr>
            <w:tcW w:w="690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11.12.</w:t>
            </w:r>
          </w:p>
        </w:tc>
        <w:tc>
          <w:tcPr>
            <w:tcW w:w="690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1440" w:type="dxa"/>
            <w:vAlign w:val="bottom"/>
          </w:tcPr>
          <w:p>
            <w:pPr>
              <w:ind w:left="140"/>
              <w:spacing w:after="0"/>
              <w:rPr>
                <w:sz w:val="20"/>
                <w:szCs w:val="20"/>
                <w:color w:val="auto"/>
              </w:rPr>
            </w:pPr>
            <w:r>
              <w:rPr>
                <w:rFonts w:ascii="Arial" w:cs="Arial" w:eastAsia="Arial" w:hAnsi="Arial"/>
                <w:sz w:val="18"/>
                <w:szCs w:val="18"/>
                <w:color w:val="auto"/>
              </w:rPr>
              <w:t>Section 11.13.</w:t>
            </w:r>
          </w:p>
        </w:tc>
        <w:tc>
          <w:tcPr>
            <w:tcW w:w="6900" w:type="dxa"/>
            <w:vAlign w:val="bottom"/>
          </w:tcPr>
          <w:p>
            <w:pPr>
              <w:ind w:left="280"/>
              <w:spacing w:after="0"/>
              <w:rPr>
                <w:sz w:val="20"/>
                <w:szCs w:val="20"/>
                <w:color w:val="auto"/>
              </w:rPr>
            </w:pPr>
            <w:r>
              <w:rPr>
                <w:rFonts w:ascii="Arial" w:cs="Arial" w:eastAsia="Arial" w:hAnsi="Arial"/>
                <w:sz w:val="18"/>
                <w:szCs w:val="18"/>
                <w:color w:val="auto"/>
              </w:rPr>
              <w:t>Specific Performance</w:t>
            </w:r>
          </w:p>
        </w:tc>
        <w:tc>
          <w:tcPr>
            <w:tcW w:w="300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5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2014, among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Parent</w:t>
      </w:r>
      <w:r>
        <w:rPr>
          <w:rFonts w:ascii="Arial" w:cs="Arial" w:eastAsia="Arial" w:hAnsi="Arial"/>
          <w:sz w:val="18"/>
          <w:szCs w:val="18"/>
          <w:color w:val="auto"/>
        </w:rPr>
        <w:t>”), and Tango Acquisition Sub, Inc., a Delaware corporation and a wholly-owned subsidiary of Parent (“</w:t>
      </w:r>
      <w:r>
        <w:rPr>
          <w:rFonts w:ascii="Arial" w:cs="Arial" w:eastAsia="Arial" w:hAnsi="Arial"/>
          <w:sz w:val="18"/>
          <w:szCs w:val="18"/>
          <w:b w:val="1"/>
          <w:bCs w:val="1"/>
          <w:color w:val="auto"/>
        </w:rPr>
        <w:t>Merger Subsidiary</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21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8"/>
          <w:szCs w:val="18"/>
          <w:b w:val="1"/>
          <w:bCs w:val="1"/>
          <w:color w:val="auto"/>
        </w:rPr>
        <w:t>Principal Parent Stockholders</w:t>
      </w:r>
      <w:r>
        <w:rPr>
          <w:rFonts w:ascii="Arial" w:cs="Arial" w:eastAsia="Arial" w:hAnsi="Arial"/>
          <w:sz w:val="18"/>
          <w:szCs w:val="18"/>
          <w:color w:val="auto"/>
        </w:rPr>
        <w:t>”) are entering into a voting agreement (the “</w:t>
      </w:r>
      <w:r>
        <w:rPr>
          <w:rFonts w:ascii="Arial" w:cs="Arial" w:eastAsia="Arial" w:hAnsi="Arial"/>
          <w:sz w:val="18"/>
          <w:szCs w:val="18"/>
          <w:b w:val="1"/>
          <w:bCs w:val="1"/>
          <w:color w:val="auto"/>
        </w:rPr>
        <w:t>Voting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the Company pursuant to which the Principal Parent Stockholders have agreed, on the terms and subject to the conditions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22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ind w:right="100" w:firstLine="648"/>
        <w:spacing w:after="0" w:line="277" w:lineRule="auto"/>
        <w:rPr>
          <w:sz w:val="20"/>
          <w:szCs w:val="20"/>
          <w:color w:val="auto"/>
        </w:rPr>
      </w:pPr>
      <w:r>
        <w:rPr>
          <w:rFonts w:ascii="Arial" w:cs="Arial" w:eastAsia="Arial" w:hAnsi="Arial"/>
          <w:sz w:val="18"/>
          <w:szCs w:val="18"/>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the parties hereto agree as follows: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w:t>
      </w:r>
    </w:p>
    <w:p>
      <w:pPr>
        <w:spacing w:after="0" w:line="28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 As used herein, the following terms have the following meanings: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34"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203"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System</w:t>
      </w:r>
      <w:r>
        <w:rPr>
          <w:rFonts w:ascii="Arial" w:cs="Arial" w:eastAsia="Arial" w:hAnsi="Arial"/>
          <w:sz w:val="18"/>
          <w:szCs w:val="18"/>
          <w:color w:val="auto"/>
        </w:rPr>
        <w:t>” means a cable system, as such term is defined in 47 U.S.C. § 522(7).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5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Bargaining Agreements</w:t>
      </w:r>
      <w:r>
        <w:rPr>
          <w:rFonts w:ascii="Arial" w:cs="Arial" w:eastAsia="Arial" w:hAnsi="Arial"/>
          <w:sz w:val="18"/>
          <w:szCs w:val="18"/>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together with the written orders, policies and decisions of the FCC.</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4" w:name="page15"/>
    <w:bookmarkEnd w:id="14"/>
    <w:p>
      <w:pPr>
        <w:ind w:right="6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Adverse Recommendation Change</w:t>
      </w:r>
      <w:r>
        <w:rPr>
          <w:rFonts w:ascii="Arial" w:cs="Arial" w:eastAsia="Arial" w:hAnsi="Arial"/>
          <w:sz w:val="17"/>
          <w:szCs w:val="17"/>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18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21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w:t>
      </w:r>
      <w:r>
        <w:rPr>
          <w:rFonts w:ascii="Arial" w:cs="Arial" w:eastAsia="Arial" w:hAnsi="Arial"/>
          <w:sz w:val="18"/>
          <w:szCs w:val="18"/>
          <w:color w:val="auto"/>
        </w:rPr>
        <w:t>” means the consolidated balance sheet of the Company as of December 31, 2013 and the footnotes thereto set forth in the Company 10-K.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Balance Sheet Date</w:t>
      </w:r>
      <w:r>
        <w:rPr>
          <w:rFonts w:ascii="Arial" w:cs="Arial" w:eastAsia="Arial" w:hAnsi="Arial"/>
          <w:sz w:val="18"/>
          <w:szCs w:val="18"/>
          <w:color w:val="auto"/>
        </w:rPr>
        <w:t>” means December 31, 2013.</w:t>
      </w:r>
    </w:p>
    <w:p>
      <w:pPr>
        <w:spacing w:after="0" w:line="25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means the disclosure schedule dated the date hereof regarding this Agreement that has been provided by the Company to Parent and Merger Subsidiary.</w:t>
      </w:r>
    </w:p>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Intervening Event</w:t>
      </w:r>
      <w:r>
        <w:rPr>
          <w:rFonts w:ascii="Arial" w:cs="Arial" w:eastAsia="Arial" w:hAnsi="Arial"/>
          <w:sz w:val="17"/>
          <w:szCs w:val="17"/>
          <w:color w:val="auto"/>
        </w:rPr>
        <w:t>” means any material event, change, effect, development or occurrence occurring or arising after the date of this Agreement that (i) 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 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7"/>
          <w:szCs w:val="17"/>
          <w:b w:val="1"/>
          <w:bCs w:val="1"/>
          <w:color w:val="auto"/>
        </w:rPr>
        <w:t>Parent Material Adverse Effect</w:t>
      </w:r>
      <w:r>
        <w:rPr>
          <w:rFonts w:ascii="Arial" w:cs="Arial" w:eastAsia="Arial" w:hAnsi="Arial"/>
          <w:sz w:val="17"/>
          <w:szCs w:val="17"/>
          <w:color w:val="auto"/>
        </w:rPr>
        <w:t>” constitute, be deemed to contribute to or otherwise be taken into account in determining whether there has been a Company Intervening Event.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Licenses</w:t>
      </w:r>
      <w:r>
        <w:rPr>
          <w:rFonts w:ascii="Arial" w:cs="Arial" w:eastAsia="Arial" w:hAnsi="Arial"/>
          <w:sz w:val="18"/>
          <w:szCs w:val="18"/>
          <w:color w:val="auto"/>
        </w:rPr>
        <w:t>” means Governmental Authorizations issued by the FCC to the Company or any of its Subsidiaries or Affiliates</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 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9.02(a)(ii)(C) 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 (F) 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Operating Plan</w:t>
      </w:r>
      <w:r>
        <w:rPr>
          <w:rFonts w:ascii="Arial" w:cs="Arial" w:eastAsia="Arial" w:hAnsi="Arial"/>
          <w:sz w:val="16"/>
          <w:szCs w:val="16"/>
          <w:color w:val="auto"/>
        </w:rPr>
        <w:t>” means the Operating Plan of the Company and its Subsidiaries for fiscal years 2014 to 2016 previously disclosed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means the common stock, $0.01 par value, of the Company.</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10-K</w:t>
      </w:r>
      <w:r>
        <w:rPr>
          <w:rFonts w:ascii="Arial" w:cs="Arial" w:eastAsia="Arial" w:hAnsi="Arial"/>
          <w:sz w:val="18"/>
          <w:szCs w:val="18"/>
          <w:color w:val="auto"/>
        </w:rPr>
        <w:t>” means the Company’s annual report on Form 10-K for the fiscal year ended December 31, 2013, in the form previously delivered to Parent.</w:t>
      </w:r>
    </w:p>
    <w:p>
      <w:pPr>
        <w:spacing w:after="0" w:line="189"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Law</w:t>
      </w:r>
      <w:r>
        <w:rPr>
          <w:rFonts w:ascii="Arial" w:cs="Arial" w:eastAsia="Arial" w:hAnsi="Arial"/>
          <w:sz w:val="18"/>
          <w:szCs w:val="18"/>
          <w:color w:val="auto"/>
        </w:rPr>
        <w:t>” means the General Corporation Law of the State of Delaware.</w:t>
      </w:r>
    </w:p>
    <w:p>
      <w:pPr>
        <w:spacing w:after="0" w:line="25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any agreement with any Person relating to human health and safety, the environment or any pollutants, contaminants or hazardous or toxic substances, materials or wastes.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Governmental Authorizations relating to or required by Environmental Laws.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5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of any entity means any other entity that, together with such entity, would be treated as a single employer under Section 414 of the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means the Federal Communications Commission.</w:t>
      </w:r>
    </w:p>
    <w:p>
      <w:pPr>
        <w:spacing w:after="0" w:line="252"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143"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w:t>
      </w:r>
      <w:r>
        <w:rPr>
          <w:rFonts w:ascii="Arial" w:cs="Arial" w:eastAsia="Arial" w:hAnsi="Arial"/>
          <w:sz w:val="16"/>
          <w:szCs w:val="16"/>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5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department, court, agency, commission or official, including any political subdivision thereof.</w:t>
      </w:r>
    </w:p>
    <w:p>
      <w:pPr>
        <w:spacing w:after="0" w:line="248" w:lineRule="exact"/>
        <w:rPr>
          <w:sz w:val="20"/>
          <w:szCs w:val="20"/>
          <w:color w:val="auto"/>
        </w:rPr>
      </w:pPr>
    </w:p>
    <w:p>
      <w:pPr>
        <w:ind w:right="4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78"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any and all intellectual property rights or similar proprietary rights throughout the world, including all</w:t>
      </w:r>
    </w:p>
    <w:p>
      <w:pPr>
        <w:spacing w:after="0" w:line="39" w:lineRule="exact"/>
        <w:rPr>
          <w:sz w:val="20"/>
          <w:szCs w:val="20"/>
          <w:color w:val="auto"/>
        </w:rPr>
      </w:pPr>
    </w:p>
    <w:p>
      <w:pPr>
        <w:ind w:firstLine="8"/>
        <w:spacing w:after="0" w:line="268" w:lineRule="auto"/>
        <w:tabs>
          <w:tab w:leader="none" w:pos="215" w:val="left"/>
        </w:tabs>
        <w:numPr>
          <w:ilvl w:val="0"/>
          <w:numId w:val="4"/>
        </w:numPr>
        <w:rPr>
          <w:rFonts w:ascii="Arial" w:cs="Arial" w:eastAsia="Arial" w:hAnsi="Arial"/>
          <w:sz w:val="17"/>
          <w:szCs w:val="17"/>
          <w:color w:val="auto"/>
        </w:rPr>
      </w:pPr>
      <w:r>
        <w:rPr>
          <w:rFonts w:ascii="Arial" w:cs="Arial" w:eastAsia="Arial" w:hAnsi="Arial"/>
          <w:sz w:val="17"/>
          <w:szCs w:val="17"/>
          <w:color w:val="auto"/>
        </w:rPr>
        <w:t>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205"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ind w:right="2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43"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Intellectual Property Rights</w:t>
      </w:r>
      <w:r>
        <w:rPr>
          <w:rFonts w:ascii="Arial" w:cs="Arial" w:eastAsia="Arial" w:hAnsi="Arial"/>
          <w:sz w:val="17"/>
          <w:szCs w:val="17"/>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6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Select Market.</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NBCUniversal Agreement</w:t>
      </w:r>
      <w:r>
        <w:rPr>
          <w:rFonts w:ascii="Arial" w:cs="Arial" w:eastAsia="Arial" w:hAnsi="Arial"/>
          <w:sz w:val="18"/>
          <w:szCs w:val="18"/>
          <w:color w:val="auto"/>
        </w:rPr>
        <w:t>” means the Transaction Agreement, dated as of February 12, 2013, by and among General Electric Company, Parent, National Broadcasting Company Holding, Inc., Navy Holdings, Inc., NBCUniversal, LLC and NBCUniversal Media, LLC.</w:t>
      </w:r>
    </w:p>
    <w:p>
      <w:pPr>
        <w:spacing w:after="0" w:line="189"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Intellectual Property Rights</w:t>
      </w:r>
      <w:r>
        <w:rPr>
          <w:rFonts w:ascii="Arial" w:cs="Arial" w:eastAsia="Arial" w:hAnsi="Arial"/>
          <w:sz w:val="18"/>
          <w:szCs w:val="18"/>
          <w:color w:val="auto"/>
        </w:rPr>
        <w:t>” means any and all Intellectual Property Rights owned or purported to be owned by the Company or any of its Subsidiaries.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Balance Sheet</w:t>
      </w:r>
      <w:r>
        <w:rPr>
          <w:rFonts w:ascii="Arial" w:cs="Arial" w:eastAsia="Arial" w:hAnsi="Arial"/>
          <w:sz w:val="16"/>
          <w:szCs w:val="16"/>
          <w:color w:val="auto"/>
        </w:rPr>
        <w:t>” means the consolidated balance sheet of Parent as of December 31, 2013, and the footnotes thereto set forth in the Parent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Balance Sheet Date</w:t>
      </w:r>
      <w:r>
        <w:rPr>
          <w:rFonts w:ascii="Arial" w:cs="Arial" w:eastAsia="Arial" w:hAnsi="Arial"/>
          <w:sz w:val="18"/>
          <w:szCs w:val="18"/>
          <w:color w:val="auto"/>
        </w:rPr>
        <w:t>” means December 31,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A Common Stock</w:t>
      </w:r>
      <w:r>
        <w:rPr>
          <w:rFonts w:ascii="Arial" w:cs="Arial" w:eastAsia="Arial" w:hAnsi="Arial"/>
          <w:sz w:val="18"/>
          <w:szCs w:val="18"/>
          <w:color w:val="auto"/>
        </w:rPr>
        <w:t>” means the Class A Common Stock, par value $0.01 per share, of Parent.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A Special Common Stock</w:t>
      </w:r>
      <w:r>
        <w:rPr>
          <w:rFonts w:ascii="Arial" w:cs="Arial" w:eastAsia="Arial" w:hAnsi="Arial"/>
          <w:sz w:val="18"/>
          <w:szCs w:val="18"/>
          <w:color w:val="auto"/>
        </w:rPr>
        <w:t>” means the Class A Special Common Stock, par value $0.01 per share, of Parent.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Class B Common Stock</w:t>
      </w:r>
      <w:r>
        <w:rPr>
          <w:rFonts w:ascii="Arial" w:cs="Arial" w:eastAsia="Arial" w:hAnsi="Arial"/>
          <w:sz w:val="18"/>
          <w:szCs w:val="18"/>
          <w:color w:val="auto"/>
        </w:rPr>
        <w:t>” means the Class B Common Stock, par value $0.01 per share, of Parent.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means the disclosure schedule dated the date hereof regarding this Agreement that has been provided by Parent to the Company.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means, collectively, Parent Class A Common Stock, Parent Class A Special Common Stock and Parent Class B Common Stock.</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10-K</w:t>
      </w:r>
      <w:r>
        <w:rPr>
          <w:rFonts w:ascii="Arial" w:cs="Arial" w:eastAsia="Arial" w:hAnsi="Arial"/>
          <w:sz w:val="18"/>
          <w:szCs w:val="18"/>
          <w:color w:val="auto"/>
        </w:rPr>
        <w:t>” means Parent’s annual report on Form 10-K for the fiscal year ended December 31, 2013.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Pennsylvania Law</w:t>
      </w:r>
      <w:r>
        <w:rPr>
          <w:rFonts w:ascii="Arial" w:cs="Arial" w:eastAsia="Arial" w:hAnsi="Arial"/>
          <w:sz w:val="18"/>
          <w:szCs w:val="18"/>
          <w:color w:val="auto"/>
        </w:rPr>
        <w:t>” means the Pennsylvania Business Corporation law of 1988.</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 (iii) 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 (vii) with respect to real property that is leased, any Lien to which the fee or any superior interest is subject, and</w:t>
      </w:r>
    </w:p>
    <w:p>
      <w:pPr>
        <w:spacing w:after="0" w:line="4" w:lineRule="exact"/>
        <w:rPr>
          <w:sz w:val="20"/>
          <w:szCs w:val="20"/>
          <w:color w:val="auto"/>
        </w:rPr>
      </w:pPr>
    </w:p>
    <w:p>
      <w:pPr>
        <w:ind w:right="460" w:firstLine="8"/>
        <w:spacing w:after="0" w:line="277"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9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52"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7"/>
          <w:szCs w:val="17"/>
          <w:b w:val="1"/>
          <w:bCs w:val="1"/>
          <w:color w:val="auto"/>
        </w:rPr>
        <w:t>Taxing</w:t>
      </w:r>
      <w:r>
        <w:rPr>
          <w:rFonts w:ascii="Arial" w:cs="Arial" w:eastAsia="Arial" w:hAnsi="Arial"/>
          <w:sz w:val="17"/>
          <w:szCs w:val="17"/>
          <w:color w:val="auto"/>
        </w:rPr>
        <w:t xml:space="preserve"> </w:t>
      </w:r>
      <w:r>
        <w:rPr>
          <w:rFonts w:ascii="Arial" w:cs="Arial" w:eastAsia="Arial" w:hAnsi="Arial"/>
          <w:sz w:val="17"/>
          <w:szCs w:val="17"/>
          <w:b w:val="1"/>
          <w:bCs w:val="1"/>
          <w:color w:val="auto"/>
        </w:rPr>
        <w:t>Authority</w:t>
      </w:r>
      <w:r>
        <w:rPr>
          <w:rFonts w:ascii="Arial" w:cs="Arial" w:eastAsia="Arial" w:hAnsi="Arial"/>
          <w:sz w:val="17"/>
          <w:szCs w:val="17"/>
          <w:color w:val="auto"/>
        </w:rPr>
        <w:t>”) responsible for the imposition of any such tax (domestic or foreign), and any liability for any of the foregoing as transferee, (ii) liability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any amount of the type described in clause (i) 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 w:name="page22"/>
    <w:bookmarkEnd w:id="21"/>
    <w:p>
      <w:pPr>
        <w:ind w:right="400"/>
        <w:spacing w:after="0" w:line="308" w:lineRule="auto"/>
        <w:rPr>
          <w:sz w:val="20"/>
          <w:szCs w:val="20"/>
          <w:color w:val="auto"/>
        </w:rPr>
      </w:pPr>
      <w:r>
        <w:rPr>
          <w:rFonts w:ascii="Arial" w:cs="Arial" w:eastAsia="Arial" w:hAnsi="Arial"/>
          <w:sz w:val="17"/>
          <w:szCs w:val="17"/>
          <w:color w:val="auto"/>
        </w:rPr>
        <w:t>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Representation Letters</w:t>
      </w:r>
      <w:r>
        <w:rPr>
          <w:rFonts w:ascii="Arial" w:cs="Arial" w:eastAsia="Arial" w:hAnsi="Arial"/>
          <w:sz w:val="16"/>
          <w:szCs w:val="16"/>
          <w:color w:val="auto"/>
        </w:rPr>
        <w:t>” means the letters delivered to Davis Polk &amp; Wardwell LLP, tax counsel to Parent, and Paul, Weiss, Rifkind, Wharton</w:t>
      </w:r>
    </w:p>
    <w:p>
      <w:pPr>
        <w:spacing w:after="0" w:line="50" w:lineRule="exact"/>
        <w:rPr>
          <w:sz w:val="20"/>
          <w:szCs w:val="20"/>
          <w:color w:val="auto"/>
        </w:rPr>
      </w:pPr>
    </w:p>
    <w:p>
      <w:pPr>
        <w:ind w:right="100" w:firstLine="8"/>
        <w:spacing w:after="0" w:line="25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213" w:lineRule="exact"/>
        <w:rPr>
          <w:sz w:val="20"/>
          <w:szCs w:val="20"/>
          <w:color w:val="auto"/>
        </w:rPr>
      </w:pPr>
    </w:p>
    <w:p>
      <w:pPr>
        <w:ind w:right="2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85"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Sharing Agreements</w:t>
      </w:r>
      <w:r>
        <w:rPr>
          <w:rFonts w:ascii="Arial" w:cs="Arial" w:eastAsia="Arial" w:hAnsi="Arial"/>
          <w:sz w:val="18"/>
          <w:szCs w:val="18"/>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including as defined in Section 13(d) of the 1934 Act, other than Parent or any of its Affiliates.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regulations promulgated under the Code.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ind w:left="1300"/>
              <w:spacing w:after="0"/>
              <w:rPr>
                <w:sz w:val="20"/>
                <w:szCs w:val="20"/>
                <w:color w:val="auto"/>
              </w:rPr>
            </w:pPr>
            <w:r>
              <w:rPr>
                <w:rFonts w:ascii="Arial" w:cs="Arial" w:eastAsia="Arial" w:hAnsi="Arial"/>
                <w:sz w:val="18"/>
                <w:szCs w:val="18"/>
                <w:color w:val="auto"/>
              </w:rPr>
              <w:t>(b)</w:t>
            </w:r>
          </w:p>
        </w:tc>
        <w:tc>
          <w:tcPr>
            <w:tcW w:w="9600" w:type="dxa"/>
            <w:vAlign w:val="bottom"/>
          </w:tcPr>
          <w:p>
            <w:pPr>
              <w:ind w:left="120"/>
              <w:spacing w:after="0"/>
              <w:rPr>
                <w:sz w:val="20"/>
                <w:szCs w:val="20"/>
                <w:color w:val="auto"/>
              </w:rPr>
            </w:pPr>
            <w:r>
              <w:rPr>
                <w:rFonts w:ascii="Arial" w:cs="Arial" w:eastAsia="Arial" w:hAnsi="Arial"/>
                <w:sz w:val="18"/>
                <w:szCs w:val="18"/>
                <w:color w:val="auto"/>
              </w:rPr>
              <w:t>Each of the following terms is defined in the Section set forth opposite such term:</w:t>
            </w:r>
          </w:p>
        </w:tc>
      </w:tr>
      <w:tr>
        <w:trPr>
          <w:trHeight w:val="479"/>
        </w:trPr>
        <w:tc>
          <w:tcPr>
            <w:tcW w:w="1820" w:type="dxa"/>
            <w:vAlign w:val="bottom"/>
          </w:tcPr>
          <w:p>
            <w:pPr>
              <w:ind w:left="20"/>
              <w:spacing w:after="0"/>
              <w:rPr>
                <w:sz w:val="20"/>
                <w:szCs w:val="20"/>
                <w:color w:val="auto"/>
              </w:rPr>
            </w:pPr>
            <w:r>
              <w:rPr>
                <w:rFonts w:ascii="Arial" w:cs="Arial" w:eastAsia="Arial" w:hAnsi="Arial"/>
                <w:sz w:val="18"/>
                <w:szCs w:val="18"/>
                <w:color w:val="auto"/>
              </w:rPr>
              <w:t>Term</w:t>
            </w:r>
          </w:p>
        </w:tc>
        <w:tc>
          <w:tcPr>
            <w:tcW w:w="9600" w:type="dxa"/>
            <w:vAlign w:val="bottom"/>
          </w:tcPr>
          <w:p>
            <w:pPr>
              <w:ind w:left="7340"/>
              <w:spacing w:after="0"/>
              <w:rPr>
                <w:sz w:val="20"/>
                <w:szCs w:val="20"/>
                <w:color w:val="auto"/>
              </w:rPr>
            </w:pPr>
            <w:r>
              <w:rPr>
                <w:rFonts w:ascii="Arial" w:cs="Arial" w:eastAsia="Arial" w:hAnsi="Arial"/>
                <w:sz w:val="18"/>
                <w:szCs w:val="18"/>
                <w:color w:val="auto"/>
              </w:rPr>
              <w:t>Section</w:t>
            </w:r>
          </w:p>
        </w:tc>
      </w:tr>
      <w:tr>
        <w:trPr>
          <w:trHeight w:val="250"/>
        </w:trPr>
        <w:tc>
          <w:tcPr>
            <w:tcW w:w="1820" w:type="dxa"/>
            <w:vAlign w:val="bottom"/>
            <w:shd w:val="clear" w:color="auto" w:fill="D5EAEA"/>
          </w:tcPr>
          <w:p>
            <w:pPr>
              <w:ind w:left="20"/>
              <w:spacing w:after="0"/>
              <w:rPr>
                <w:sz w:val="20"/>
                <w:szCs w:val="20"/>
                <w:color w:val="auto"/>
              </w:rPr>
            </w:pPr>
            <w:r>
              <w:rPr>
                <w:rFonts w:ascii="Arial" w:cs="Arial" w:eastAsia="Arial" w:hAnsi="Arial"/>
                <w:sz w:val="18"/>
                <w:szCs w:val="18"/>
                <w:color w:val="auto"/>
              </w:rPr>
              <w:t>368 Reorganization</w:t>
            </w:r>
          </w:p>
        </w:tc>
        <w:tc>
          <w:tcPr>
            <w:tcW w:w="9600" w:type="dxa"/>
            <w:vAlign w:val="bottom"/>
            <w:shd w:val="clear" w:color="auto" w:fill="D5EAEA"/>
          </w:tcPr>
          <w:p>
            <w:pPr>
              <w:ind w:left="7340"/>
              <w:spacing w:after="0"/>
              <w:rPr>
                <w:sz w:val="20"/>
                <w:szCs w:val="20"/>
                <w:color w:val="auto"/>
              </w:rPr>
            </w:pPr>
            <w:r>
              <w:rPr>
                <w:rFonts w:ascii="Arial" w:cs="Arial" w:eastAsia="Arial" w:hAnsi="Arial"/>
                <w:sz w:val="18"/>
                <w:szCs w:val="18"/>
                <w:color w:val="auto"/>
              </w:rPr>
              <w:t>4.22</w:t>
            </w: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color w:val="auto"/>
              </w:rPr>
              <w:t>Adjusted Option</w:t>
            </w:r>
          </w:p>
        </w:tc>
        <w:tc>
          <w:tcPr>
            <w:tcW w:w="9600" w:type="dxa"/>
            <w:vAlign w:val="bottom"/>
          </w:tcPr>
          <w:p>
            <w:pPr>
              <w:ind w:left="7340"/>
              <w:spacing w:after="0"/>
              <w:rPr>
                <w:sz w:val="20"/>
                <w:szCs w:val="20"/>
                <w:color w:val="auto"/>
              </w:rPr>
            </w:pPr>
            <w:r>
              <w:rPr>
                <w:rFonts w:ascii="Arial" w:cs="Arial" w:eastAsia="Arial" w:hAnsi="Arial"/>
                <w:sz w:val="18"/>
                <w:szCs w:val="18"/>
                <w:color w:val="auto"/>
              </w:rPr>
              <w:t>2.04(a)</w:t>
            </w:r>
          </w:p>
        </w:tc>
      </w:tr>
      <w:tr>
        <w:trPr>
          <w:trHeight w:val="249"/>
        </w:trPr>
        <w:tc>
          <w:tcPr>
            <w:tcW w:w="1820" w:type="dxa"/>
            <w:vAlign w:val="bottom"/>
            <w:shd w:val="clear" w:color="auto" w:fill="D5EAEA"/>
          </w:tcPr>
          <w:p>
            <w:pPr>
              <w:ind w:left="20"/>
              <w:spacing w:after="0"/>
              <w:rPr>
                <w:sz w:val="20"/>
                <w:szCs w:val="20"/>
                <w:color w:val="auto"/>
              </w:rPr>
            </w:pPr>
            <w:r>
              <w:rPr>
                <w:rFonts w:ascii="Arial" w:cs="Arial" w:eastAsia="Arial" w:hAnsi="Arial"/>
                <w:sz w:val="18"/>
                <w:szCs w:val="18"/>
                <w:color w:val="auto"/>
              </w:rPr>
              <w:t>Adjusted RSU</w:t>
            </w:r>
          </w:p>
        </w:tc>
        <w:tc>
          <w:tcPr>
            <w:tcW w:w="9600" w:type="dxa"/>
            <w:vAlign w:val="bottom"/>
            <w:shd w:val="clear" w:color="auto" w:fill="D5EAEA"/>
          </w:tcPr>
          <w:p>
            <w:pPr>
              <w:ind w:left="7340"/>
              <w:spacing w:after="0"/>
              <w:rPr>
                <w:sz w:val="20"/>
                <w:szCs w:val="20"/>
                <w:color w:val="auto"/>
              </w:rPr>
            </w:pPr>
            <w:r>
              <w:rPr>
                <w:rFonts w:ascii="Arial" w:cs="Arial" w:eastAsia="Arial" w:hAnsi="Arial"/>
                <w:sz w:val="18"/>
                <w:szCs w:val="18"/>
                <w:color w:val="auto"/>
              </w:rPr>
              <w:t>2.04(b)</w:t>
            </w: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color w:val="auto"/>
              </w:rPr>
              <w:t>Agreement</w:t>
            </w:r>
          </w:p>
        </w:tc>
        <w:tc>
          <w:tcPr>
            <w:tcW w:w="9600" w:type="dxa"/>
            <w:vAlign w:val="bottom"/>
          </w:tcPr>
          <w:p>
            <w:pPr>
              <w:ind w:left="7340"/>
              <w:spacing w:after="0"/>
              <w:rPr>
                <w:sz w:val="20"/>
                <w:szCs w:val="20"/>
                <w:color w:val="auto"/>
              </w:rPr>
            </w:pPr>
            <w:r>
              <w:rPr>
                <w:rFonts w:ascii="Arial" w:cs="Arial" w:eastAsia="Arial" w:hAnsi="Arial"/>
                <w:sz w:val="18"/>
                <w:szCs w:val="18"/>
                <w:color w:val="auto"/>
              </w:rPr>
              <w:t>Preamble</w:t>
            </w:r>
          </w:p>
        </w:tc>
      </w:tr>
      <w:tr>
        <w:trPr>
          <w:trHeight w:val="249"/>
        </w:trPr>
        <w:tc>
          <w:tcPr>
            <w:tcW w:w="1820" w:type="dxa"/>
            <w:vAlign w:val="bottom"/>
            <w:shd w:val="clear" w:color="auto" w:fill="D5EAEA"/>
          </w:tcPr>
          <w:p>
            <w:pPr>
              <w:ind w:left="20"/>
              <w:spacing w:after="0"/>
              <w:rPr>
                <w:sz w:val="20"/>
                <w:szCs w:val="20"/>
                <w:color w:val="auto"/>
              </w:rPr>
            </w:pPr>
            <w:r>
              <w:rPr>
                <w:rFonts w:ascii="Arial" w:cs="Arial" w:eastAsia="Arial" w:hAnsi="Arial"/>
                <w:sz w:val="18"/>
                <w:szCs w:val="18"/>
                <w:color w:val="auto"/>
                <w:w w:val="97"/>
              </w:rPr>
              <w:t>Burdensome Condition</w:t>
            </w:r>
          </w:p>
        </w:tc>
        <w:tc>
          <w:tcPr>
            <w:tcW w:w="9600" w:type="dxa"/>
            <w:vAlign w:val="bottom"/>
            <w:shd w:val="clear" w:color="auto" w:fill="D5EAEA"/>
          </w:tcPr>
          <w:p>
            <w:pPr>
              <w:ind w:left="7340"/>
              <w:spacing w:after="0"/>
              <w:rPr>
                <w:sz w:val="20"/>
                <w:szCs w:val="20"/>
                <w:color w:val="auto"/>
              </w:rPr>
            </w:pPr>
            <w:r>
              <w:rPr>
                <w:rFonts w:ascii="Arial" w:cs="Arial" w:eastAsia="Arial" w:hAnsi="Arial"/>
                <w:sz w:val="18"/>
                <w:szCs w:val="18"/>
                <w:color w:val="auto"/>
              </w:rPr>
              <w:t>8.01</w:t>
            </w: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9600" w:type="dxa"/>
            <w:vAlign w:val="bottom"/>
          </w:tcPr>
          <w:p>
            <w:pPr>
              <w:ind w:left="7340"/>
              <w:spacing w:after="0"/>
              <w:rPr>
                <w:sz w:val="20"/>
                <w:szCs w:val="20"/>
                <w:color w:val="auto"/>
              </w:rPr>
            </w:pPr>
            <w:r>
              <w:rPr>
                <w:rFonts w:ascii="Arial" w:cs="Arial" w:eastAsia="Arial" w:hAnsi="Arial"/>
                <w:sz w:val="18"/>
                <w:szCs w:val="18"/>
                <w:color w:val="auto"/>
              </w:rPr>
              <w:t>2.03</w:t>
            </w:r>
          </w:p>
        </w:tc>
      </w:tr>
      <w:tr>
        <w:trPr>
          <w:trHeight w:val="620"/>
        </w:trPr>
        <w:tc>
          <w:tcPr>
            <w:tcW w:w="1820" w:type="dxa"/>
            <w:vAlign w:val="bottom"/>
          </w:tcPr>
          <w:p>
            <w:pPr>
              <w:spacing w:after="0"/>
              <w:rPr>
                <w:sz w:val="24"/>
                <w:szCs w:val="24"/>
                <w:color w:val="auto"/>
              </w:rPr>
            </w:pPr>
          </w:p>
        </w:tc>
        <w:tc>
          <w:tcPr>
            <w:tcW w:w="9600" w:type="dxa"/>
            <w:vAlign w:val="bottom"/>
          </w:tcPr>
          <w:p>
            <w:pPr>
              <w:ind w:left="3800"/>
              <w:spacing w:after="0"/>
              <w:rPr>
                <w:sz w:val="20"/>
                <w:szCs w:val="20"/>
                <w:color w:val="auto"/>
              </w:rPr>
            </w:pPr>
            <w:r>
              <w:rPr>
                <w:rFonts w:ascii="Arial" w:cs="Arial" w:eastAsia="Arial" w:hAnsi="Arial"/>
                <w:sz w:val="18"/>
                <w:szCs w:val="18"/>
                <w:color w:val="auto"/>
              </w:rPr>
              <w:t>10</w:t>
            </w:r>
          </w:p>
        </w:tc>
      </w:tr>
      <w:tr>
        <w:trPr>
          <w:trHeight w:val="118"/>
        </w:trPr>
        <w:tc>
          <w:tcPr>
            <w:tcW w:w="1820" w:type="dxa"/>
            <w:vAlign w:val="bottom"/>
            <w:tcBorders>
              <w:bottom w:val="single" w:sz="8" w:color="808080"/>
            </w:tcBorders>
          </w:tcPr>
          <w:p>
            <w:pPr>
              <w:spacing w:after="0"/>
              <w:rPr>
                <w:sz w:val="10"/>
                <w:szCs w:val="10"/>
                <w:color w:val="auto"/>
              </w:rPr>
            </w:pPr>
          </w:p>
        </w:tc>
        <w:tc>
          <w:tcPr>
            <w:tcW w:w="9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Closing</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2.01(b)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w:t>
            </w:r>
          </w:p>
        </w:tc>
        <w:tc>
          <w:tcPr>
            <w:tcW w:w="7340" w:type="dxa"/>
            <w:vAlign w:val="bottom"/>
          </w:tcPr>
          <w:p>
            <w:pPr>
              <w:ind w:left="5080"/>
              <w:spacing w:after="0"/>
              <w:rPr>
                <w:sz w:val="20"/>
                <w:szCs w:val="20"/>
                <w:color w:val="auto"/>
              </w:rPr>
            </w:pPr>
            <w:r>
              <w:rPr>
                <w:rFonts w:ascii="Arial" w:cs="Arial" w:eastAsia="Arial" w:hAnsi="Arial"/>
                <w:sz w:val="18"/>
                <w:szCs w:val="18"/>
                <w:color w:val="auto"/>
              </w:rPr>
              <w:t>Preamble</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Board Recommendation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4.02(b)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International Plan</w:t>
            </w:r>
          </w:p>
        </w:tc>
        <w:tc>
          <w:tcPr>
            <w:tcW w:w="7340" w:type="dxa"/>
            <w:vAlign w:val="bottom"/>
          </w:tcPr>
          <w:p>
            <w:pPr>
              <w:ind w:left="5080"/>
              <w:spacing w:after="0"/>
              <w:rPr>
                <w:sz w:val="20"/>
                <w:szCs w:val="20"/>
                <w:color w:val="auto"/>
              </w:rPr>
            </w:pPr>
            <w:r>
              <w:rPr>
                <w:rFonts w:ascii="Arial" w:cs="Arial" w:eastAsia="Arial" w:hAnsi="Arial"/>
                <w:sz w:val="18"/>
                <w:szCs w:val="18"/>
                <w:color w:val="auto"/>
              </w:rPr>
              <w:t>4.17(i)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Investment</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4.06(c)</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Material Contract</w:t>
            </w:r>
          </w:p>
        </w:tc>
        <w:tc>
          <w:tcPr>
            <w:tcW w:w="7340" w:type="dxa"/>
            <w:vAlign w:val="bottom"/>
          </w:tcPr>
          <w:p>
            <w:pPr>
              <w:ind w:left="5080"/>
              <w:spacing w:after="0"/>
              <w:rPr>
                <w:sz w:val="20"/>
                <w:szCs w:val="20"/>
                <w:color w:val="auto"/>
              </w:rPr>
            </w:pPr>
            <w:r>
              <w:rPr>
                <w:rFonts w:ascii="Arial" w:cs="Arial" w:eastAsia="Arial" w:hAnsi="Arial"/>
                <w:sz w:val="18"/>
                <w:szCs w:val="18"/>
                <w:color w:val="auto"/>
              </w:rPr>
              <w:t>10.01(b)(i)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Plans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4.17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RSU</w:t>
            </w:r>
          </w:p>
        </w:tc>
        <w:tc>
          <w:tcPr>
            <w:tcW w:w="7340" w:type="dxa"/>
            <w:vAlign w:val="bottom"/>
          </w:tcPr>
          <w:p>
            <w:pPr>
              <w:ind w:left="5080"/>
              <w:spacing w:after="0"/>
              <w:rPr>
                <w:sz w:val="20"/>
                <w:szCs w:val="20"/>
                <w:color w:val="auto"/>
              </w:rPr>
            </w:pPr>
            <w:r>
              <w:rPr>
                <w:rFonts w:ascii="Arial" w:cs="Arial" w:eastAsia="Arial" w:hAnsi="Arial"/>
                <w:sz w:val="18"/>
                <w:szCs w:val="18"/>
                <w:color w:val="auto"/>
              </w:rPr>
              <w:t>2.04(b)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SEC Documents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Securities</w:t>
            </w:r>
          </w:p>
        </w:tc>
        <w:tc>
          <w:tcPr>
            <w:tcW w:w="7340" w:type="dxa"/>
            <w:vAlign w:val="bottom"/>
          </w:tcPr>
          <w:p>
            <w:pPr>
              <w:ind w:left="5080"/>
              <w:spacing w:after="0"/>
              <w:rPr>
                <w:sz w:val="20"/>
                <w:szCs w:val="20"/>
                <w:color w:val="auto"/>
              </w:rPr>
            </w:pPr>
            <w:r>
              <w:rPr>
                <w:rFonts w:ascii="Arial" w:cs="Arial" w:eastAsia="Arial" w:hAnsi="Arial"/>
                <w:sz w:val="18"/>
                <w:szCs w:val="18"/>
                <w:color w:val="auto"/>
              </w:rPr>
              <w:t>4.05(b)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Stock Option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Stockholder Approval</w:t>
            </w:r>
          </w:p>
        </w:tc>
        <w:tc>
          <w:tcPr>
            <w:tcW w:w="7340" w:type="dxa"/>
            <w:vAlign w:val="bottom"/>
          </w:tcPr>
          <w:p>
            <w:pPr>
              <w:ind w:left="5080"/>
              <w:spacing w:after="0"/>
              <w:rPr>
                <w:sz w:val="20"/>
                <w:szCs w:val="20"/>
                <w:color w:val="auto"/>
              </w:rPr>
            </w:pPr>
            <w:r>
              <w:rPr>
                <w:rFonts w:ascii="Arial" w:cs="Arial" w:eastAsia="Arial" w:hAnsi="Arial"/>
                <w:sz w:val="18"/>
                <w:szCs w:val="18"/>
                <w:color w:val="auto"/>
              </w:rPr>
              <w:t>4.02</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Stockholder Meeting</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6.02</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Company Subsidiary Securities</w:t>
            </w:r>
          </w:p>
        </w:tc>
        <w:tc>
          <w:tcPr>
            <w:tcW w:w="7340" w:type="dxa"/>
            <w:vAlign w:val="bottom"/>
          </w:tcPr>
          <w:p>
            <w:pPr>
              <w:ind w:left="5080"/>
              <w:spacing w:after="0"/>
              <w:rPr>
                <w:sz w:val="20"/>
                <w:szCs w:val="20"/>
                <w:color w:val="auto"/>
              </w:rPr>
            </w:pPr>
            <w:r>
              <w:rPr>
                <w:rFonts w:ascii="Arial" w:cs="Arial" w:eastAsia="Arial" w:hAnsi="Arial"/>
                <w:sz w:val="18"/>
                <w:szCs w:val="18"/>
                <w:color w:val="auto"/>
              </w:rPr>
              <w:t>4.06(b)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Company Superior Proposal</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6.03(e)</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Confidentiality Agreement</w:t>
            </w:r>
          </w:p>
        </w:tc>
        <w:tc>
          <w:tcPr>
            <w:tcW w:w="7340" w:type="dxa"/>
            <w:vAlign w:val="bottom"/>
          </w:tcPr>
          <w:p>
            <w:pPr>
              <w:ind w:left="5080"/>
              <w:spacing w:after="0"/>
              <w:rPr>
                <w:sz w:val="20"/>
                <w:szCs w:val="20"/>
                <w:color w:val="auto"/>
              </w:rPr>
            </w:pPr>
            <w:r>
              <w:rPr>
                <w:rFonts w:ascii="Arial" w:cs="Arial" w:eastAsia="Arial" w:hAnsi="Arial"/>
                <w:sz w:val="18"/>
                <w:szCs w:val="18"/>
                <w:color w:val="auto"/>
              </w:rPr>
              <w:t>6.03(b)(i)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Continuing Employee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7.09</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D&amp;O Insurance</w:t>
            </w:r>
          </w:p>
        </w:tc>
        <w:tc>
          <w:tcPr>
            <w:tcW w:w="7340" w:type="dxa"/>
            <w:vAlign w:val="bottom"/>
          </w:tcPr>
          <w:p>
            <w:pPr>
              <w:ind w:left="5080"/>
              <w:spacing w:after="0"/>
              <w:rPr>
                <w:sz w:val="20"/>
                <w:szCs w:val="20"/>
                <w:color w:val="auto"/>
              </w:rPr>
            </w:pPr>
            <w:r>
              <w:rPr>
                <w:rFonts w:ascii="Arial" w:cs="Arial" w:eastAsia="Arial" w:hAnsi="Arial"/>
                <w:sz w:val="18"/>
                <w:szCs w:val="18"/>
                <w:color w:val="auto"/>
              </w:rPr>
              <w:t>7.07(c)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Director</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2.04(c)</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Director RSU</w:t>
            </w:r>
          </w:p>
        </w:tc>
        <w:tc>
          <w:tcPr>
            <w:tcW w:w="7340" w:type="dxa"/>
            <w:vAlign w:val="bottom"/>
          </w:tcPr>
          <w:p>
            <w:pPr>
              <w:ind w:left="5080"/>
              <w:spacing w:after="0"/>
              <w:rPr>
                <w:sz w:val="20"/>
                <w:szCs w:val="20"/>
                <w:color w:val="auto"/>
              </w:rPr>
            </w:pPr>
            <w:r>
              <w:rPr>
                <w:rFonts w:ascii="Arial" w:cs="Arial" w:eastAsia="Arial" w:hAnsi="Arial"/>
                <w:sz w:val="18"/>
                <w:szCs w:val="18"/>
                <w:color w:val="auto"/>
              </w:rPr>
              <w:t>2.04(c)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Effective Time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2.01(c)</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End Date</w:t>
            </w:r>
          </w:p>
        </w:tc>
        <w:tc>
          <w:tcPr>
            <w:tcW w:w="7340" w:type="dxa"/>
            <w:vAlign w:val="bottom"/>
          </w:tcPr>
          <w:p>
            <w:pPr>
              <w:ind w:left="5080"/>
              <w:spacing w:after="0"/>
              <w:rPr>
                <w:sz w:val="20"/>
                <w:szCs w:val="20"/>
                <w:color w:val="auto"/>
              </w:rPr>
            </w:pPr>
            <w:r>
              <w:rPr>
                <w:rFonts w:ascii="Arial" w:cs="Arial" w:eastAsia="Arial" w:hAnsi="Arial"/>
                <w:sz w:val="18"/>
                <w:szCs w:val="18"/>
                <w:color w:val="auto"/>
              </w:rPr>
              <w:t>10.01(b)(i)</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Exchange Agent</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Exchange Ratio</w:t>
            </w:r>
          </w:p>
        </w:tc>
        <w:tc>
          <w:tcPr>
            <w:tcW w:w="7340" w:type="dxa"/>
            <w:vAlign w:val="bottom"/>
          </w:tcPr>
          <w:p>
            <w:pPr>
              <w:ind w:left="5080"/>
              <w:spacing w:after="0"/>
              <w:rPr>
                <w:sz w:val="20"/>
                <w:szCs w:val="20"/>
                <w:color w:val="auto"/>
              </w:rPr>
            </w:pPr>
            <w:r>
              <w:rPr>
                <w:rFonts w:ascii="Arial" w:cs="Arial" w:eastAsia="Arial" w:hAnsi="Arial"/>
                <w:sz w:val="18"/>
                <w:szCs w:val="18"/>
                <w:color w:val="auto"/>
              </w:rPr>
              <w:t>2.02(a)</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Former Employee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2.04(d)</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Former Employee Option</w:t>
            </w:r>
          </w:p>
        </w:tc>
        <w:tc>
          <w:tcPr>
            <w:tcW w:w="7340" w:type="dxa"/>
            <w:vAlign w:val="bottom"/>
          </w:tcPr>
          <w:p>
            <w:pPr>
              <w:ind w:left="5080"/>
              <w:spacing w:after="0"/>
              <w:rPr>
                <w:sz w:val="20"/>
                <w:szCs w:val="20"/>
                <w:color w:val="auto"/>
              </w:rPr>
            </w:pPr>
            <w:r>
              <w:rPr>
                <w:rFonts w:ascii="Arial" w:cs="Arial" w:eastAsia="Arial" w:hAnsi="Arial"/>
                <w:sz w:val="18"/>
                <w:szCs w:val="18"/>
                <w:color w:val="auto"/>
              </w:rPr>
              <w:t>2.04(d)</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Former Employee RSU</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2.04(d)(ii)</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Indemnified Person</w:t>
            </w:r>
          </w:p>
        </w:tc>
        <w:tc>
          <w:tcPr>
            <w:tcW w:w="7340" w:type="dxa"/>
            <w:vAlign w:val="bottom"/>
          </w:tcPr>
          <w:p>
            <w:pPr>
              <w:ind w:left="5080"/>
              <w:spacing w:after="0"/>
              <w:rPr>
                <w:sz w:val="20"/>
                <w:szCs w:val="20"/>
                <w:color w:val="auto"/>
              </w:rPr>
            </w:pPr>
            <w:r>
              <w:rPr>
                <w:rFonts w:ascii="Arial" w:cs="Arial" w:eastAsia="Arial" w:hAnsi="Arial"/>
                <w:sz w:val="18"/>
                <w:szCs w:val="18"/>
                <w:color w:val="auto"/>
              </w:rPr>
              <w:t>7.07</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internal controls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4.07(f)</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Joint Proxy Statement/Prospectus</w:t>
            </w:r>
          </w:p>
        </w:tc>
        <w:tc>
          <w:tcPr>
            <w:tcW w:w="7340" w:type="dxa"/>
            <w:vAlign w:val="bottom"/>
          </w:tcPr>
          <w:p>
            <w:pPr>
              <w:ind w:left="5080"/>
              <w:spacing w:after="0"/>
              <w:rPr>
                <w:sz w:val="20"/>
                <w:szCs w:val="20"/>
                <w:color w:val="auto"/>
              </w:rPr>
            </w:pPr>
            <w:r>
              <w:rPr>
                <w:rFonts w:ascii="Arial" w:cs="Arial" w:eastAsia="Arial" w:hAnsi="Arial"/>
                <w:sz w:val="18"/>
                <w:szCs w:val="18"/>
                <w:color w:val="auto"/>
              </w:rPr>
              <w:t>4.09</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Lease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4.14(b)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Merger</w:t>
            </w:r>
          </w:p>
        </w:tc>
        <w:tc>
          <w:tcPr>
            <w:tcW w:w="7340" w:type="dxa"/>
            <w:vAlign w:val="bottom"/>
          </w:tcPr>
          <w:p>
            <w:pPr>
              <w:ind w:left="5080"/>
              <w:spacing w:after="0"/>
              <w:rPr>
                <w:sz w:val="20"/>
                <w:szCs w:val="20"/>
                <w:color w:val="auto"/>
              </w:rPr>
            </w:pPr>
            <w:r>
              <w:rPr>
                <w:rFonts w:ascii="Arial" w:cs="Arial" w:eastAsia="Arial" w:hAnsi="Arial"/>
                <w:sz w:val="18"/>
                <w:szCs w:val="18"/>
                <w:color w:val="auto"/>
              </w:rPr>
              <w:t>2.01</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Merger Communication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8.03(b)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Merger Consideration</w:t>
            </w:r>
          </w:p>
        </w:tc>
        <w:tc>
          <w:tcPr>
            <w:tcW w:w="7340" w:type="dxa"/>
            <w:vAlign w:val="bottom"/>
          </w:tcPr>
          <w:p>
            <w:pPr>
              <w:ind w:left="5080"/>
              <w:spacing w:after="0"/>
              <w:rPr>
                <w:sz w:val="20"/>
                <w:szCs w:val="20"/>
                <w:color w:val="auto"/>
              </w:rPr>
            </w:pPr>
            <w:r>
              <w:rPr>
                <w:rFonts w:ascii="Arial" w:cs="Arial" w:eastAsia="Arial" w:hAnsi="Arial"/>
                <w:sz w:val="18"/>
                <w:szCs w:val="18"/>
                <w:color w:val="auto"/>
              </w:rPr>
              <w:t>2.02(a)</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Merger Subsidiary</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Preamble</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Multiemployer Plan</w:t>
            </w:r>
          </w:p>
        </w:tc>
        <w:tc>
          <w:tcPr>
            <w:tcW w:w="7340" w:type="dxa"/>
            <w:vAlign w:val="bottom"/>
          </w:tcPr>
          <w:p>
            <w:pPr>
              <w:ind w:left="5080"/>
              <w:spacing w:after="0"/>
              <w:rPr>
                <w:sz w:val="20"/>
                <w:szCs w:val="20"/>
                <w:color w:val="auto"/>
              </w:rPr>
            </w:pPr>
            <w:r>
              <w:rPr>
                <w:rFonts w:ascii="Arial" w:cs="Arial" w:eastAsia="Arial" w:hAnsi="Arial"/>
                <w:sz w:val="18"/>
                <w:szCs w:val="18"/>
                <w:color w:val="auto"/>
              </w:rPr>
              <w:t>4.17(c)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Notional Adjusted Option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2.04(d)</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Notional Adjusted RSU</w:t>
            </w:r>
          </w:p>
        </w:tc>
        <w:tc>
          <w:tcPr>
            <w:tcW w:w="7340" w:type="dxa"/>
            <w:vAlign w:val="bottom"/>
          </w:tcPr>
          <w:p>
            <w:pPr>
              <w:ind w:left="5080"/>
              <w:spacing w:after="0"/>
              <w:rPr>
                <w:sz w:val="20"/>
                <w:szCs w:val="20"/>
                <w:color w:val="auto"/>
              </w:rPr>
            </w:pPr>
            <w:r>
              <w:rPr>
                <w:rFonts w:ascii="Arial" w:cs="Arial" w:eastAsia="Arial" w:hAnsi="Arial"/>
                <w:sz w:val="18"/>
                <w:szCs w:val="18"/>
                <w:color w:val="auto"/>
              </w:rPr>
              <w:t>2.04(c)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NYSE</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4.03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Parent</w:t>
            </w:r>
          </w:p>
        </w:tc>
        <w:tc>
          <w:tcPr>
            <w:tcW w:w="7340" w:type="dxa"/>
            <w:vAlign w:val="bottom"/>
          </w:tcPr>
          <w:p>
            <w:pPr>
              <w:ind w:left="5080"/>
              <w:spacing w:after="0"/>
              <w:rPr>
                <w:sz w:val="20"/>
                <w:szCs w:val="20"/>
                <w:color w:val="auto"/>
              </w:rPr>
            </w:pPr>
            <w:r>
              <w:rPr>
                <w:rFonts w:ascii="Arial" w:cs="Arial" w:eastAsia="Arial" w:hAnsi="Arial"/>
                <w:sz w:val="18"/>
                <w:szCs w:val="18"/>
                <w:color w:val="auto"/>
              </w:rPr>
              <w:t>Preamble</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Board Recommendation</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5.02(b)</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Parent Plans</w:t>
            </w:r>
          </w:p>
        </w:tc>
        <w:tc>
          <w:tcPr>
            <w:tcW w:w="7340" w:type="dxa"/>
            <w:vAlign w:val="bottom"/>
          </w:tcPr>
          <w:p>
            <w:pPr>
              <w:ind w:left="5080"/>
              <w:spacing w:after="0"/>
              <w:rPr>
                <w:sz w:val="20"/>
                <w:szCs w:val="20"/>
                <w:color w:val="auto"/>
              </w:rPr>
            </w:pPr>
            <w:r>
              <w:rPr>
                <w:rFonts w:ascii="Arial" w:cs="Arial" w:eastAsia="Arial" w:hAnsi="Arial"/>
                <w:sz w:val="18"/>
                <w:szCs w:val="18"/>
                <w:color w:val="auto"/>
              </w:rPr>
              <w:t>7.09(c)</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SEC Documents</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5.07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Parent Securities</w:t>
            </w:r>
          </w:p>
        </w:tc>
        <w:tc>
          <w:tcPr>
            <w:tcW w:w="7340" w:type="dxa"/>
            <w:vAlign w:val="bottom"/>
          </w:tcPr>
          <w:p>
            <w:pPr>
              <w:ind w:left="5080"/>
              <w:spacing w:after="0"/>
              <w:rPr>
                <w:sz w:val="20"/>
                <w:szCs w:val="20"/>
                <w:color w:val="auto"/>
              </w:rPr>
            </w:pPr>
            <w:r>
              <w:rPr>
                <w:rFonts w:ascii="Arial" w:cs="Arial" w:eastAsia="Arial" w:hAnsi="Arial"/>
                <w:sz w:val="18"/>
                <w:szCs w:val="18"/>
                <w:color w:val="auto"/>
              </w:rPr>
              <w:t>5.05(b)</w:t>
            </w:r>
          </w:p>
        </w:tc>
      </w:tr>
      <w:tr>
        <w:trPr>
          <w:trHeight w:val="249"/>
        </w:trPr>
        <w:tc>
          <w:tcPr>
            <w:tcW w:w="408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Shareholder Approval</w:t>
            </w:r>
          </w:p>
        </w:tc>
        <w:tc>
          <w:tcPr>
            <w:tcW w:w="7340" w:type="dxa"/>
            <w:vAlign w:val="bottom"/>
            <w:shd w:val="clear" w:color="auto" w:fill="D5EAEA"/>
          </w:tcPr>
          <w:p>
            <w:pPr>
              <w:ind w:left="5080"/>
              <w:spacing w:after="0"/>
              <w:rPr>
                <w:sz w:val="20"/>
                <w:szCs w:val="20"/>
                <w:color w:val="auto"/>
              </w:rPr>
            </w:pPr>
            <w:r>
              <w:rPr>
                <w:rFonts w:ascii="Arial" w:cs="Arial" w:eastAsia="Arial" w:hAnsi="Arial"/>
                <w:sz w:val="18"/>
                <w:szCs w:val="18"/>
                <w:color w:val="auto"/>
              </w:rPr>
              <w:t>5.02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Parent Shareholder Meeting</w:t>
            </w:r>
          </w:p>
        </w:tc>
        <w:tc>
          <w:tcPr>
            <w:tcW w:w="7340" w:type="dxa"/>
            <w:vAlign w:val="bottom"/>
          </w:tcPr>
          <w:p>
            <w:pPr>
              <w:ind w:left="5080"/>
              <w:spacing w:after="0"/>
              <w:rPr>
                <w:sz w:val="20"/>
                <w:szCs w:val="20"/>
                <w:color w:val="auto"/>
              </w:rPr>
            </w:pPr>
            <w:r>
              <w:rPr>
                <w:rFonts w:ascii="Arial" w:cs="Arial" w:eastAsia="Arial" w:hAnsi="Arial"/>
                <w:sz w:val="18"/>
                <w:szCs w:val="18"/>
                <w:color w:val="auto"/>
              </w:rPr>
              <w:t>7.03</w:t>
            </w:r>
          </w:p>
        </w:tc>
      </w:tr>
      <w:tr>
        <w:trPr>
          <w:trHeight w:val="620"/>
        </w:trPr>
        <w:tc>
          <w:tcPr>
            <w:tcW w:w="4080" w:type="dxa"/>
            <w:vAlign w:val="bottom"/>
          </w:tcPr>
          <w:p>
            <w:pPr>
              <w:spacing w:after="0"/>
              <w:rPr>
                <w:sz w:val="24"/>
                <w:szCs w:val="24"/>
                <w:color w:val="auto"/>
              </w:rPr>
            </w:pPr>
          </w:p>
        </w:tc>
        <w:tc>
          <w:tcPr>
            <w:tcW w:w="7340" w:type="dxa"/>
            <w:vAlign w:val="bottom"/>
          </w:tcPr>
          <w:p>
            <w:pPr>
              <w:ind w:left="1540"/>
              <w:spacing w:after="0"/>
              <w:rPr>
                <w:sz w:val="20"/>
                <w:szCs w:val="20"/>
                <w:color w:val="auto"/>
              </w:rPr>
            </w:pPr>
            <w:r>
              <w:rPr>
                <w:rFonts w:ascii="Arial" w:cs="Arial" w:eastAsia="Arial" w:hAnsi="Arial"/>
                <w:sz w:val="18"/>
                <w:szCs w:val="18"/>
                <w:color w:val="auto"/>
              </w:rPr>
              <w:t>11</w:t>
            </w:r>
          </w:p>
        </w:tc>
      </w:tr>
      <w:tr>
        <w:trPr>
          <w:trHeight w:val="118"/>
        </w:trPr>
        <w:tc>
          <w:tcPr>
            <w:tcW w:w="4080" w:type="dxa"/>
            <w:vAlign w:val="bottom"/>
            <w:tcBorders>
              <w:bottom w:val="single" w:sz="8" w:color="808080"/>
            </w:tcBorders>
          </w:tcPr>
          <w:p>
            <w:pPr>
              <w:spacing w:after="0"/>
              <w:rPr>
                <w:sz w:val="10"/>
                <w:szCs w:val="10"/>
                <w:color w:val="auto"/>
              </w:rPr>
            </w:pPr>
          </w:p>
        </w:tc>
        <w:tc>
          <w:tcPr>
            <w:tcW w:w="7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3"/>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Parent Stock Issuance</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7.03</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Principal Parent Stockholders</w:t>
            </w:r>
          </w:p>
        </w:tc>
        <w:tc>
          <w:tcPr>
            <w:tcW w:w="5500" w:type="dxa"/>
            <w:vAlign w:val="bottom"/>
          </w:tcPr>
          <w:p>
            <w:pPr>
              <w:ind w:left="3240"/>
              <w:spacing w:after="0"/>
              <w:rPr>
                <w:sz w:val="20"/>
                <w:szCs w:val="20"/>
                <w:color w:val="auto"/>
              </w:rPr>
            </w:pPr>
            <w:r>
              <w:rPr>
                <w:rFonts w:ascii="Arial" w:cs="Arial" w:eastAsia="Arial" w:hAnsi="Arial"/>
                <w:sz w:val="18"/>
                <w:szCs w:val="18"/>
                <w:color w:val="auto"/>
              </w:rPr>
              <w:t>Recitals</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Registration Statement</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4.09</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Representatives</w:t>
            </w:r>
          </w:p>
        </w:tc>
        <w:tc>
          <w:tcPr>
            <w:tcW w:w="5500" w:type="dxa"/>
            <w:vAlign w:val="bottom"/>
          </w:tcPr>
          <w:p>
            <w:pPr>
              <w:ind w:left="3240"/>
              <w:spacing w:after="0"/>
              <w:rPr>
                <w:sz w:val="20"/>
                <w:szCs w:val="20"/>
                <w:color w:val="auto"/>
              </w:rPr>
            </w:pPr>
            <w:r>
              <w:rPr>
                <w:rFonts w:ascii="Arial" w:cs="Arial" w:eastAsia="Arial" w:hAnsi="Arial"/>
                <w:sz w:val="18"/>
                <w:szCs w:val="18"/>
                <w:color w:val="auto"/>
              </w:rPr>
              <w:t>6.03</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Significant Subsidiary</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4.06</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Specified Company SEC Documents</w:t>
            </w:r>
          </w:p>
        </w:tc>
        <w:tc>
          <w:tcPr>
            <w:tcW w:w="5500" w:type="dxa"/>
            <w:vAlign w:val="bottom"/>
          </w:tcPr>
          <w:p>
            <w:pPr>
              <w:ind w:left="3240"/>
              <w:spacing w:after="0"/>
              <w:rPr>
                <w:sz w:val="20"/>
                <w:szCs w:val="20"/>
                <w:color w:val="auto"/>
              </w:rPr>
            </w:pPr>
            <w:r>
              <w:rPr>
                <w:rFonts w:ascii="Arial" w:cs="Arial" w:eastAsia="Arial" w:hAnsi="Arial"/>
                <w:sz w:val="18"/>
                <w:szCs w:val="18"/>
                <w:color w:val="auto"/>
              </w:rPr>
              <w:t>Article 4</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Specified Parent SEC Documents</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Article 5</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Surviving Corporation</w:t>
            </w:r>
          </w:p>
        </w:tc>
        <w:tc>
          <w:tcPr>
            <w:tcW w:w="5500" w:type="dxa"/>
            <w:vAlign w:val="bottom"/>
          </w:tcPr>
          <w:p>
            <w:pPr>
              <w:ind w:left="3240"/>
              <w:spacing w:after="0"/>
              <w:rPr>
                <w:sz w:val="20"/>
                <w:szCs w:val="20"/>
                <w:color w:val="auto"/>
              </w:rPr>
            </w:pPr>
            <w:r>
              <w:rPr>
                <w:rFonts w:ascii="Arial" w:cs="Arial" w:eastAsia="Arial" w:hAnsi="Arial"/>
                <w:sz w:val="18"/>
                <w:szCs w:val="18"/>
                <w:color w:val="auto"/>
              </w:rPr>
              <w:t>2.01</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Taxing Authority</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1.01</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Title IV Plan</w:t>
            </w:r>
          </w:p>
        </w:tc>
        <w:tc>
          <w:tcPr>
            <w:tcW w:w="5500" w:type="dxa"/>
            <w:vAlign w:val="bottom"/>
          </w:tcPr>
          <w:p>
            <w:pPr>
              <w:ind w:left="3240"/>
              <w:spacing w:after="0"/>
              <w:rPr>
                <w:sz w:val="20"/>
                <w:szCs w:val="20"/>
                <w:color w:val="auto"/>
              </w:rPr>
            </w:pPr>
            <w:r>
              <w:rPr>
                <w:rFonts w:ascii="Arial" w:cs="Arial" w:eastAsia="Arial" w:hAnsi="Arial"/>
                <w:sz w:val="18"/>
                <w:szCs w:val="18"/>
                <w:color w:val="auto"/>
              </w:rPr>
              <w:t>4.17(b)</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TWX</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4.16(b)</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Uncertificated Shares</w:t>
            </w:r>
          </w:p>
        </w:tc>
        <w:tc>
          <w:tcPr>
            <w:tcW w:w="5500" w:type="dxa"/>
            <w:vAlign w:val="bottom"/>
          </w:tcPr>
          <w:p>
            <w:pPr>
              <w:ind w:left="3240"/>
              <w:spacing w:after="0"/>
              <w:rPr>
                <w:sz w:val="20"/>
                <w:szCs w:val="20"/>
                <w:color w:val="auto"/>
              </w:rPr>
            </w:pPr>
            <w:r>
              <w:rPr>
                <w:rFonts w:ascii="Arial" w:cs="Arial" w:eastAsia="Arial" w:hAnsi="Arial"/>
                <w:sz w:val="18"/>
                <w:szCs w:val="18"/>
                <w:color w:val="auto"/>
              </w:rPr>
              <w:t>2.03</w:t>
            </w:r>
          </w:p>
        </w:tc>
      </w:tr>
      <w:tr>
        <w:trPr>
          <w:trHeight w:val="249"/>
        </w:trPr>
        <w:tc>
          <w:tcPr>
            <w:tcW w:w="5920" w:type="dxa"/>
            <w:vAlign w:val="bottom"/>
            <w:shd w:val="clear" w:color="auto" w:fill="D5EAEA"/>
          </w:tcPr>
          <w:p>
            <w:pPr>
              <w:ind w:left="20"/>
              <w:spacing w:after="0"/>
              <w:rPr>
                <w:sz w:val="20"/>
                <w:szCs w:val="20"/>
                <w:color w:val="auto"/>
              </w:rPr>
            </w:pPr>
            <w:r>
              <w:rPr>
                <w:rFonts w:ascii="Arial" w:cs="Arial" w:eastAsia="Arial" w:hAnsi="Arial"/>
                <w:sz w:val="18"/>
                <w:szCs w:val="18"/>
                <w:color w:val="auto"/>
              </w:rPr>
              <w:t>Union Employee</w:t>
            </w:r>
          </w:p>
        </w:tc>
        <w:tc>
          <w:tcPr>
            <w:tcW w:w="5500" w:type="dxa"/>
            <w:vAlign w:val="bottom"/>
            <w:shd w:val="clear" w:color="auto" w:fill="D5EAEA"/>
          </w:tcPr>
          <w:p>
            <w:pPr>
              <w:ind w:left="3240"/>
              <w:spacing w:after="0"/>
              <w:rPr>
                <w:sz w:val="20"/>
                <w:szCs w:val="20"/>
                <w:color w:val="auto"/>
              </w:rPr>
            </w:pPr>
            <w:r>
              <w:rPr>
                <w:rFonts w:ascii="Arial" w:cs="Arial" w:eastAsia="Arial" w:hAnsi="Arial"/>
                <w:sz w:val="18"/>
                <w:szCs w:val="18"/>
                <w:color w:val="auto"/>
              </w:rPr>
              <w:t>7.09</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Voting Agreement</w:t>
            </w:r>
          </w:p>
        </w:tc>
        <w:tc>
          <w:tcPr>
            <w:tcW w:w="5500" w:type="dxa"/>
            <w:vAlign w:val="bottom"/>
          </w:tcPr>
          <w:p>
            <w:pPr>
              <w:ind w:left="3240"/>
              <w:spacing w:after="0"/>
              <w:rPr>
                <w:sz w:val="20"/>
                <w:szCs w:val="20"/>
                <w:color w:val="auto"/>
              </w:rPr>
            </w:pPr>
            <w:r>
              <w:rPr>
                <w:rFonts w:ascii="Arial" w:cs="Arial" w:eastAsia="Arial" w:hAnsi="Arial"/>
                <w:sz w:val="18"/>
                <w:szCs w:val="18"/>
                <w:color w:val="auto"/>
              </w:rPr>
              <w:t>Recitals</w:t>
            </w:r>
          </w:p>
        </w:tc>
      </w:tr>
    </w:tbl>
    <w:p>
      <w:pPr>
        <w:spacing w:after="0" w:line="2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used in this Agreement, they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whether or not they are in fact followed by those words or words of like import. “</w:t>
      </w:r>
      <w:r>
        <w:rPr>
          <w:rFonts w:ascii="Arial" w:cs="Arial" w:eastAsia="Arial" w:hAnsi="Arial"/>
          <w:sz w:val="16"/>
          <w:szCs w:val="16"/>
          <w:b w:val="1"/>
          <w:bCs w:val="1"/>
          <w:color w:val="auto"/>
        </w:rPr>
        <w:t>Writing</w:t>
      </w:r>
      <w:r>
        <w:rPr>
          <w:rFonts w:ascii="Arial" w:cs="Arial" w:eastAsia="Arial" w:hAnsi="Arial"/>
          <w:sz w:val="16"/>
          <w:szCs w:val="16"/>
          <w:color w:val="auto"/>
        </w:rPr>
        <w:t>”, “</w:t>
      </w:r>
      <w:r>
        <w:rPr>
          <w:rFonts w:ascii="Arial" w:cs="Arial" w:eastAsia="Arial" w:hAnsi="Arial"/>
          <w:sz w:val="16"/>
          <w:szCs w:val="16"/>
          <w:b w:val="1"/>
          <w:bCs w:val="1"/>
          <w:color w:val="auto"/>
        </w:rPr>
        <w:t>written</w:t>
      </w:r>
      <w:r>
        <w:rPr>
          <w:rFonts w:ascii="Arial" w:cs="Arial" w:eastAsia="Arial" w:hAnsi="Arial"/>
          <w:sz w:val="16"/>
          <w:szCs w:val="16"/>
          <w:color w:val="auto"/>
        </w:rPr>
        <w:t>”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16"/>
          <w:szCs w:val="16"/>
          <w:b w:val="1"/>
          <w:bCs w:val="1"/>
          <w:color w:val="auto"/>
        </w:rPr>
        <w:t>law</w:t>
      </w:r>
      <w:r>
        <w:rPr>
          <w:rFonts w:ascii="Arial" w:cs="Arial" w:eastAsia="Arial" w:hAnsi="Arial"/>
          <w:sz w:val="16"/>
          <w:szCs w:val="16"/>
          <w:color w:val="auto"/>
        </w:rPr>
        <w:t>”, “</w:t>
      </w:r>
      <w:r>
        <w:rPr>
          <w:rFonts w:ascii="Arial" w:cs="Arial" w:eastAsia="Arial" w:hAnsi="Arial"/>
          <w:sz w:val="16"/>
          <w:szCs w:val="16"/>
          <w:b w:val="1"/>
          <w:bCs w:val="1"/>
          <w:color w:val="auto"/>
        </w:rPr>
        <w:t>laws</w:t>
      </w:r>
      <w:r>
        <w:rPr>
          <w:rFonts w:ascii="Arial" w:cs="Arial" w:eastAsia="Arial" w:hAnsi="Arial"/>
          <w:sz w:val="16"/>
          <w:szCs w:val="16"/>
          <w:color w:val="auto"/>
        </w:rPr>
        <w:t>” or to a particular statute or law shall be deemed also to include any Applicable Law. The phrase “</w:t>
      </w:r>
      <w:r>
        <w:rPr>
          <w:rFonts w:ascii="Arial" w:cs="Arial" w:eastAsia="Arial" w:hAnsi="Arial"/>
          <w:sz w:val="16"/>
          <w:szCs w:val="16"/>
          <w:b w:val="1"/>
          <w:bCs w:val="1"/>
          <w:color w:val="auto"/>
        </w:rPr>
        <w:t>made available</w:t>
      </w:r>
      <w:r>
        <w:rPr>
          <w:rFonts w:ascii="Arial" w:cs="Arial" w:eastAsia="Arial" w:hAnsi="Arial"/>
          <w:sz w:val="16"/>
          <w:szCs w:val="16"/>
          <w:color w:val="auto"/>
        </w:rPr>
        <w:t>” shall be deemed to include any documents filed or furnished with the SEC.</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4" w:name="page25"/>
    <w:bookmarkEnd w:id="24"/>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Merger</w:t>
      </w:r>
    </w:p>
    <w:p>
      <w:pPr>
        <w:spacing w:after="0" w:line="26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The Merger</w:t>
      </w:r>
      <w:r>
        <w:rPr>
          <w:rFonts w:ascii="Arial" w:cs="Arial" w:eastAsia="Arial" w:hAnsi="Arial"/>
          <w:sz w:val="18"/>
          <w:szCs w:val="18"/>
          <w:color w:val="auto"/>
        </w:rPr>
        <w:t>. (a) At the Effective Time, Merger Subsidiary shall be merged (the “</w:t>
      </w:r>
      <w:r>
        <w:rPr>
          <w:rFonts w:ascii="Arial" w:cs="Arial" w:eastAsia="Arial" w:hAnsi="Arial"/>
          <w:sz w:val="18"/>
          <w:szCs w:val="18"/>
          <w:b w:val="1"/>
          <w:bCs w:val="1"/>
          <w:color w:val="auto"/>
        </w:rPr>
        <w:t>Merger</w:t>
      </w:r>
      <w:r>
        <w:rPr>
          <w:rFonts w:ascii="Arial" w:cs="Arial" w:eastAsia="Arial" w:hAnsi="Arial"/>
          <w:sz w:val="18"/>
          <w:szCs w:val="18"/>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and a wholly-owned subsidiary of Parent.</w:t>
      </w:r>
    </w:p>
    <w:p>
      <w:pPr>
        <w:spacing w:after="0" w:line="230" w:lineRule="exact"/>
        <w:rPr>
          <w:sz w:val="20"/>
          <w:szCs w:val="20"/>
          <w:color w:val="auto"/>
        </w:rPr>
      </w:pPr>
    </w:p>
    <w:p>
      <w:pPr>
        <w:ind w:firstLine="1305"/>
        <w:spacing w:after="0" w:line="298" w:lineRule="auto"/>
        <w:tabs>
          <w:tab w:leader="none" w:pos="1938"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provisions of Article 9,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212" w:lineRule="exact"/>
        <w:rPr>
          <w:rFonts w:ascii="Arial" w:cs="Arial" w:eastAsia="Arial" w:hAnsi="Arial"/>
          <w:sz w:val="16"/>
          <w:szCs w:val="16"/>
          <w:color w:val="auto"/>
        </w:rPr>
      </w:pPr>
    </w:p>
    <w:p>
      <w:pPr>
        <w:ind w:right="40" w:firstLine="1305"/>
        <w:spacing w:after="0" w:line="259" w:lineRule="auto"/>
        <w:tabs>
          <w:tab w:leader="none" w:pos="19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 as the certificate of merger is duly filed with the Delaware Secretary of State (or at such later time as may be agreed to by the parties and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merger).</w:t>
      </w:r>
    </w:p>
    <w:p>
      <w:pPr>
        <w:spacing w:after="0" w:line="240" w:lineRule="exact"/>
        <w:rPr>
          <w:rFonts w:ascii="Arial" w:cs="Arial" w:eastAsia="Arial" w:hAnsi="Arial"/>
          <w:sz w:val="18"/>
          <w:szCs w:val="18"/>
          <w:color w:val="auto"/>
        </w:rPr>
      </w:pPr>
    </w:p>
    <w:p>
      <w:pPr>
        <w:ind w:right="100" w:firstLine="1305"/>
        <w:spacing w:after="0" w:line="342" w:lineRule="auto"/>
        <w:tabs>
          <w:tab w:leader="none" w:pos="1938"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17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i w:val="1"/>
          <w:iCs w:val="1"/>
          <w:color w:val="auto"/>
        </w:rPr>
        <w:t>Section 2.02.</w:t>
      </w:r>
      <w:r>
        <w:rPr>
          <w:sz w:val="20"/>
          <w:szCs w:val="20"/>
          <w:color w:val="auto"/>
        </w:rPr>
        <w:tab/>
      </w:r>
      <w:r>
        <w:rPr>
          <w:rFonts w:ascii="Arial" w:cs="Arial" w:eastAsia="Arial" w:hAnsi="Arial"/>
          <w:sz w:val="16"/>
          <w:szCs w:val="16"/>
          <w:i w:val="1"/>
          <w:iCs w:val="1"/>
          <w:color w:val="auto"/>
        </w:rPr>
        <w:t>Conversion of Shares</w:t>
      </w:r>
      <w:r>
        <w:rPr>
          <w:rFonts w:ascii="Arial" w:cs="Arial" w:eastAsia="Arial" w:hAnsi="Arial"/>
          <w:sz w:val="16"/>
          <w:szCs w:val="16"/>
          <w:color w:val="auto"/>
        </w:rPr>
        <w:t>. At the Effective Time by virtue of the Merger and without any action on the part of any holder of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Stock or any holder of shares of common stock of Merger Subsidiary:</w:t>
      </w:r>
    </w:p>
    <w:p>
      <w:pPr>
        <w:spacing w:after="0" w:line="265" w:lineRule="exact"/>
        <w:rPr>
          <w:sz w:val="20"/>
          <w:szCs w:val="20"/>
          <w:color w:val="auto"/>
        </w:rPr>
      </w:pPr>
    </w:p>
    <w:p>
      <w:pPr>
        <w:ind w:right="100" w:firstLine="1305"/>
        <w:spacing w:after="0" w:line="276" w:lineRule="auto"/>
        <w:tabs>
          <w:tab w:leader="none" w:pos="1928"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provided in Section 2.02(c), each share of Company Stock outstanding immediately prior to the Effective Time shall be converted into the right to receive 2.8750 (the “</w:t>
      </w:r>
      <w:r>
        <w:rPr>
          <w:rFonts w:ascii="Arial" w:cs="Arial" w:eastAsia="Arial" w:hAnsi="Arial"/>
          <w:sz w:val="17"/>
          <w:szCs w:val="17"/>
          <w:b w:val="1"/>
          <w:bCs w:val="1"/>
          <w:color w:val="auto"/>
        </w:rPr>
        <w:t>Exchange Ratio</w:t>
      </w:r>
      <w:r>
        <w:rPr>
          <w:rFonts w:ascii="Arial" w:cs="Arial" w:eastAsia="Arial" w:hAnsi="Arial"/>
          <w:sz w:val="17"/>
          <w:szCs w:val="17"/>
          <w:color w:val="auto"/>
        </w:rPr>
        <w:t>”) shares of Parent Class A Common Stock (together with the cash in lieu of fractional shares of Parent Class A Common Stock as specified below,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pursuant to Section 2.03(f), in each case to be issued or paid in accordance with Section 2.03, without interest.</w:t>
      </w:r>
    </w:p>
    <w:p>
      <w:pPr>
        <w:spacing w:after="0" w:line="279" w:lineRule="exact"/>
        <w:rPr>
          <w:sz w:val="20"/>
          <w:szCs w:val="20"/>
          <w:color w:val="auto"/>
        </w:rPr>
      </w:pPr>
    </w:p>
    <w:p>
      <w:pPr>
        <w:ind w:right="20" w:firstLine="1305"/>
        <w:spacing w:after="0" w:line="264" w:lineRule="auto"/>
        <w:tabs>
          <w:tab w:leader="none" w:pos="193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235" w:lineRule="exact"/>
        <w:rPr>
          <w:rFonts w:ascii="Arial" w:cs="Arial" w:eastAsia="Arial" w:hAnsi="Arial"/>
          <w:sz w:val="18"/>
          <w:szCs w:val="18"/>
          <w:color w:val="auto"/>
        </w:rPr>
      </w:pPr>
    </w:p>
    <w:p>
      <w:pPr>
        <w:ind w:right="100" w:firstLine="1305"/>
        <w:spacing w:after="0" w:line="277" w:lineRule="auto"/>
        <w:tabs>
          <w:tab w:leader="none" w:pos="192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share of Company Stock held by the Company as treasury stock or owned by Parent immediately prior to the Effective Time shall be canceled, and no payment shall be made with respect thereto.</w:t>
      </w:r>
    </w:p>
    <w:p>
      <w:pPr>
        <w:spacing w:after="0" w:line="22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Surrender and Payment</w:t>
      </w:r>
      <w:r>
        <w:rPr>
          <w:rFonts w:ascii="Arial" w:cs="Arial" w:eastAsia="Arial" w:hAnsi="Arial"/>
          <w:sz w:val="16"/>
          <w:szCs w:val="16"/>
          <w:color w:val="auto"/>
        </w:rPr>
        <w:t>. (a) Prior to the Effective Time, Parent shall appoint an agent reasonably acceptable to the Company (the “</w:t>
      </w:r>
      <w:r>
        <w:rPr>
          <w:rFonts w:ascii="Arial" w:cs="Arial" w:eastAsia="Arial" w:hAnsi="Arial"/>
          <w:sz w:val="16"/>
          <w:szCs w:val="16"/>
          <w:b w:val="1"/>
          <w:bCs w:val="1"/>
          <w:color w:val="auto"/>
        </w:rPr>
        <w:t>Exchange Agent</w:t>
      </w:r>
      <w:r>
        <w:rPr>
          <w:rFonts w:ascii="Arial" w:cs="Arial" w:eastAsia="Arial" w:hAnsi="Arial"/>
          <w:sz w:val="16"/>
          <w:szCs w:val="16"/>
          <w:color w:val="auto"/>
        </w:rPr>
        <w:t>”) for the purpose of exchanging for the Merger Consideration (i) certificates representing shares of Company Stock (the “</w:t>
      </w:r>
      <w:r>
        <w:rPr>
          <w:rFonts w:ascii="Arial" w:cs="Arial" w:eastAsia="Arial" w:hAnsi="Arial"/>
          <w:sz w:val="16"/>
          <w:szCs w:val="16"/>
          <w:b w:val="1"/>
          <w:bCs w:val="1"/>
          <w:color w:val="auto"/>
        </w:rPr>
        <w:t>Certificates</w:t>
      </w:r>
      <w:r>
        <w:rPr>
          <w:rFonts w:ascii="Arial" w:cs="Arial" w:eastAsia="Arial" w:hAnsi="Arial"/>
          <w:sz w:val="16"/>
          <w:szCs w:val="16"/>
          <w:color w:val="auto"/>
        </w:rPr>
        <w:t>”) and (ii) uncertificated shares of Company Stock (the “</w:t>
      </w:r>
      <w:r>
        <w:rPr>
          <w:rFonts w:ascii="Arial" w:cs="Arial" w:eastAsia="Arial" w:hAnsi="Arial"/>
          <w:sz w:val="16"/>
          <w:szCs w:val="16"/>
          <w:b w:val="1"/>
          <w:bCs w:val="1"/>
          <w:color w:val="auto"/>
        </w:rPr>
        <w:t>Uncertificated Shares</w:t>
      </w:r>
      <w:r>
        <w:rPr>
          <w:rFonts w:ascii="Arial" w:cs="Arial" w:eastAsia="Arial" w:hAnsi="Arial"/>
          <w:sz w:val="16"/>
          <w:szCs w:val="16"/>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6"/>
          <w:szCs w:val="16"/>
          <w:b w:val="1"/>
          <w:bCs w:val="1"/>
          <w:color w:val="auto"/>
        </w:rPr>
        <w:t>agent’s message</w:t>
      </w:r>
      <w:r>
        <w:rPr>
          <w:rFonts w:ascii="Arial" w:cs="Arial" w:eastAsia="Arial" w:hAnsi="Arial"/>
          <w:sz w:val="16"/>
          <w:szCs w:val="16"/>
          <w:color w:val="auto"/>
        </w:rPr>
        <w:t>” regarding the book-entry transfer of Uncertificated Shares) for use in such exchange.</w:t>
      </w:r>
    </w:p>
    <w:p>
      <w:pPr>
        <w:spacing w:after="0" w:line="223" w:lineRule="exact"/>
        <w:rPr>
          <w:sz w:val="20"/>
          <w:szCs w:val="20"/>
          <w:color w:val="auto"/>
        </w:rPr>
      </w:pPr>
    </w:p>
    <w:p>
      <w:pPr>
        <w:ind w:right="60" w:firstLine="1305"/>
        <w:spacing w:after="0" w:line="272" w:lineRule="auto"/>
        <w:tabs>
          <w:tab w:leader="none" w:pos="19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17"/>
          <w:szCs w:val="17"/>
          <w:b w:val="1"/>
          <w:bCs w:val="1"/>
          <w:color w:val="auto"/>
        </w:rPr>
        <w:t>agent’s message</w:t>
      </w:r>
      <w:r>
        <w:rPr>
          <w:rFonts w:ascii="Arial" w:cs="Arial" w:eastAsia="Arial" w:hAnsi="Arial"/>
          <w:sz w:val="17"/>
          <w:szCs w:val="17"/>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 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Consideration and the right to receive any dividends or other distributions pursuant to Section 2.03(f).</w:t>
      </w:r>
    </w:p>
    <w:p>
      <w:pPr>
        <w:spacing w:after="0" w:line="279" w:lineRule="exact"/>
        <w:rPr>
          <w:sz w:val="20"/>
          <w:szCs w:val="20"/>
          <w:color w:val="auto"/>
        </w:rPr>
      </w:pPr>
    </w:p>
    <w:p>
      <w:pPr>
        <w:ind w:right="120" w:firstLine="1305"/>
        <w:spacing w:after="0" w:line="276" w:lineRule="auto"/>
        <w:tabs>
          <w:tab w:leader="none" w:pos="19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226" w:lineRule="exact"/>
        <w:rPr>
          <w:rFonts w:ascii="Arial" w:cs="Arial" w:eastAsia="Arial" w:hAnsi="Arial"/>
          <w:sz w:val="17"/>
          <w:szCs w:val="17"/>
          <w:color w:val="auto"/>
        </w:rPr>
      </w:pPr>
    </w:p>
    <w:p>
      <w:pPr>
        <w:ind w:right="180" w:firstLine="1305"/>
        <w:spacing w:after="0" w:line="264" w:lineRule="auto"/>
        <w:tabs>
          <w:tab w:leader="none" w:pos="19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235" w:lineRule="exact"/>
        <w:rPr>
          <w:rFonts w:ascii="Arial" w:cs="Arial" w:eastAsia="Arial" w:hAnsi="Arial"/>
          <w:sz w:val="18"/>
          <w:szCs w:val="18"/>
          <w:color w:val="auto"/>
        </w:rPr>
      </w:pPr>
    </w:p>
    <w:p>
      <w:pPr>
        <w:ind w:firstLine="1305"/>
        <w:spacing w:after="0" w:line="270" w:lineRule="auto"/>
        <w:tabs>
          <w:tab w:leader="none" w:pos="19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235" w:lineRule="exact"/>
        <w:rPr>
          <w:rFonts w:ascii="Arial" w:cs="Arial" w:eastAsia="Arial" w:hAnsi="Arial"/>
          <w:sz w:val="17"/>
          <w:szCs w:val="17"/>
          <w:color w:val="auto"/>
        </w:rPr>
      </w:pPr>
    </w:p>
    <w:p>
      <w:pPr>
        <w:ind w:right="40" w:firstLine="1305"/>
        <w:spacing w:after="0" w:line="302" w:lineRule="auto"/>
        <w:tabs>
          <w:tab w:leader="none" w:pos="19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7" w:name="page28"/>
    <w:bookmarkEnd w:id="27"/>
    <w:p>
      <w:pPr>
        <w:ind w:right="140"/>
        <w:spacing w:after="0" w:line="279" w:lineRule="auto"/>
        <w:rPr>
          <w:sz w:val="20"/>
          <w:szCs w:val="20"/>
          <w:color w:val="auto"/>
        </w:rPr>
      </w:pPr>
      <w:r>
        <w:rPr>
          <w:rFonts w:ascii="Arial" w:cs="Arial" w:eastAsia="Arial" w:hAnsi="Arial"/>
          <w:sz w:val="17"/>
          <w:szCs w:val="17"/>
          <w:color w:val="auto"/>
        </w:rPr>
        <w:t>surrender or transfer, the amount of any cash payable in lieu of fractional shares to which such Person is entitled 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225" w:lineRule="exact"/>
        <w:rPr>
          <w:sz w:val="20"/>
          <w:szCs w:val="20"/>
          <w:color w:val="auto"/>
        </w:rPr>
      </w:pPr>
    </w:p>
    <w:p>
      <w:pPr>
        <w:ind w:right="120" w:firstLine="1305"/>
        <w:spacing w:after="0" w:line="259" w:lineRule="auto"/>
        <w:tabs>
          <w:tab w:leader="none" w:pos="19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24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Equity-Based Awards</w:t>
      </w:r>
      <w:r>
        <w:rPr>
          <w:rFonts w:ascii="Arial" w:cs="Arial" w:eastAsia="Arial" w:hAnsi="Arial"/>
          <w:sz w:val="17"/>
          <w:szCs w:val="17"/>
          <w:color w:val="auto"/>
        </w:rPr>
        <w:t>. (a) Except as provided in Section 2.04(d), the terms of each outstanding compensatory option to purchase shares of Company Stock (a “</w:t>
      </w:r>
      <w:r>
        <w:rPr>
          <w:rFonts w:ascii="Arial" w:cs="Arial" w:eastAsia="Arial" w:hAnsi="Arial"/>
          <w:sz w:val="17"/>
          <w:szCs w:val="17"/>
          <w:b w:val="1"/>
          <w:bCs w:val="1"/>
          <w:color w:val="auto"/>
        </w:rPr>
        <w:t>Company Stock Option</w:t>
      </w:r>
      <w:r>
        <w:rPr>
          <w:rFonts w:ascii="Arial" w:cs="Arial" w:eastAsia="Arial" w:hAnsi="Arial"/>
          <w:sz w:val="17"/>
          <w:szCs w:val="17"/>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7"/>
          <w:szCs w:val="17"/>
          <w:b w:val="1"/>
          <w:bCs w:val="1"/>
          <w:color w:val="auto"/>
        </w:rPr>
        <w:t>Adjusted Option</w:t>
      </w:r>
      <w:r>
        <w:rPr>
          <w:rFonts w:ascii="Arial" w:cs="Arial" w:eastAsia="Arial" w:hAnsi="Arial"/>
          <w:sz w:val="17"/>
          <w:szCs w:val="17"/>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 (A) 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242" w:lineRule="exact"/>
        <w:rPr>
          <w:sz w:val="20"/>
          <w:szCs w:val="20"/>
          <w:color w:val="auto"/>
        </w:rPr>
      </w:pPr>
    </w:p>
    <w:p>
      <w:pPr>
        <w:jc w:val="both"/>
        <w:ind w:firstLine="1305"/>
        <w:spacing w:after="0" w:line="342" w:lineRule="auto"/>
        <w:tabs>
          <w:tab w:leader="none" w:pos="19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16"/>
          <w:szCs w:val="16"/>
          <w:b w:val="1"/>
          <w:bCs w:val="1"/>
          <w:color w:val="auto"/>
        </w:rPr>
        <w:t>Company RSU</w:t>
      </w:r>
      <w:r>
        <w:rPr>
          <w:rFonts w:ascii="Arial" w:cs="Arial" w:eastAsia="Arial" w:hAnsi="Arial"/>
          <w:sz w:val="16"/>
          <w:szCs w:val="16"/>
          <w:color w:val="auto"/>
        </w:rPr>
        <w:t>”), whether or not vested, shall be adjusted as necessary to provide that, at the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28" w:name="page29"/>
    <w:bookmarkEnd w:id="28"/>
    <w:p>
      <w:pPr>
        <w:ind w:right="300"/>
        <w:spacing w:after="0" w:line="303" w:lineRule="auto"/>
        <w:rPr>
          <w:sz w:val="20"/>
          <w:szCs w:val="20"/>
          <w:color w:val="auto"/>
        </w:rPr>
      </w:pPr>
      <w:r>
        <w:rPr>
          <w:rFonts w:ascii="Arial" w:cs="Arial" w:eastAsia="Arial" w:hAnsi="Arial"/>
          <w:sz w:val="16"/>
          <w:szCs w:val="16"/>
          <w:color w:val="auto"/>
        </w:rPr>
        <w:t>Effective Time, each Company RSU outstanding immediately prior to the Effective Time shall be converted into a RSU (each, an “</w:t>
      </w:r>
      <w:r>
        <w:rPr>
          <w:rFonts w:ascii="Arial" w:cs="Arial" w:eastAsia="Arial" w:hAnsi="Arial"/>
          <w:sz w:val="16"/>
          <w:szCs w:val="16"/>
          <w:b w:val="1"/>
          <w:bCs w:val="1"/>
          <w:color w:val="auto"/>
        </w:rPr>
        <w:t>Adjusted RSU</w:t>
      </w:r>
      <w:r>
        <w:rPr>
          <w:rFonts w:ascii="Arial" w:cs="Arial" w:eastAsia="Arial" w:hAnsi="Arial"/>
          <w:sz w:val="16"/>
          <w:szCs w:val="16"/>
          <w:color w:val="auto"/>
        </w:rPr>
        <w:t>”) to acquire, on the same terms and conditions as were applicable under such Company RSU immediately prior to the Effective Time, the number of shares of Parent Class A Common Stock equal to the product of (i) the number of shares of Company Stock subject to such Company RSU immediately prior to the Effective Time multiplied by (ii) the Exchange Ratio, with any fractional shares rounded down to the next lower whole number of shares.</w:t>
      </w:r>
    </w:p>
    <w:p>
      <w:pPr>
        <w:spacing w:after="0" w:line="205" w:lineRule="exact"/>
        <w:rPr>
          <w:sz w:val="20"/>
          <w:szCs w:val="20"/>
          <w:color w:val="auto"/>
        </w:rPr>
      </w:pPr>
    </w:p>
    <w:p>
      <w:pPr>
        <w:ind w:right="60" w:firstLine="1305"/>
        <w:spacing w:after="0" w:line="255" w:lineRule="auto"/>
        <w:tabs>
          <w:tab w:leader="none" w:pos="19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 or promptly after the Effective Time, each outstanding Company RSU (each, a “</w:t>
      </w:r>
      <w:r>
        <w:rPr>
          <w:rFonts w:ascii="Arial" w:cs="Arial" w:eastAsia="Arial" w:hAnsi="Arial"/>
          <w:sz w:val="18"/>
          <w:szCs w:val="18"/>
          <w:b w:val="1"/>
          <w:bCs w:val="1"/>
          <w:color w:val="auto"/>
        </w:rPr>
        <w:t>Director RSU</w:t>
      </w:r>
      <w:r>
        <w:rPr>
          <w:rFonts w:ascii="Arial" w:cs="Arial" w:eastAsia="Arial" w:hAnsi="Arial"/>
          <w:sz w:val="18"/>
          <w:szCs w:val="18"/>
          <w:color w:val="auto"/>
        </w:rPr>
        <w:t>”) held by a non-employee director or former non-employee director of the Company (each, a “</w:t>
      </w:r>
      <w:r>
        <w:rPr>
          <w:rFonts w:ascii="Arial" w:cs="Arial" w:eastAsia="Arial" w:hAnsi="Arial"/>
          <w:sz w:val="18"/>
          <w:szCs w:val="18"/>
          <w:b w:val="1"/>
          <w:bCs w:val="1"/>
          <w:color w:val="auto"/>
        </w:rPr>
        <w:t>Director</w:t>
      </w:r>
      <w:r>
        <w:rPr>
          <w:rFonts w:ascii="Arial" w:cs="Arial" w:eastAsia="Arial" w:hAnsi="Arial"/>
          <w:sz w:val="18"/>
          <w:szCs w:val="18"/>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8"/>
          <w:szCs w:val="18"/>
          <w:b w:val="1"/>
          <w:bCs w:val="1"/>
          <w:color w:val="auto"/>
        </w:rPr>
        <w:t>Notional Adjusted RSU</w:t>
      </w:r>
      <w:r>
        <w:rPr>
          <w:rFonts w:ascii="Arial" w:cs="Arial" w:eastAsia="Arial" w:hAnsi="Arial"/>
          <w:sz w:val="18"/>
          <w:szCs w:val="18"/>
          <w:color w:val="auto"/>
        </w:rPr>
        <w:t>”) and then multiplying (i) the closing sale price of a share of Parent Class A Common Stock on NASDAQ on the trading day immediately preceding the Effective Time by (ii) the number of shares of Parent Class A Common Stock with respect to the Notional Adjusted RSUs.</w:t>
      </w:r>
    </w:p>
    <w:p>
      <w:pPr>
        <w:spacing w:after="0" w:line="243" w:lineRule="exact"/>
        <w:rPr>
          <w:rFonts w:ascii="Arial" w:cs="Arial" w:eastAsia="Arial" w:hAnsi="Arial"/>
          <w:sz w:val="18"/>
          <w:szCs w:val="18"/>
          <w:color w:val="auto"/>
        </w:rPr>
      </w:pPr>
    </w:p>
    <w:p>
      <w:pPr>
        <w:ind w:firstLine="1305"/>
        <w:spacing w:after="0" w:line="286" w:lineRule="auto"/>
        <w:tabs>
          <w:tab w:leader="none" w:pos="1938" w:val="left"/>
        </w:tabs>
        <w:numPr>
          <w:ilvl w:val="1"/>
          <w:numId w:val="14"/>
        </w:numPr>
        <w:rPr>
          <w:rFonts w:ascii="Arial" w:cs="Arial" w:eastAsia="Arial" w:hAnsi="Arial"/>
          <w:sz w:val="16"/>
          <w:szCs w:val="16"/>
          <w:color w:val="auto"/>
        </w:rPr>
      </w:pPr>
      <w:r>
        <w:rPr>
          <w:rFonts w:ascii="Arial" w:cs="Arial" w:eastAsia="Arial" w:hAnsi="Arial"/>
          <w:sz w:val="16"/>
          <w:szCs w:val="16"/>
          <w:color w:val="auto"/>
        </w:rPr>
        <w:t>(i) At or promptly after the Effective Time, each outstanding Company Stock Option (each, a “</w:t>
      </w:r>
      <w:r>
        <w:rPr>
          <w:rFonts w:ascii="Arial" w:cs="Arial" w:eastAsia="Arial" w:hAnsi="Arial"/>
          <w:sz w:val="16"/>
          <w:szCs w:val="16"/>
          <w:b w:val="1"/>
          <w:bCs w:val="1"/>
          <w:color w:val="auto"/>
        </w:rPr>
        <w:t>Former Employee Option</w:t>
      </w:r>
      <w:r>
        <w:rPr>
          <w:rFonts w:ascii="Arial" w:cs="Arial" w:eastAsia="Arial" w:hAnsi="Arial"/>
          <w:sz w:val="16"/>
          <w:szCs w:val="16"/>
          <w:color w:val="auto"/>
        </w:rPr>
        <w:t>”) held by a former employee or individual contractor of the Company (each, a “</w:t>
      </w:r>
      <w:r>
        <w:rPr>
          <w:rFonts w:ascii="Arial" w:cs="Arial" w:eastAsia="Arial" w:hAnsi="Arial"/>
          <w:sz w:val="16"/>
          <w:szCs w:val="16"/>
          <w:b w:val="1"/>
          <w:bCs w:val="1"/>
          <w:color w:val="auto"/>
        </w:rPr>
        <w:t>Former Employee</w:t>
      </w:r>
      <w:r>
        <w:rPr>
          <w:rFonts w:ascii="Arial" w:cs="Arial" w:eastAsia="Arial" w:hAnsi="Arial"/>
          <w:sz w:val="16"/>
          <w:szCs w:val="16"/>
          <w:color w:val="auto"/>
        </w:rPr>
        <w:t>”), whether or not 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6"/>
          <w:szCs w:val="16"/>
          <w:b w:val="1"/>
          <w:bCs w:val="1"/>
          <w:color w:val="auto"/>
        </w:rPr>
        <w:t>Notional Adjusted Option</w:t>
      </w:r>
      <w:r>
        <w:rPr>
          <w:rFonts w:ascii="Arial" w:cs="Arial" w:eastAsia="Arial" w:hAnsi="Arial"/>
          <w:sz w:val="16"/>
          <w:szCs w:val="16"/>
          <w:color w:val="auto"/>
        </w:rPr>
        <w:t>”) and then multiplying</w:t>
      </w:r>
    </w:p>
    <w:p>
      <w:pPr>
        <w:spacing w:after="0" w:line="2" w:lineRule="exact"/>
        <w:rPr>
          <w:rFonts w:ascii="Arial" w:cs="Arial" w:eastAsia="Arial" w:hAnsi="Arial"/>
          <w:sz w:val="16"/>
          <w:szCs w:val="16"/>
          <w:color w:val="auto"/>
        </w:rPr>
      </w:pPr>
    </w:p>
    <w:p>
      <w:pPr>
        <w:jc w:val="both"/>
        <w:ind w:right="300" w:firstLine="8"/>
        <w:spacing w:after="0" w:line="292" w:lineRule="auto"/>
        <w:tabs>
          <w:tab w:leader="none" w:pos="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212" w:lineRule="exact"/>
        <w:rPr>
          <w:rFonts w:ascii="Arial" w:cs="Arial" w:eastAsia="Arial" w:hAnsi="Arial"/>
          <w:sz w:val="16"/>
          <w:szCs w:val="16"/>
          <w:color w:val="auto"/>
        </w:rPr>
      </w:pPr>
    </w:p>
    <w:p>
      <w:pPr>
        <w:ind w:left="1300" w:right="120" w:firstLine="1949"/>
        <w:spacing w:after="0" w:line="347" w:lineRule="auto"/>
        <w:tabs>
          <w:tab w:leader="none" w:pos="3897" w:val="left"/>
        </w:tabs>
        <w:numPr>
          <w:ilvl w:val="2"/>
          <w:numId w:val="15"/>
        </w:numPr>
        <w:rPr>
          <w:rFonts w:ascii="Arial" w:cs="Arial" w:eastAsia="Arial" w:hAnsi="Arial"/>
          <w:sz w:val="16"/>
          <w:szCs w:val="16"/>
          <w:color w:val="auto"/>
        </w:rPr>
      </w:pPr>
      <w:r>
        <w:rPr>
          <w:rFonts w:ascii="Arial" w:cs="Arial" w:eastAsia="Arial" w:hAnsi="Arial"/>
          <w:sz w:val="16"/>
          <w:szCs w:val="16"/>
          <w:color w:val="auto"/>
        </w:rPr>
        <w:t>At or promptly after the Effective Time, each outstanding Company RSU (each, a “</w:t>
      </w:r>
      <w:r>
        <w:rPr>
          <w:rFonts w:ascii="Arial" w:cs="Arial" w:eastAsia="Arial" w:hAnsi="Arial"/>
          <w:sz w:val="16"/>
          <w:szCs w:val="16"/>
          <w:b w:val="1"/>
          <w:bCs w:val="1"/>
          <w:color w:val="auto"/>
        </w:rPr>
        <w:t>Former 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RSU</w:t>
      </w:r>
      <w:r>
        <w:rPr>
          <w:rFonts w:ascii="Arial" w:cs="Arial" w:eastAsia="Arial" w:hAnsi="Arial"/>
          <w:sz w:val="16"/>
          <w:szCs w:val="16"/>
          <w:color w:val="auto"/>
        </w:rPr>
        <w:t>”) held by a Former Employee, whether or not vested, shall be canceled, and the Company shall pay each such Former Employee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ind w:left="1300" w:right="120"/>
        <w:spacing w:after="0" w:line="259" w:lineRule="auto"/>
        <w:rPr>
          <w:sz w:val="20"/>
          <w:szCs w:val="20"/>
          <w:color w:val="auto"/>
        </w:rPr>
      </w:pPr>
      <w:r>
        <w:rPr>
          <w:rFonts w:ascii="Arial" w:cs="Arial" w:eastAsia="Arial" w:hAnsi="Arial"/>
          <w:sz w:val="18"/>
          <w:szCs w:val="18"/>
          <w:color w:val="auto"/>
        </w:rPr>
        <w:t>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241" w:lineRule="exact"/>
        <w:rPr>
          <w:sz w:val="20"/>
          <w:szCs w:val="20"/>
          <w:color w:val="auto"/>
        </w:rPr>
      </w:pPr>
    </w:p>
    <w:p>
      <w:pPr>
        <w:ind w:right="80" w:firstLine="1305"/>
        <w:spacing w:after="0" w:line="269" w:lineRule="auto"/>
        <w:tabs>
          <w:tab w:leader="none" w:pos="19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Parent shall take such actions as are necessary for the assumption of the Company Stock Options and Company RSUs pursuant to Sections 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237" w:lineRule="exact"/>
        <w:rPr>
          <w:rFonts w:ascii="Arial" w:cs="Arial" w:eastAsia="Arial" w:hAnsi="Arial"/>
          <w:sz w:val="17"/>
          <w:szCs w:val="17"/>
          <w:color w:val="auto"/>
        </w:rPr>
      </w:pPr>
    </w:p>
    <w:p>
      <w:pPr>
        <w:ind w:right="60" w:firstLine="1305"/>
        <w:spacing w:after="0" w:line="277" w:lineRule="auto"/>
        <w:tabs>
          <w:tab w:leader="none" w:pos="19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the Effective Time, the Company shall take any actions with respect to equity compensation plans or arrangements that are necessary to give effect to the transactions contemplated by this Section 2.04.</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Adjustments</w:t>
      </w:r>
      <w:r>
        <w:rPr>
          <w:rFonts w:ascii="Arial" w:cs="Arial" w:eastAsia="Arial" w:hAnsi="Arial"/>
          <w:sz w:val="18"/>
          <w:szCs w:val="18"/>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 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 (b) the grant of equity-based compensation to directors or employees of Parent or, subject to and in accordance with the terms of this Agreement, the Company under Parent’s or the Company’s, as applicable, equity compensation plans or arrangements, the Merger</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0" w:name="page31"/>
    <w:bookmarkEnd w:id="30"/>
    <w:p>
      <w:pPr>
        <w:ind w:right="440"/>
        <w:spacing w:after="0" w:line="277" w:lineRule="auto"/>
        <w:rPr>
          <w:sz w:val="20"/>
          <w:szCs w:val="20"/>
          <w:color w:val="auto"/>
        </w:rPr>
      </w:pPr>
      <w:r>
        <w:rPr>
          <w:rFonts w:ascii="Arial" w:cs="Arial" w:eastAsia="Arial" w:hAnsi="Arial"/>
          <w:sz w:val="18"/>
          <w:szCs w:val="18"/>
          <w:color w:val="auto"/>
        </w:rPr>
        <w:t>Consideration, amounts payable under Section 2.04 and any other amounts payable pursuant to this Agreement, as applicable, shall be appropriately and proportionately adjusted.</w:t>
      </w:r>
    </w:p>
    <w:p>
      <w:pPr>
        <w:spacing w:after="0" w:line="22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Fractional Shares</w:t>
      </w:r>
      <w:r>
        <w:rPr>
          <w:rFonts w:ascii="Arial" w:cs="Arial" w:eastAsia="Arial" w:hAnsi="Arial"/>
          <w:sz w:val="17"/>
          <w:szCs w:val="17"/>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22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24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Surviving Corporation</w:t>
      </w:r>
    </w:p>
    <w:p>
      <w:pPr>
        <w:spacing w:after="0" w:line="26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The certificate of incorporation of the Company shall be the certificate of incorporation of the Surviving Corporation until amended in accordance with Applicable Law.</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ind w:right="200" w:firstLine="648"/>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Bylaws</w:t>
      </w:r>
      <w:r>
        <w:rPr>
          <w:rFonts w:ascii="Arial" w:cs="Arial" w:eastAsia="Arial" w:hAnsi="Arial"/>
          <w:sz w:val="18"/>
          <w:szCs w:val="18"/>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Directors and Officers</w:t>
      </w:r>
      <w:r>
        <w:rPr>
          <w:rFonts w:ascii="Arial" w:cs="Arial" w:eastAsia="Arial" w:hAnsi="Arial"/>
          <w:sz w:val="18"/>
          <w:szCs w:val="18"/>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3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Subject to Section 11.05, except (a) as disclosed in (i) the Company SEC Documents (as defined below) filed or furnished by the Company with the SEC since January 1, 2013 and before the date of this Agreement or (ii) the Company 10-K (together, the “</w:t>
      </w:r>
      <w:r>
        <w:rPr>
          <w:rFonts w:ascii="Arial" w:cs="Arial" w:eastAsia="Arial" w:hAnsi="Arial"/>
          <w:sz w:val="18"/>
          <w:szCs w:val="18"/>
          <w:b w:val="1"/>
          <w:bCs w:val="1"/>
          <w:color w:val="auto"/>
        </w:rPr>
        <w:t>Specified Company SEC Documents</w:t>
      </w:r>
      <w:r>
        <w:rPr>
          <w:rFonts w:ascii="Arial" w:cs="Arial" w:eastAsia="Arial" w:hAnsi="Arial"/>
          <w:sz w:val="18"/>
          <w:szCs w:val="18"/>
          <w:color w:val="auto"/>
        </w:rPr>
        <w:t>”) or (b) as set forth in the Company Disclosure Schedule, the Company represents and warrants to Parent that:</w:t>
      </w:r>
    </w:p>
    <w:p>
      <w:pPr>
        <w:spacing w:after="0" w:line="23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Corporate Existence and Power</w:t>
      </w:r>
      <w:r>
        <w:rPr>
          <w:rFonts w:ascii="Arial" w:cs="Arial" w:eastAsia="Arial" w:hAnsi="Arial"/>
          <w:sz w:val="17"/>
          <w:szCs w:val="17"/>
          <w:color w:val="auto"/>
        </w:rPr>
        <w:t>. The Company is a corporation duly incorporated, validly existing and in good standing under the laws of the State of Delaware and has all corporate powers and all Governmental 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23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Corporate Authorization</w:t>
      </w:r>
      <w:r>
        <w:rPr>
          <w:rFonts w:ascii="Arial" w:cs="Arial" w:eastAsia="Arial" w:hAnsi="Arial"/>
          <w:sz w:val="16"/>
          <w:szCs w:val="16"/>
          <w:color w:val="auto"/>
        </w:rPr>
        <w:t>. (a) The execution, delivery and performance by the Company of this Agreement and the Voting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and the consummation by the Company of the transactions contemplated hereby and thereby are within the Company’s corporate powers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 for the required approval of the Company’s stockholders in connection with the consummation of the Merger, have been duly authorized by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necessary corporate action on the part of the Company. The affirmative vote of the holders of a majority of the outstanding shares of Company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Stockholder Approval</w:t>
      </w:r>
      <w:r>
        <w:rPr>
          <w:rFonts w:ascii="Arial" w:cs="Arial" w:eastAsia="Arial" w:hAnsi="Arial"/>
          <w:sz w:val="16"/>
          <w:szCs w:val="16"/>
          <w:color w:val="auto"/>
        </w:rPr>
        <w:t>”) is the only vote of the holders of any of the Company’s capital stock necessary in connection with the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Merger. This Agreement, assuming due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t>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241" w:lineRule="exact"/>
        <w:rPr>
          <w:sz w:val="20"/>
          <w:szCs w:val="20"/>
          <w:color w:val="auto"/>
        </w:rPr>
      </w:pPr>
    </w:p>
    <w:p>
      <w:pPr>
        <w:ind w:right="160" w:firstLine="1305"/>
        <w:spacing w:after="0" w:line="257" w:lineRule="auto"/>
        <w:tabs>
          <w:tab w:leader="none" w:pos="19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meeting duly called and held, as of the date of this Agreement, the Company’s Board of Directors has (i) unanimously determined that this Agreement and the Voting Agreement and the transactions contemplated hereby and thereby are fair to and in the best interests of the Company’s stockholders, (ii) 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18"/>
          <w:szCs w:val="18"/>
          <w:b w:val="1"/>
          <w:bCs w:val="1"/>
          <w:color w:val="auto"/>
        </w:rPr>
        <w:t>Company Board</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w:t>
      </w:r>
    </w:p>
    <w:p>
      <w:pPr>
        <w:spacing w:after="0" w:line="24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 (vii) compliance with any applicable requirements of the New York Stock Exchange (the “</w:t>
      </w:r>
      <w:r>
        <w:rPr>
          <w:rFonts w:ascii="Arial" w:cs="Arial" w:eastAsia="Arial" w:hAnsi="Arial"/>
          <w:sz w:val="16"/>
          <w:szCs w:val="16"/>
          <w:b w:val="1"/>
          <w:bCs w:val="1"/>
          <w:color w:val="auto"/>
        </w:rPr>
        <w:t>NYSE</w:t>
      </w:r>
      <w:r>
        <w:rPr>
          <w:rFonts w:ascii="Arial" w:cs="Arial" w:eastAsia="Arial" w:hAnsi="Arial"/>
          <w:sz w:val="16"/>
          <w:szCs w:val="16"/>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22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 (iii) assuming compliance with the matters referred to in Section 4.03, require any consent or other action by any Person under, constitute a default, or an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24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the Company consists of 8,333,333,333 shares of Company Stock and 1,000,000,000 shares of preferred stock, par value $0.01, of the Company. As of February 10, 2014, there were outstanding (A) 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 respective terms thereof, duly authorized and validly issued, fully paid and nonassessable and free of preemptive rights. No Subsidiary of the Company owns any shares of capital stock of the Company or any Company Securities.</w:t>
      </w:r>
    </w:p>
    <w:p>
      <w:pPr>
        <w:spacing w:after="0" w:line="220" w:lineRule="exact"/>
        <w:rPr>
          <w:sz w:val="20"/>
          <w:szCs w:val="20"/>
          <w:color w:val="auto"/>
        </w:rPr>
      </w:pPr>
    </w:p>
    <w:p>
      <w:pPr>
        <w:ind w:right="20" w:firstLine="1305"/>
        <w:spacing w:after="0" w:line="270" w:lineRule="auto"/>
        <w:tabs>
          <w:tab w:leader="none" w:pos="19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 (ii) securities of the Company convertible into or exchangeable for shares of capital stock or other voting securities of or other ownership interests in the Company, (iii) 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7"/>
          <w:szCs w:val="17"/>
          <w:b w:val="1"/>
          <w:bCs w:val="1"/>
          <w:color w:val="auto"/>
        </w:rPr>
        <w:t>phantom</w:t>
      </w:r>
      <w:r>
        <w:rPr>
          <w:rFonts w:ascii="Arial" w:cs="Arial" w:eastAsia="Arial" w:hAnsi="Arial"/>
          <w:sz w:val="17"/>
          <w:szCs w:val="17"/>
          <w:color w:val="auto"/>
        </w:rPr>
        <w:t>” stock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4" w:name="page35"/>
    <w:bookmarkEnd w:id="34"/>
    <w:p>
      <w:pPr>
        <w:ind w:right="20"/>
        <w:spacing w:after="0" w:line="255" w:lineRule="auto"/>
        <w:rPr>
          <w:sz w:val="20"/>
          <w:szCs w:val="20"/>
          <w:color w:val="auto"/>
        </w:rPr>
      </w:pPr>
      <w:r>
        <w:rPr>
          <w:rFonts w:ascii="Arial" w:cs="Arial" w:eastAsia="Arial" w:hAnsi="Arial"/>
          <w:sz w:val="18"/>
          <w:szCs w:val="18"/>
          <w:color w:val="auto"/>
        </w:rPr>
        <w:t>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8"/>
          <w:szCs w:val="18"/>
          <w:b w:val="1"/>
          <w:bCs w:val="1"/>
          <w:color w:val="auto"/>
        </w:rPr>
        <w:t>Company Securities</w:t>
      </w:r>
      <w:r>
        <w:rPr>
          <w:rFonts w:ascii="Arial" w:cs="Arial" w:eastAsia="Arial" w:hAnsi="Arial"/>
          <w:sz w:val="18"/>
          <w:szCs w:val="18"/>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2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Subsidiaries</w:t>
      </w:r>
      <w:r>
        <w:rPr>
          <w:rFonts w:ascii="Arial" w:cs="Arial" w:eastAsia="Arial" w:hAnsi="Arial"/>
          <w:sz w:val="17"/>
          <w:szCs w:val="17"/>
          <w:color w:val="auto"/>
        </w:rPr>
        <w:t>. (a) Each Subsidiary of the Company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Company Material Adverse Effect. Each Subsidiary of the Company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Company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Company Material Adverse Effect. Section 4.06(a) of the Company Disclosure Schedule identifies all “</w:t>
      </w:r>
      <w:r>
        <w:rPr>
          <w:rFonts w:ascii="Arial" w:cs="Arial" w:eastAsia="Arial" w:hAnsi="Arial"/>
          <w:sz w:val="17"/>
          <w:szCs w:val="17"/>
          <w:b w:val="1"/>
          <w:bCs w:val="1"/>
          <w:color w:val="auto"/>
        </w:rPr>
        <w:t>significant subsidiaries</w:t>
      </w:r>
      <w:r>
        <w:rPr>
          <w:rFonts w:ascii="Arial" w:cs="Arial" w:eastAsia="Arial" w:hAnsi="Arial"/>
          <w:sz w:val="17"/>
          <w:szCs w:val="17"/>
          <w:color w:val="auto"/>
        </w:rPr>
        <w:t>” (as defined under Rule 1-02(w) of Regulation S-X promulgated pursuant to the 1934 Act) (each, a “</w:t>
      </w:r>
      <w:r>
        <w:rPr>
          <w:rFonts w:ascii="Arial" w:cs="Arial" w:eastAsia="Arial" w:hAnsi="Arial"/>
          <w:sz w:val="17"/>
          <w:szCs w:val="17"/>
          <w:b w:val="1"/>
          <w:bCs w:val="1"/>
          <w:color w:val="auto"/>
        </w:rPr>
        <w:t>Significant Subsidiary</w:t>
      </w:r>
      <w:r>
        <w:rPr>
          <w:rFonts w:ascii="Arial" w:cs="Arial" w:eastAsia="Arial" w:hAnsi="Arial"/>
          <w:sz w:val="17"/>
          <w:szCs w:val="17"/>
          <w:color w:val="auto"/>
        </w:rPr>
        <w:t>”) of the Company and their respective jurisdictions of organization</w:t>
      </w:r>
    </w:p>
    <w:p>
      <w:pPr>
        <w:spacing w:after="0" w:line="232" w:lineRule="exact"/>
        <w:rPr>
          <w:sz w:val="20"/>
          <w:szCs w:val="20"/>
          <w:color w:val="auto"/>
        </w:rPr>
      </w:pPr>
    </w:p>
    <w:p>
      <w:pPr>
        <w:ind w:right="60" w:firstLine="1305"/>
        <w:spacing w:after="0" w:line="271" w:lineRule="auto"/>
        <w:tabs>
          <w:tab w:leader="none" w:pos="1938"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 (ii) 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jc w:val="both"/>
        <w:ind w:right="80"/>
        <w:spacing w:after="0" w:line="303" w:lineRule="auto"/>
        <w:rPr>
          <w:sz w:val="20"/>
          <w:szCs w:val="20"/>
          <w:color w:val="auto"/>
        </w:rPr>
      </w:pPr>
      <w:r>
        <w:rPr>
          <w:rFonts w:ascii="Arial" w:cs="Arial" w:eastAsia="Arial" w:hAnsi="Arial"/>
          <w:sz w:val="16"/>
          <w:szCs w:val="16"/>
          <w:color w:val="auto"/>
        </w:rPr>
        <w:t>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 (i) through (iii) being referred to collectively as the “</w:t>
      </w:r>
      <w:r>
        <w:rPr>
          <w:rFonts w:ascii="Arial" w:cs="Arial" w:eastAsia="Arial" w:hAnsi="Arial"/>
          <w:sz w:val="16"/>
          <w:szCs w:val="16"/>
          <w:b w:val="1"/>
          <w:bCs w:val="1"/>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209" w:lineRule="exact"/>
        <w:rPr>
          <w:sz w:val="20"/>
          <w:szCs w:val="20"/>
          <w:color w:val="auto"/>
        </w:rPr>
      </w:pPr>
    </w:p>
    <w:p>
      <w:pPr>
        <w:jc w:val="both"/>
        <w:ind w:firstLine="1305"/>
        <w:spacing w:after="0" w:line="291" w:lineRule="auto"/>
        <w:tabs>
          <w:tab w:leader="none" w:pos="1928"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w:t>
      </w:r>
    </w:p>
    <w:p>
      <w:pPr>
        <w:ind w:firstLine="8"/>
        <w:spacing w:after="0" w:line="290"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6"/>
          <w:szCs w:val="16"/>
          <w:b w:val="1"/>
          <w:bCs w:val="1"/>
          <w:color w:val="auto"/>
        </w:rPr>
        <w:t>Company Investment</w:t>
      </w:r>
      <w:r>
        <w:rPr>
          <w:rFonts w:ascii="Arial" w:cs="Arial" w:eastAsia="Arial" w:hAnsi="Arial"/>
          <w:sz w:val="16"/>
          <w:szCs w:val="16"/>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21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SEC Filings and the Sarbanes-Oxley Act</w:t>
      </w:r>
      <w:r>
        <w:rPr>
          <w:rFonts w:ascii="Arial" w:cs="Arial" w:eastAsia="Arial" w:hAnsi="Arial"/>
          <w:sz w:val="17"/>
          <w:szCs w:val="17"/>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17"/>
          <w:szCs w:val="17"/>
          <w:b w:val="1"/>
          <w:bCs w:val="1"/>
          <w:color w:val="auto"/>
        </w:rPr>
        <w:t>Company SEC Documents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its filing date (or as of the date of any amendment filed prior to the date hereof), each Company SEC Document complied, and each Company SEC Document filed subsequent to the date hereof will comply, as to form in all material respects with the applicable requirements of the 1933 Act and the 1934 Act and the Sarbanes-Oxley Act, as the case may be.</w:t>
      </w:r>
    </w:p>
    <w:p>
      <w:pPr>
        <w:spacing w:after="0" w:line="235" w:lineRule="exact"/>
        <w:rPr>
          <w:rFonts w:ascii="Arial" w:cs="Arial" w:eastAsia="Arial" w:hAnsi="Arial"/>
          <w:sz w:val="18"/>
          <w:szCs w:val="18"/>
          <w:color w:val="auto"/>
        </w:rPr>
      </w:pPr>
    </w:p>
    <w:p>
      <w:pPr>
        <w:ind w:right="140" w:firstLine="1305"/>
        <w:spacing w:after="0" w:line="259" w:lineRule="auto"/>
        <w:tabs>
          <w:tab w:leader="none" w:pos="19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therein, in light of the circumstances under which they were made, not misleading in any material respect.</w:t>
      </w:r>
    </w:p>
    <w:p>
      <w:pPr>
        <w:spacing w:after="0" w:line="279" w:lineRule="exact"/>
        <w:rPr>
          <w:sz w:val="20"/>
          <w:szCs w:val="20"/>
          <w:color w:val="auto"/>
        </w:rPr>
      </w:pPr>
    </w:p>
    <w:p>
      <w:pPr>
        <w:jc w:val="both"/>
        <w:ind w:right="260" w:firstLine="1305"/>
        <w:spacing w:after="0" w:line="286" w:lineRule="auto"/>
        <w:tabs>
          <w:tab w:leader="none" w:pos="19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219" w:lineRule="exact"/>
        <w:rPr>
          <w:rFonts w:ascii="Arial" w:cs="Arial" w:eastAsia="Arial" w:hAnsi="Arial"/>
          <w:sz w:val="17"/>
          <w:szCs w:val="17"/>
          <w:color w:val="auto"/>
        </w:rPr>
      </w:pPr>
    </w:p>
    <w:p>
      <w:pPr>
        <w:ind w:right="60" w:firstLine="1305"/>
        <w:spacing w:after="0" w:line="272" w:lineRule="auto"/>
        <w:tabs>
          <w:tab w:leader="none" w:pos="1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17"/>
          <w:szCs w:val="17"/>
          <w:b w:val="1"/>
          <w:bCs w:val="1"/>
          <w:color w:val="auto"/>
        </w:rPr>
        <w:t>principal executive officer</w:t>
      </w:r>
      <w:r>
        <w:rPr>
          <w:rFonts w:ascii="Arial" w:cs="Arial" w:eastAsia="Arial" w:hAnsi="Arial"/>
          <w:sz w:val="17"/>
          <w:szCs w:val="17"/>
          <w:color w:val="auto"/>
        </w:rPr>
        <w:t>” and “</w:t>
      </w:r>
      <w:r>
        <w:rPr>
          <w:rFonts w:ascii="Arial" w:cs="Arial" w:eastAsia="Arial" w:hAnsi="Arial"/>
          <w:sz w:val="17"/>
          <w:szCs w:val="17"/>
          <w:b w:val="1"/>
          <w:bCs w:val="1"/>
          <w:color w:val="auto"/>
        </w:rPr>
        <w:t>principal financial officer</w:t>
      </w:r>
      <w:r>
        <w:rPr>
          <w:rFonts w:ascii="Arial" w:cs="Arial" w:eastAsia="Arial" w:hAnsi="Arial"/>
          <w:sz w:val="17"/>
          <w:szCs w:val="17"/>
          <w:color w:val="auto"/>
        </w:rPr>
        <w:t>” shall have the meanings given to such terms in the Sarbanes-Oxley Act.</w:t>
      </w:r>
    </w:p>
    <w:p>
      <w:pPr>
        <w:spacing w:after="0" w:line="231" w:lineRule="exact"/>
        <w:rPr>
          <w:rFonts w:ascii="Arial" w:cs="Arial" w:eastAsia="Arial" w:hAnsi="Arial"/>
          <w:sz w:val="17"/>
          <w:szCs w:val="17"/>
          <w:color w:val="auto"/>
        </w:rPr>
      </w:pPr>
    </w:p>
    <w:p>
      <w:pPr>
        <w:ind w:right="160" w:firstLine="1305"/>
        <w:spacing w:after="0" w:line="271" w:lineRule="auto"/>
        <w:tabs>
          <w:tab w:leader="none" w:pos="19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and its Subsidiaries have established and maintained a system of internal controls over financial reporting (as defined in Rule 13a-15 under the 1934 Act) (“</w:t>
      </w:r>
      <w:r>
        <w:rPr>
          <w:rFonts w:ascii="Arial" w:cs="Arial" w:eastAsia="Arial" w:hAnsi="Arial"/>
          <w:sz w:val="17"/>
          <w:szCs w:val="17"/>
          <w:b w:val="1"/>
          <w:bCs w:val="1"/>
          <w:color w:val="auto"/>
        </w:rPr>
        <w:t>internal controls</w:t>
      </w:r>
      <w:r>
        <w:rPr>
          <w:rFonts w:ascii="Arial" w:cs="Arial" w:eastAsia="Arial" w:hAnsi="Arial"/>
          <w:sz w:val="17"/>
          <w:szCs w:val="17"/>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232" w:lineRule="exact"/>
        <w:rPr>
          <w:rFonts w:ascii="Arial" w:cs="Arial" w:eastAsia="Arial" w:hAnsi="Arial"/>
          <w:sz w:val="17"/>
          <w:szCs w:val="17"/>
          <w:color w:val="auto"/>
        </w:rPr>
      </w:pPr>
    </w:p>
    <w:p>
      <w:pPr>
        <w:ind w:firstLine="1305"/>
        <w:spacing w:after="0" w:line="264" w:lineRule="auto"/>
        <w:tabs>
          <w:tab w:leader="none" w:pos="19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extended or maintained credit, arranged for the extension of credit, or renewed an extension of credit, in the form of a personal loan to or for any executive officer (as defined in Rule 3b-7 under the 1934 Act) or director of the Company in violation of Section 402 of the Sarbanes-Oxley Act.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right="360" w:firstLine="1305"/>
        <w:spacing w:after="0" w:line="277"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224" w:lineRule="exact"/>
        <w:rPr>
          <w:rFonts w:ascii="Arial" w:cs="Arial" w:eastAsia="Arial" w:hAnsi="Arial"/>
          <w:sz w:val="18"/>
          <w:szCs w:val="18"/>
          <w:color w:val="auto"/>
        </w:rPr>
      </w:pPr>
    </w:p>
    <w:p>
      <w:pPr>
        <w:ind w:right="140" w:firstLine="1305"/>
        <w:spacing w:after="0" w:line="259" w:lineRule="auto"/>
        <w:tabs>
          <w:tab w:leader="none" w:pos="18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240" w:lineRule="exact"/>
        <w:rPr>
          <w:rFonts w:ascii="Arial" w:cs="Arial" w:eastAsia="Arial" w:hAnsi="Arial"/>
          <w:sz w:val="18"/>
          <w:szCs w:val="18"/>
          <w:color w:val="auto"/>
        </w:rPr>
      </w:pPr>
    </w:p>
    <w:p>
      <w:pPr>
        <w:jc w:val="both"/>
        <w:ind w:right="20" w:firstLine="1305"/>
        <w:spacing w:after="0" w:line="264" w:lineRule="auto"/>
        <w:tabs>
          <w:tab w:leader="none" w:pos="18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235" w:lineRule="exact"/>
        <w:rPr>
          <w:rFonts w:ascii="Arial" w:cs="Arial" w:eastAsia="Arial" w:hAnsi="Arial"/>
          <w:sz w:val="18"/>
          <w:szCs w:val="18"/>
          <w:color w:val="auto"/>
        </w:rPr>
      </w:pPr>
    </w:p>
    <w:p>
      <w:pPr>
        <w:ind w:right="20" w:firstLine="1305"/>
        <w:spacing w:after="0" w:line="257"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242" w:lineRule="exact"/>
        <w:rPr>
          <w:rFonts w:ascii="Arial" w:cs="Arial" w:eastAsia="Arial" w:hAnsi="Arial"/>
          <w:sz w:val="18"/>
          <w:szCs w:val="18"/>
          <w:color w:val="auto"/>
        </w:rPr>
      </w:pPr>
    </w:p>
    <w:p>
      <w:pPr>
        <w:ind w:right="20" w:firstLine="1305"/>
        <w:spacing w:after="0" w:line="277" w:lineRule="auto"/>
        <w:tabs>
          <w:tab w:leader="none" w:pos="18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2013, when filed with the SEC, will contain no material differences from the Company 10-K.</w:t>
      </w:r>
    </w:p>
    <w:p>
      <w:pPr>
        <w:spacing w:after="0" w:line="2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23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Disclosure Documents</w:t>
      </w:r>
      <w:r>
        <w:rPr>
          <w:rFonts w:ascii="Arial" w:cs="Arial" w:eastAsia="Arial" w:hAnsi="Arial"/>
          <w:sz w:val="18"/>
          <w:szCs w:val="18"/>
          <w:color w:val="auto"/>
        </w:rPr>
        <w:t>. The information supplied by the Company in writing for inclusion or incorporation by reference in the registration statement on Form S-4 or any amendment or supplement thereto pursuant to</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8" w:name="page39"/>
    <w:bookmarkEnd w:id="38"/>
    <w:p>
      <w:pPr>
        <w:spacing w:after="0" w:line="284" w:lineRule="auto"/>
        <w:rPr>
          <w:sz w:val="20"/>
          <w:szCs w:val="20"/>
          <w:color w:val="auto"/>
        </w:rPr>
      </w:pPr>
      <w:r>
        <w:rPr>
          <w:rFonts w:ascii="Arial" w:cs="Arial" w:eastAsia="Arial" w:hAnsi="Arial"/>
          <w:sz w:val="16"/>
          <w:szCs w:val="16"/>
          <w:color w:val="auto"/>
        </w:rPr>
        <w:t>which shares of Parent Class A Common Stock issuable as part of the Merger Consideration will be registered with the SEC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6"/>
          <w:szCs w:val="16"/>
          <w:b w:val="1"/>
          <w:b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shall not, on the date the Joint Proxy Statement/Prospectus, and any amendments or supplements thereto, is first mailed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2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241" w:lineRule="exact"/>
        <w:rPr>
          <w:sz w:val="20"/>
          <w:szCs w:val="20"/>
          <w:color w:val="auto"/>
        </w:rPr>
      </w:pPr>
    </w:p>
    <w:p>
      <w:pPr>
        <w:ind w:firstLine="1305"/>
        <w:spacing w:after="0" w:line="286" w:lineRule="auto"/>
        <w:tabs>
          <w:tab w:leader="none" w:pos="19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22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or obligations of the Company or any of its Subsidiaries of any kind whatsoever, whether accrued, contingent, absolute, determined, determinable or otherwise, other than: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9" w:name="page40"/>
    <w:bookmarkEnd w:id="39"/>
    <w:p>
      <w:pPr>
        <w:ind w:left="1940" w:hanging="635"/>
        <w:spacing w:after="0"/>
        <w:tabs>
          <w:tab w:leader="none" w:pos="1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liabilities or obligations disclosed, reflected, reserved against or otherwise provided for in the Company Balance Sheet 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thereto;</w:t>
      </w:r>
    </w:p>
    <w:p>
      <w:pPr>
        <w:spacing w:after="0" w:line="265" w:lineRule="exact"/>
        <w:rPr>
          <w:sz w:val="20"/>
          <w:szCs w:val="20"/>
          <w:color w:val="auto"/>
        </w:rPr>
      </w:pPr>
    </w:p>
    <w:p>
      <w:pPr>
        <w:ind w:left="1940" w:hanging="635"/>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liabilities or obligations incurred in the ordinary course of business consistent with past practices since the Company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65" w:lineRule="exact"/>
        <w:rPr>
          <w:sz w:val="20"/>
          <w:szCs w:val="20"/>
          <w:color w:val="auto"/>
        </w:rPr>
      </w:pPr>
    </w:p>
    <w:p>
      <w:pPr>
        <w:ind w:left="1940" w:hanging="635"/>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or obligations arising out of this Agreement or the transactions contemplated hereby; and</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liabilities or obligations that would not reasonably be expected to have, individually or in the aggregate, a Company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i w:val="1"/>
          <w:iCs w:val="1"/>
          <w:color w:val="auto"/>
        </w:rPr>
        <w:t>Compliance with Laws and Court Orders; Governmental Authorizations</w:t>
      </w:r>
      <w:r>
        <w:rPr>
          <w:rFonts w:ascii="Arial" w:cs="Arial" w:eastAsia="Arial" w:hAnsi="Arial"/>
          <w:sz w:val="17"/>
          <w:szCs w:val="17"/>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232" w:lineRule="exact"/>
        <w:rPr>
          <w:sz w:val="20"/>
          <w:szCs w:val="20"/>
          <w:color w:val="auto"/>
        </w:rPr>
      </w:pPr>
    </w:p>
    <w:p>
      <w:pPr>
        <w:ind w:right="20" w:firstLine="1305"/>
        <w:spacing w:after="0" w:line="255" w:lineRule="auto"/>
        <w:tabs>
          <w:tab w:leader="none" w:pos="17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2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0" w:name="page41"/>
    <w:bookmarkEnd w:id="40"/>
    <w:p>
      <w:pPr>
        <w:ind w:right="220"/>
        <w:spacing w:after="0" w:line="264" w:lineRule="auto"/>
        <w:rPr>
          <w:sz w:val="20"/>
          <w:szCs w:val="20"/>
          <w:color w:val="auto"/>
        </w:rPr>
      </w:pPr>
      <w:r>
        <w:rPr>
          <w:rFonts w:ascii="Arial" w:cs="Arial" w:eastAsia="Arial" w:hAnsi="Arial"/>
          <w:sz w:val="18"/>
          <w:szCs w:val="18"/>
          <w:color w:val="auto"/>
        </w:rPr>
        <w:t>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23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Properties</w:t>
      </w:r>
      <w:r>
        <w:rPr>
          <w:rFonts w:ascii="Arial" w:cs="Arial" w:eastAsia="Arial" w:hAnsi="Arial"/>
          <w:sz w:val="18"/>
          <w:szCs w:val="18"/>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241" w:lineRule="exact"/>
        <w:rPr>
          <w:sz w:val="20"/>
          <w:szCs w:val="20"/>
          <w:color w:val="auto"/>
        </w:rPr>
      </w:pPr>
    </w:p>
    <w:p>
      <w:pPr>
        <w:ind w:right="40" w:firstLine="1305"/>
        <w:spacing w:after="0" w:line="297" w:lineRule="auto"/>
        <w:tabs>
          <w:tab w:leader="none" w:pos="19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each lease, sublease or license (each, a “</w:t>
      </w:r>
      <w:r>
        <w:rPr>
          <w:rFonts w:ascii="Arial" w:cs="Arial" w:eastAsia="Arial" w:hAnsi="Arial"/>
          <w:sz w:val="16"/>
          <w:szCs w:val="16"/>
          <w:b w:val="1"/>
          <w:bCs w:val="1"/>
          <w:color w:val="auto"/>
        </w:rPr>
        <w:t>Lease</w:t>
      </w:r>
      <w:r>
        <w:rPr>
          <w:rFonts w:ascii="Arial" w:cs="Arial" w:eastAsia="Arial" w:hAnsi="Arial"/>
          <w:sz w:val="16"/>
          <w:szCs w:val="16"/>
          <w:color w:val="auto"/>
        </w:rPr>
        <w:t>”) under which the Company or any of its Subsidiaries leases, subleases or licenses any real property is valid and in full force and effect and (ii) neither the Company nor any of its Subsidiaries, nor to the Company’s knowledge any other party to a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21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Intellectual Property</w:t>
      </w:r>
      <w:r>
        <w:rPr>
          <w:rFonts w:ascii="Arial" w:cs="Arial" w:eastAsia="Arial" w:hAnsi="Arial"/>
          <w:sz w:val="16"/>
          <w:szCs w:val="16"/>
          <w:color w:val="auto"/>
        </w:rPr>
        <w:t>. (a) Except as would not reasonably be expected to have, individually or in the aggregate, a Company Material Adverse Effect, (i) 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212" w:lineRule="exact"/>
        <w:rPr>
          <w:sz w:val="20"/>
          <w:szCs w:val="20"/>
          <w:color w:val="auto"/>
        </w:rPr>
      </w:pPr>
    </w:p>
    <w:p>
      <w:pPr>
        <w:ind w:right="240" w:firstLine="1305"/>
        <w:spacing w:after="0" w:line="273" w:lineRule="auto"/>
        <w:tabs>
          <w:tab w:leader="none" w:pos="1938"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jc w:val="both"/>
        <w:ind w:right="180"/>
        <w:spacing w:after="0" w:line="286" w:lineRule="auto"/>
        <w:rPr>
          <w:sz w:val="20"/>
          <w:szCs w:val="20"/>
          <w:color w:val="auto"/>
        </w:rPr>
      </w:pPr>
      <w:r>
        <w:rPr>
          <w:rFonts w:ascii="Arial" w:cs="Arial" w:eastAsia="Arial" w:hAnsi="Arial"/>
          <w:sz w:val="17"/>
          <w:szCs w:val="17"/>
          <w:color w:val="auto"/>
        </w:rPr>
        <w:t>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220" w:lineRule="exact"/>
        <w:rPr>
          <w:sz w:val="20"/>
          <w:szCs w:val="20"/>
          <w:color w:val="auto"/>
        </w:rPr>
      </w:pPr>
    </w:p>
    <w:p>
      <w:pPr>
        <w:ind w:right="60" w:firstLine="1305"/>
        <w:spacing w:after="0" w:line="255" w:lineRule="auto"/>
        <w:tabs>
          <w:tab w:leader="none" w:pos="19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 knowledge of the Company, no Person has infringed, misappropriated or otherwise violated any Owned Intellectual Property Right.</w:t>
      </w:r>
    </w:p>
    <w:p>
      <w:pPr>
        <w:spacing w:after="0" w:line="243" w:lineRule="exact"/>
        <w:rPr>
          <w:rFonts w:ascii="Arial" w:cs="Arial" w:eastAsia="Arial" w:hAnsi="Arial"/>
          <w:sz w:val="18"/>
          <w:szCs w:val="18"/>
          <w:color w:val="auto"/>
        </w:rPr>
      </w:pPr>
    </w:p>
    <w:p>
      <w:pPr>
        <w:ind w:right="20" w:firstLine="1305"/>
        <w:spacing w:after="0" w:line="273" w:lineRule="auto"/>
        <w:tabs>
          <w:tab w:leader="none" w:pos="19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232" w:lineRule="exact"/>
        <w:rPr>
          <w:rFonts w:ascii="Arial" w:cs="Arial" w:eastAsia="Arial" w:hAnsi="Arial"/>
          <w:sz w:val="17"/>
          <w:szCs w:val="17"/>
          <w:color w:val="auto"/>
        </w:rPr>
      </w:pPr>
    </w:p>
    <w:p>
      <w:pPr>
        <w:ind w:firstLine="1305"/>
        <w:spacing w:after="0" w:line="276" w:lineRule="auto"/>
        <w:tabs>
          <w:tab w:leader="none" w:pos="19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22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Company Material Adverse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2" w:name="page43"/>
    <w:bookmarkEnd w:id="42"/>
    <w:p>
      <w:pPr>
        <w:ind w:left="-20" w:right="200" w:firstLine="656"/>
        <w:spacing w:after="0" w:line="277" w:lineRule="auto"/>
        <w:tabs>
          <w:tab w:leader="none" w:pos="8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224" w:lineRule="exact"/>
        <w:rPr>
          <w:rFonts w:ascii="Arial" w:cs="Arial" w:eastAsia="Arial" w:hAnsi="Arial"/>
          <w:sz w:val="18"/>
          <w:szCs w:val="18"/>
          <w:color w:val="auto"/>
        </w:rPr>
      </w:pPr>
    </w:p>
    <w:p>
      <w:pPr>
        <w:ind w:left="1280" w:right="220" w:firstLine="815"/>
        <w:spacing w:after="0" w:line="277" w:lineRule="auto"/>
        <w:tabs>
          <w:tab w:leader="none" w:pos="274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paid to the appropriate Taxing Authority all Taxes shown as due and payable on all Tax Returns that have been so filed;</w:t>
      </w:r>
    </w:p>
    <w:p>
      <w:pPr>
        <w:spacing w:after="0" w:line="224" w:lineRule="exact"/>
        <w:rPr>
          <w:rFonts w:ascii="Arial" w:cs="Arial" w:eastAsia="Arial" w:hAnsi="Arial"/>
          <w:sz w:val="18"/>
          <w:szCs w:val="18"/>
          <w:color w:val="auto"/>
        </w:rPr>
      </w:pPr>
    </w:p>
    <w:p>
      <w:pPr>
        <w:ind w:left="1280" w:right="40" w:firstLine="815"/>
        <w:spacing w:after="0" w:line="277" w:lineRule="auto"/>
        <w:tabs>
          <w:tab w:leader="none" w:pos="279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accruals and reserves with respect to Taxes as set forth on the Company Balance Sheet are adequate (as determined in accordance with GAAP);</w:t>
      </w:r>
    </w:p>
    <w:p>
      <w:pPr>
        <w:spacing w:after="0" w:line="224" w:lineRule="exact"/>
        <w:rPr>
          <w:rFonts w:ascii="Arial" w:cs="Arial" w:eastAsia="Arial" w:hAnsi="Arial"/>
          <w:sz w:val="18"/>
          <w:szCs w:val="18"/>
          <w:color w:val="auto"/>
        </w:rPr>
      </w:pPr>
    </w:p>
    <w:p>
      <w:pPr>
        <w:ind w:left="1280" w:right="100" w:firstLine="815"/>
        <w:spacing w:after="0" w:line="277" w:lineRule="auto"/>
        <w:tabs>
          <w:tab w:leader="none" w:pos="278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Company Balance Sheet Date;</w:t>
      </w:r>
    </w:p>
    <w:p>
      <w:pPr>
        <w:spacing w:after="0" w:line="224" w:lineRule="exact"/>
        <w:rPr>
          <w:rFonts w:ascii="Arial" w:cs="Arial" w:eastAsia="Arial" w:hAnsi="Arial"/>
          <w:sz w:val="18"/>
          <w:szCs w:val="18"/>
          <w:color w:val="auto"/>
        </w:rPr>
      </w:pPr>
    </w:p>
    <w:p>
      <w:pPr>
        <w:ind w:left="1280" w:right="160" w:firstLine="815"/>
        <w:spacing w:after="0" w:line="277" w:lineRule="auto"/>
        <w:tabs>
          <w:tab w:leader="none" w:pos="273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the Company’s knowledge, threatened against or with respect to the Company or any of its Subsidiaries in respect of any material Tax; and</w:t>
      </w:r>
    </w:p>
    <w:p>
      <w:pPr>
        <w:spacing w:after="0" w:line="224" w:lineRule="exact"/>
        <w:rPr>
          <w:rFonts w:ascii="Arial" w:cs="Arial" w:eastAsia="Arial" w:hAnsi="Arial"/>
          <w:sz w:val="18"/>
          <w:szCs w:val="18"/>
          <w:color w:val="auto"/>
        </w:rPr>
      </w:pPr>
    </w:p>
    <w:p>
      <w:pPr>
        <w:ind w:left="1280" w:firstLine="815"/>
        <w:spacing w:after="0" w:line="312" w:lineRule="auto"/>
        <w:tabs>
          <w:tab w:leader="none" w:pos="2782"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96" w:lineRule="exact"/>
        <w:rPr>
          <w:rFonts w:ascii="Arial" w:cs="Arial" w:eastAsia="Arial" w:hAnsi="Arial"/>
          <w:sz w:val="16"/>
          <w:szCs w:val="16"/>
          <w:color w:val="auto"/>
        </w:rPr>
      </w:pPr>
    </w:p>
    <w:p>
      <w:pPr>
        <w:ind w:left="-20" w:right="40" w:firstLine="1305"/>
        <w:spacing w:after="0" w:line="347" w:lineRule="auto"/>
        <w:tabs>
          <w:tab w:leader="none" w:pos="19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Under the Tax Sharing Agreement with Time Warner Inc. (“</w:t>
      </w:r>
      <w:r>
        <w:rPr>
          <w:rFonts w:ascii="Arial" w:cs="Arial" w:eastAsia="Arial" w:hAnsi="Arial"/>
          <w:sz w:val="16"/>
          <w:szCs w:val="16"/>
          <w:b w:val="1"/>
          <w:bCs w:val="1"/>
          <w:color w:val="auto"/>
        </w:rPr>
        <w:t>TWX</w:t>
      </w:r>
      <w:r>
        <w:rPr>
          <w:rFonts w:ascii="Arial" w:cs="Arial" w:eastAsia="Arial" w:hAnsi="Arial"/>
          <w:sz w:val="16"/>
          <w:szCs w:val="16"/>
          <w:color w:val="auto"/>
        </w:rPr>
        <w:t>”), the Company is not responsible for income and franchise taxes for taxable periods prior to and including March 31, 2003. The Company was part of the TWX federal consolidated tax return through March 12, 2009.</w:t>
      </w:r>
    </w:p>
    <w:p>
      <w:pPr>
        <w:spacing w:after="0" w:line="174" w:lineRule="exact"/>
        <w:rPr>
          <w:rFonts w:ascii="Arial" w:cs="Arial" w:eastAsia="Arial" w:hAnsi="Arial"/>
          <w:sz w:val="16"/>
          <w:szCs w:val="16"/>
          <w:color w:val="auto"/>
        </w:rPr>
      </w:pPr>
    </w:p>
    <w:p>
      <w:pPr>
        <w:ind w:left="-20" w:right="100" w:firstLine="1305"/>
        <w:spacing w:after="0" w:line="277" w:lineRule="auto"/>
        <w:tabs>
          <w:tab w:leader="none" w:pos="19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224" w:lineRule="exact"/>
        <w:rPr>
          <w:rFonts w:ascii="Arial" w:cs="Arial" w:eastAsia="Arial" w:hAnsi="Arial"/>
          <w:sz w:val="18"/>
          <w:szCs w:val="18"/>
          <w:color w:val="auto"/>
        </w:rPr>
      </w:pPr>
    </w:p>
    <w:p>
      <w:pPr>
        <w:jc w:val="both"/>
        <w:ind w:left="-20" w:right="280" w:firstLine="1305"/>
        <w:spacing w:after="0" w:line="302" w:lineRule="auto"/>
        <w:tabs>
          <w:tab w:leader="none" w:pos="191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43" w:name="page44"/>
    <w:bookmarkEnd w:id="43"/>
    <w:p>
      <w:pPr>
        <w:ind w:right="180" w:firstLine="1305"/>
        <w:spacing w:after="0" w:line="282" w:lineRule="auto"/>
        <w:tabs>
          <w:tab w:leader="none" w:pos="19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w:t>
      </w:r>
      <w:r>
        <w:rPr>
          <w:rFonts w:ascii="Arial" w:cs="Arial" w:eastAsia="Arial" w:hAnsi="Arial"/>
          <w:sz w:val="18"/>
          <w:szCs w:val="18"/>
          <w:b w:val="1"/>
          <w:bCs w:val="1"/>
          <w:color w:val="auto"/>
        </w:rPr>
        <w:t>reportable transaction</w:t>
      </w:r>
      <w:r>
        <w:rPr>
          <w:rFonts w:ascii="Arial" w:cs="Arial" w:eastAsia="Arial" w:hAnsi="Arial"/>
          <w:sz w:val="18"/>
          <w:szCs w:val="18"/>
          <w:color w:val="auto"/>
        </w:rPr>
        <w:t>” within the meaning of Treasury Regulations Section 1.6011-4(b)(1).</w:t>
      </w:r>
    </w:p>
    <w:p>
      <w:pPr>
        <w:spacing w:after="0" w:line="219" w:lineRule="exact"/>
        <w:rPr>
          <w:rFonts w:ascii="Arial" w:cs="Arial" w:eastAsia="Arial" w:hAnsi="Arial"/>
          <w:sz w:val="18"/>
          <w:szCs w:val="18"/>
          <w:color w:val="auto"/>
        </w:rPr>
      </w:pPr>
    </w:p>
    <w:p>
      <w:pPr>
        <w:ind w:right="20" w:firstLine="1305"/>
        <w:spacing w:after="0" w:line="277" w:lineRule="auto"/>
        <w:tabs>
          <w:tab w:leader="none" w:pos="19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jurisdiction in which the Company or any of its Subsidiaries does not file Tax Returns has asserted that the Company or any of its Subsidiaries is or may be liable for Tax in that jurisdiction.</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 of the Subsidiaries of the Company owns any Company Stock.</w:t>
      </w:r>
    </w:p>
    <w:p>
      <w:pPr>
        <w:spacing w:after="0" w:line="27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i w:val="1"/>
          <w:iCs w:val="1"/>
          <w:color w:val="auto"/>
        </w:rPr>
        <w:t>Employees and Employee Benefit Plans</w:t>
      </w:r>
      <w:r>
        <w:rPr>
          <w:rFonts w:ascii="Arial" w:cs="Arial" w:eastAsia="Arial" w:hAnsi="Arial"/>
          <w:sz w:val="16"/>
          <w:szCs w:val="16"/>
          <w:color w:val="auto"/>
        </w:rPr>
        <w:t>. (a) Section 4.17 of the Company Disclosure Schedule contains a correct and complete list identifying each material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 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w:t>
      </w:r>
    </w:p>
    <w:p>
      <w:pPr>
        <w:spacing w:after="0" w:line="6" w:lineRule="exact"/>
        <w:rPr>
          <w:sz w:val="20"/>
          <w:szCs w:val="20"/>
          <w:color w:val="auto"/>
        </w:rPr>
      </w:pPr>
    </w:p>
    <w:p>
      <w:pPr>
        <w:jc w:val="both"/>
        <w:ind w:right="280" w:firstLine="8"/>
        <w:spacing w:after="0" w:line="255"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8"/>
          <w:szCs w:val="18"/>
          <w:b w:val="1"/>
          <w:bCs w:val="1"/>
          <w:color w:val="auto"/>
        </w:rPr>
        <w:t>Company Plans.</w:t>
      </w:r>
      <w:r>
        <w:rPr>
          <w:rFonts w:ascii="Arial" w:cs="Arial" w:eastAsia="Arial" w:hAnsi="Arial"/>
          <w:sz w:val="18"/>
          <w:szCs w:val="18"/>
          <w:color w:val="auto"/>
        </w:rPr>
        <w:t>”</w:t>
      </w:r>
    </w:p>
    <w:p>
      <w:pPr>
        <w:spacing w:after="0" w:line="244" w:lineRule="exact"/>
        <w:rPr>
          <w:rFonts w:ascii="Arial" w:cs="Arial" w:eastAsia="Arial" w:hAnsi="Arial"/>
          <w:sz w:val="18"/>
          <w:szCs w:val="18"/>
          <w:color w:val="auto"/>
        </w:rPr>
      </w:pPr>
    </w:p>
    <w:p>
      <w:pPr>
        <w:ind w:right="160" w:firstLine="1305"/>
        <w:spacing w:after="0" w:line="255" w:lineRule="auto"/>
        <w:tabs>
          <w:tab w:leader="none" w:pos="193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Company Plan (for the avoidance of doubt, other than any Multiemployer Plan) that is subject to Title IV of ERISA (each, a “</w:t>
      </w:r>
      <w:r>
        <w:rPr>
          <w:rFonts w:ascii="Arial" w:cs="Arial" w:eastAsia="Arial" w:hAnsi="Arial"/>
          <w:sz w:val="18"/>
          <w:szCs w:val="18"/>
          <w:b w:val="1"/>
          <w:bCs w:val="1"/>
          <w:color w:val="auto"/>
        </w:rPr>
        <w:t>Title IV Plan</w:t>
      </w:r>
      <w:r>
        <w:rPr>
          <w:rFonts w:ascii="Arial" w:cs="Arial" w:eastAsia="Arial" w:hAnsi="Arial"/>
          <w:sz w:val="18"/>
          <w:szCs w:val="18"/>
          <w:color w:val="auto"/>
        </w:rPr>
        <w:t>”) has any unfunded liabilities as of the date of this Agreement. The aggregate underfunded or unfunded, as applicable, liability for all Company Plans that are “</w:t>
      </w:r>
      <w:r>
        <w:rPr>
          <w:rFonts w:ascii="Arial" w:cs="Arial" w:eastAsia="Arial" w:hAnsi="Arial"/>
          <w:sz w:val="18"/>
          <w:szCs w:val="18"/>
          <w:b w:val="1"/>
          <w:bCs w:val="1"/>
          <w:color w:val="auto"/>
        </w:rPr>
        <w:t>excess benefit plans</w:t>
      </w:r>
      <w:r>
        <w:rPr>
          <w:rFonts w:ascii="Arial" w:cs="Arial" w:eastAsia="Arial" w:hAnsi="Arial"/>
          <w:sz w:val="18"/>
          <w:szCs w:val="18"/>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0" w:right="339" w:bottom="1440" w:gutter="0" w:footer="0" w:header="0"/>
        </w:sectPr>
      </w:pPr>
    </w:p>
    <w:bookmarkStart w:id="44" w:name="page45"/>
    <w:bookmarkEnd w:id="44"/>
    <w:p>
      <w:pPr>
        <w:ind w:right="60" w:firstLine="1305"/>
        <w:spacing w:after="0" w:line="285" w:lineRule="auto"/>
        <w:tabs>
          <w:tab w:leader="none" w:pos="192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6"/>
          <w:szCs w:val="16"/>
          <w:b w:val="1"/>
          <w:bCs w:val="1"/>
          <w:color w:val="auto"/>
        </w:rPr>
        <w:t>complete withdrawal</w:t>
      </w:r>
      <w:r>
        <w:rPr>
          <w:rFonts w:ascii="Arial" w:cs="Arial" w:eastAsia="Arial" w:hAnsi="Arial"/>
          <w:sz w:val="16"/>
          <w:szCs w:val="16"/>
          <w:color w:val="auto"/>
        </w:rPr>
        <w:t>” or a “</w:t>
      </w:r>
      <w:r>
        <w:rPr>
          <w:rFonts w:ascii="Arial" w:cs="Arial" w:eastAsia="Arial" w:hAnsi="Arial"/>
          <w:sz w:val="16"/>
          <w:szCs w:val="16"/>
          <w:b w:val="1"/>
          <w:bCs w:val="1"/>
          <w:color w:val="auto"/>
        </w:rPr>
        <w:t>partial withdrawal</w:t>
      </w:r>
      <w:r>
        <w:rPr>
          <w:rFonts w:ascii="Arial" w:cs="Arial" w:eastAsia="Arial" w:hAnsi="Arial"/>
          <w:sz w:val="16"/>
          <w:szCs w:val="16"/>
          <w:color w:val="auto"/>
        </w:rPr>
        <w:t>” (within the meaning of Sections 4203 and 4205 of ERISA, respectively) from any “</w:t>
      </w:r>
      <w:r>
        <w:rPr>
          <w:rFonts w:ascii="Arial" w:cs="Arial" w:eastAsia="Arial" w:hAnsi="Arial"/>
          <w:sz w:val="16"/>
          <w:szCs w:val="16"/>
          <w:b w:val="1"/>
          <w:bCs w:val="1"/>
          <w:color w:val="auto"/>
        </w:rPr>
        <w:t>multiemployer plan</w:t>
      </w:r>
      <w:r>
        <w:rPr>
          <w:rFonts w:ascii="Arial" w:cs="Arial" w:eastAsia="Arial" w:hAnsi="Arial"/>
          <w:sz w:val="16"/>
          <w:szCs w:val="16"/>
          <w:color w:val="auto"/>
        </w:rPr>
        <w:t>” as defined in Section 3(37) of ERISA (a “</w:t>
      </w:r>
      <w:r>
        <w:rPr>
          <w:rFonts w:ascii="Arial" w:cs="Arial" w:eastAsia="Arial" w:hAnsi="Arial"/>
          <w:sz w:val="16"/>
          <w:szCs w:val="16"/>
          <w:b w:val="1"/>
          <w:bCs w:val="1"/>
          <w:color w:val="auto"/>
        </w:rPr>
        <w:t>Multiemployer</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and, to the Company’s knowledge, no circumstances exist that would reasonably be expected to give rise to any such withdrawal (including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transactions contemplated by this Agreement). Neither the Company nor any of its ERISA Affiliates has received notice of any Multiemployer Plan’s</w:t>
      </w:r>
    </w:p>
    <w:p>
      <w:pPr>
        <w:spacing w:after="0" w:line="2" w:lineRule="exact"/>
        <w:rPr>
          <w:rFonts w:ascii="Arial" w:cs="Arial" w:eastAsia="Arial" w:hAnsi="Arial"/>
          <w:sz w:val="16"/>
          <w:szCs w:val="16"/>
          <w:color w:val="auto"/>
        </w:rPr>
      </w:pPr>
    </w:p>
    <w:p>
      <w:pPr>
        <w:ind w:right="60" w:firstLine="8"/>
        <w:spacing w:after="0" w:line="271" w:lineRule="auto"/>
        <w:tabs>
          <w:tab w:leader="none" w:pos="2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satisfy the minimum funding requirements of Section 412 of the Code or application for or receipt of a waiver of such minimum funding requirements, (ii) “</w:t>
      </w:r>
      <w:r>
        <w:rPr>
          <w:rFonts w:ascii="Arial" w:cs="Arial" w:eastAsia="Arial" w:hAnsi="Arial"/>
          <w:sz w:val="17"/>
          <w:szCs w:val="17"/>
          <w:b w:val="1"/>
          <w:bCs w:val="1"/>
          <w:color w:val="auto"/>
        </w:rPr>
        <w:t>endangered status</w:t>
      </w:r>
      <w:r>
        <w:rPr>
          <w:rFonts w:ascii="Arial" w:cs="Arial" w:eastAsia="Arial" w:hAnsi="Arial"/>
          <w:sz w:val="17"/>
          <w:szCs w:val="17"/>
          <w:color w:val="auto"/>
        </w:rPr>
        <w:t>” or “</w:t>
      </w:r>
      <w:r>
        <w:rPr>
          <w:rFonts w:ascii="Arial" w:cs="Arial" w:eastAsia="Arial" w:hAnsi="Arial"/>
          <w:sz w:val="17"/>
          <w:szCs w:val="17"/>
          <w:b w:val="1"/>
          <w:bCs w:val="1"/>
          <w:color w:val="auto"/>
        </w:rPr>
        <w:t>critical status</w:t>
      </w:r>
      <w:r>
        <w:rPr>
          <w:rFonts w:ascii="Arial" w:cs="Arial" w:eastAsia="Arial" w:hAnsi="Arial"/>
          <w:sz w:val="17"/>
          <w:szCs w:val="17"/>
          <w:color w:val="auto"/>
        </w:rPr>
        <w:t>” (within the meaning of Section 432 of the Code) or (iii) insolvency, “</w:t>
      </w:r>
      <w:r>
        <w:rPr>
          <w:rFonts w:ascii="Arial" w:cs="Arial" w:eastAsia="Arial" w:hAnsi="Arial"/>
          <w:sz w:val="17"/>
          <w:szCs w:val="17"/>
          <w:b w:val="1"/>
          <w:bCs w:val="1"/>
          <w:color w:val="auto"/>
        </w:rPr>
        <w:t>reorganization</w:t>
      </w:r>
      <w:r>
        <w:rPr>
          <w:rFonts w:ascii="Arial" w:cs="Arial" w:eastAsia="Arial" w:hAnsi="Arial"/>
          <w:sz w:val="17"/>
          <w:szCs w:val="17"/>
          <w:color w:val="auto"/>
        </w:rPr>
        <w:t>” (within the meaning of 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232" w:lineRule="exact"/>
        <w:rPr>
          <w:rFonts w:ascii="Arial" w:cs="Arial" w:eastAsia="Arial" w:hAnsi="Arial"/>
          <w:sz w:val="17"/>
          <w:szCs w:val="17"/>
          <w:color w:val="auto"/>
        </w:rPr>
      </w:pPr>
    </w:p>
    <w:p>
      <w:pPr>
        <w:ind w:right="80" w:firstLine="1305"/>
        <w:spacing w:after="0" w:line="259" w:lineRule="auto"/>
        <w:tabs>
          <w:tab w:leader="none" w:pos="19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240" w:lineRule="exact"/>
        <w:rPr>
          <w:rFonts w:ascii="Arial" w:cs="Arial" w:eastAsia="Arial" w:hAnsi="Arial"/>
          <w:sz w:val="18"/>
          <w:szCs w:val="18"/>
          <w:color w:val="auto"/>
        </w:rPr>
      </w:pPr>
    </w:p>
    <w:p>
      <w:pPr>
        <w:ind w:firstLine="1305"/>
        <w:spacing w:after="0" w:line="293" w:lineRule="auto"/>
        <w:tabs>
          <w:tab w:leader="none" w:pos="192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218" w:lineRule="exact"/>
        <w:rPr>
          <w:rFonts w:ascii="Arial" w:cs="Arial" w:eastAsia="Arial" w:hAnsi="Arial"/>
          <w:sz w:val="16"/>
          <w:szCs w:val="16"/>
          <w:color w:val="auto"/>
        </w:rPr>
      </w:pPr>
    </w:p>
    <w:p>
      <w:pPr>
        <w:ind w:right="300" w:firstLine="1305"/>
        <w:spacing w:after="0" w:line="264" w:lineRule="auto"/>
        <w:tabs>
          <w:tab w:leader="none" w:pos="19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5" w:name="page46"/>
    <w:bookmarkEnd w:id="45"/>
    <w:p>
      <w:pPr>
        <w:ind w:left="-20" w:right="260" w:firstLine="1305"/>
        <w:spacing w:after="0" w:line="264" w:lineRule="auto"/>
        <w:tabs>
          <w:tab w:leader="none" w:pos="19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235" w:lineRule="exact"/>
        <w:rPr>
          <w:rFonts w:ascii="Arial" w:cs="Arial" w:eastAsia="Arial" w:hAnsi="Arial"/>
          <w:sz w:val="18"/>
          <w:szCs w:val="18"/>
          <w:color w:val="auto"/>
        </w:rPr>
      </w:pPr>
    </w:p>
    <w:p>
      <w:pPr>
        <w:ind w:left="-20" w:right="100" w:firstLine="1305"/>
        <w:spacing w:after="0" w:line="264" w:lineRule="auto"/>
        <w:tabs>
          <w:tab w:leader="none" w:pos="19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235" w:lineRule="exact"/>
        <w:rPr>
          <w:rFonts w:ascii="Arial" w:cs="Arial" w:eastAsia="Arial" w:hAnsi="Arial"/>
          <w:sz w:val="18"/>
          <w:szCs w:val="18"/>
          <w:color w:val="auto"/>
        </w:rPr>
      </w:pPr>
    </w:p>
    <w:p>
      <w:pPr>
        <w:ind w:left="-20" w:right="80" w:firstLine="1305"/>
        <w:spacing w:after="0" w:line="293" w:lineRule="auto"/>
        <w:tabs>
          <w:tab w:leader="none" w:pos="1879"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6"/>
          <w:szCs w:val="16"/>
          <w:b w:val="1"/>
          <w:bCs w:val="1"/>
          <w:color w:val="auto"/>
        </w:rPr>
        <w:t>Company International Plan</w:t>
      </w:r>
      <w:r>
        <w:rPr>
          <w:rFonts w:ascii="Arial" w:cs="Arial" w:eastAsia="Arial" w:hAnsi="Arial"/>
          <w:sz w:val="16"/>
          <w:szCs w:val="16"/>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218" w:lineRule="exact"/>
        <w:rPr>
          <w:rFonts w:ascii="Arial" w:cs="Arial" w:eastAsia="Arial" w:hAnsi="Arial"/>
          <w:sz w:val="16"/>
          <w:szCs w:val="16"/>
          <w:color w:val="auto"/>
        </w:rPr>
      </w:pPr>
    </w:p>
    <w:p>
      <w:pPr>
        <w:ind w:left="-20" w:right="420" w:firstLine="1305"/>
        <w:spacing w:after="0" w:line="264" w:lineRule="auto"/>
        <w:tabs>
          <w:tab w:leader="none" w:pos="18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235" w:lineRule="exact"/>
        <w:rPr>
          <w:rFonts w:ascii="Arial" w:cs="Arial" w:eastAsia="Arial" w:hAnsi="Arial"/>
          <w:sz w:val="18"/>
          <w:szCs w:val="18"/>
          <w:color w:val="auto"/>
        </w:rPr>
      </w:pPr>
    </w:p>
    <w:p>
      <w:pPr>
        <w:ind w:left="-20" w:firstLine="1305"/>
        <w:spacing w:after="0" w:line="291" w:lineRule="auto"/>
        <w:tabs>
          <w:tab w:leader="none" w:pos="1918"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44" w:right="259" w:bottom="1440" w:gutter="0" w:footer="0" w:header="0"/>
        </w:sectPr>
      </w:pPr>
    </w:p>
    <w:bookmarkStart w:id="46" w:name="page47"/>
    <w:bookmarkEnd w:id="46"/>
    <w:p>
      <w:pPr>
        <w:jc w:val="both"/>
        <w:ind w:right="240" w:firstLine="1305"/>
        <w:spacing w:after="0" w:line="264" w:lineRule="auto"/>
        <w:tabs>
          <w:tab w:leader="none" w:pos="18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23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208" w:lineRule="exact"/>
        <w:rPr>
          <w:sz w:val="20"/>
          <w:szCs w:val="20"/>
          <w:color w:val="auto"/>
        </w:rPr>
      </w:pPr>
    </w:p>
    <w:p>
      <w:pPr>
        <w:ind w:right="340" w:firstLine="1305"/>
        <w:spacing w:after="0" w:line="308" w:lineRule="auto"/>
        <w:tabs>
          <w:tab w:leader="none" w:pos="19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200" w:lineRule="exact"/>
        <w:rPr>
          <w:rFonts w:ascii="Arial" w:cs="Arial" w:eastAsia="Arial" w:hAnsi="Arial"/>
          <w:sz w:val="17"/>
          <w:szCs w:val="17"/>
          <w:color w:val="auto"/>
        </w:rPr>
      </w:pPr>
    </w:p>
    <w:p>
      <w:pPr>
        <w:ind w:firstLine="1305"/>
        <w:spacing w:after="0" w:line="259" w:lineRule="auto"/>
        <w:tabs>
          <w:tab w:leader="none" w:pos="19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240" w:lineRule="exact"/>
        <w:rPr>
          <w:rFonts w:ascii="Arial" w:cs="Arial" w:eastAsia="Arial" w:hAnsi="Arial"/>
          <w:sz w:val="18"/>
          <w:szCs w:val="18"/>
          <w:color w:val="auto"/>
        </w:rPr>
      </w:pPr>
    </w:p>
    <w:p>
      <w:pPr>
        <w:ind w:right="260" w:firstLine="1305"/>
        <w:spacing w:after="0" w:line="264" w:lineRule="auto"/>
        <w:tabs>
          <w:tab w:leader="none" w:pos="19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hereby requires no filings to be made or actions to be taken pursuant to the New Jersey Industrial Site Recovery Act or the “</w:t>
      </w:r>
      <w:r>
        <w:rPr>
          <w:rFonts w:ascii="Arial" w:cs="Arial" w:eastAsia="Arial" w:hAnsi="Arial"/>
          <w:sz w:val="18"/>
          <w:szCs w:val="18"/>
          <w:b w:val="1"/>
          <w:bCs w:val="1"/>
          <w:color w:val="auto"/>
        </w:rPr>
        <w:t>Connecticut Property Transfer Law</w:t>
      </w:r>
      <w:r>
        <w:rPr>
          <w:rFonts w:ascii="Arial" w:cs="Arial" w:eastAsia="Arial" w:hAnsi="Arial"/>
          <w:sz w:val="18"/>
          <w:szCs w:val="18"/>
          <w:color w:val="auto"/>
        </w:rPr>
        <w:t>” (Sections 22a-134 through 22-134e of the Connecticut General Statutes).</w:t>
      </w:r>
    </w:p>
    <w:p>
      <w:pPr>
        <w:spacing w:after="0" w:line="23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Material Contracts</w:t>
      </w:r>
      <w:r>
        <w:rPr>
          <w:rFonts w:ascii="Arial" w:cs="Arial" w:eastAsia="Arial" w:hAnsi="Arial"/>
          <w:sz w:val="18"/>
          <w:szCs w:val="18"/>
          <w:color w:val="auto"/>
        </w:rPr>
        <w:t>. (a) As of the date of this Agreement, neither the Company nor any of its Subsidiaries is party to or bound by, whether in writing or not, any contract, arrangement, commitment or understanding that:</w:t>
      </w:r>
    </w:p>
    <w:p>
      <w:pPr>
        <w:spacing w:after="0" w:line="224" w:lineRule="exact"/>
        <w:rPr>
          <w:sz w:val="20"/>
          <w:szCs w:val="20"/>
          <w:color w:val="auto"/>
        </w:rPr>
      </w:pPr>
    </w:p>
    <w:p>
      <w:pPr>
        <w:ind w:left="1300" w:right="120" w:firstLine="815"/>
        <w:spacing w:after="0" w:line="276" w:lineRule="auto"/>
        <w:tabs>
          <w:tab w:leader="none" w:pos="27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7" w:name="page48"/>
    <w:bookmarkEnd w:id="47"/>
    <w:p>
      <w:pPr>
        <w:ind w:left="100" w:right="140" w:firstLine="5"/>
        <w:spacing w:after="0" w:line="27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any products or services of or to any other Person or in any geographic region or (3) obtaining products or services from any Person;</w:t>
      </w:r>
    </w:p>
    <w:p>
      <w:pPr>
        <w:spacing w:after="0" w:line="220" w:lineRule="exact"/>
        <w:rPr>
          <w:rFonts w:ascii="Arial" w:cs="Arial" w:eastAsia="Arial" w:hAnsi="Arial"/>
          <w:sz w:val="18"/>
          <w:szCs w:val="18"/>
          <w:color w:val="auto"/>
        </w:rPr>
      </w:pPr>
    </w:p>
    <w:p>
      <w:pPr>
        <w:ind w:left="100" w:right="40" w:firstLine="815"/>
        <w:spacing w:after="0" w:line="274" w:lineRule="auto"/>
        <w:tabs>
          <w:tab w:leader="none" w:pos="1562" w:val="left"/>
        </w:tabs>
        <w:numPr>
          <w:ilvl w:val="1"/>
          <w:numId w:val="42"/>
        </w:numPr>
        <w:rPr>
          <w:rFonts w:ascii="Arial" w:cs="Arial" w:eastAsia="Arial" w:hAnsi="Arial"/>
          <w:sz w:val="17"/>
          <w:szCs w:val="17"/>
          <w:color w:val="auto"/>
        </w:rPr>
      </w:pPr>
      <w:r>
        <w:rPr>
          <w:rFonts w:ascii="Arial" w:cs="Arial" w:eastAsia="Arial" w:hAnsi="Arial"/>
          <w:sz w:val="17"/>
          <w:szCs w:val="17"/>
          <w:color w:val="auto"/>
        </w:rPr>
        <w:t>includes (A) any “</w:t>
      </w:r>
      <w:r>
        <w:rPr>
          <w:rFonts w:ascii="Arial" w:cs="Arial" w:eastAsia="Arial" w:hAnsi="Arial"/>
          <w:sz w:val="17"/>
          <w:szCs w:val="17"/>
          <w:b w:val="1"/>
          <w:bCs w:val="1"/>
          <w:color w:val="auto"/>
        </w:rPr>
        <w:t>most favored nations</w:t>
      </w:r>
      <w:r>
        <w:rPr>
          <w:rFonts w:ascii="Arial" w:cs="Arial" w:eastAsia="Arial" w:hAnsi="Arial"/>
          <w:sz w:val="17"/>
          <w:szCs w:val="17"/>
          <w:color w:val="auto"/>
        </w:rPr>
        <w:t>” terms and conditions (including with respect to pricing) granted by the Company to a Third Party, (B) any arrangement whereby the Company grants any right of first refusal or right of first offer or similar right to a Third Party or (C)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231" w:lineRule="exact"/>
        <w:rPr>
          <w:rFonts w:ascii="Arial" w:cs="Arial" w:eastAsia="Arial" w:hAnsi="Arial"/>
          <w:sz w:val="17"/>
          <w:szCs w:val="17"/>
          <w:color w:val="auto"/>
        </w:rPr>
      </w:pPr>
    </w:p>
    <w:p>
      <w:pPr>
        <w:ind w:left="100" w:firstLine="815"/>
        <w:spacing w:after="0" w:line="259" w:lineRule="auto"/>
        <w:tabs>
          <w:tab w:leader="none" w:pos="16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joint venture, alliance or partnership agreement that either (A) is material to the Company and its Subsidiaries, taken as a whole, or (B) would reasonably be expected to require the 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240" w:lineRule="exact"/>
        <w:rPr>
          <w:rFonts w:ascii="Arial" w:cs="Arial" w:eastAsia="Arial" w:hAnsi="Arial"/>
          <w:sz w:val="18"/>
          <w:szCs w:val="18"/>
          <w:color w:val="auto"/>
        </w:rPr>
      </w:pPr>
    </w:p>
    <w:p>
      <w:pPr>
        <w:jc w:val="both"/>
        <w:ind w:left="100" w:right="60" w:firstLine="815"/>
        <w:spacing w:after="0" w:line="342" w:lineRule="auto"/>
        <w:tabs>
          <w:tab w:leader="none" w:pos="1602" w:val="left"/>
        </w:tabs>
        <w:numPr>
          <w:ilvl w:val="1"/>
          <w:numId w:val="42"/>
        </w:numPr>
        <w:rPr>
          <w:rFonts w:ascii="Arial" w:cs="Arial" w:eastAsia="Arial" w:hAnsi="Arial"/>
          <w:sz w:val="16"/>
          <w:szCs w:val="16"/>
          <w:color w:val="auto"/>
        </w:rPr>
      </w:pPr>
      <w:r>
        <w:rPr>
          <w:rFonts w:ascii="Arial" w:cs="Arial" w:eastAsia="Arial" w:hAnsi="Arial"/>
          <w:sz w:val="16"/>
          <w:szCs w:val="16"/>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77" w:lineRule="exact"/>
        <w:rPr>
          <w:rFonts w:ascii="Arial" w:cs="Arial" w:eastAsia="Arial" w:hAnsi="Arial"/>
          <w:sz w:val="16"/>
          <w:szCs w:val="16"/>
          <w:color w:val="auto"/>
        </w:rPr>
      </w:pPr>
    </w:p>
    <w:p>
      <w:pPr>
        <w:ind w:left="100" w:right="60" w:firstLine="815"/>
        <w:spacing w:after="0" w:line="277" w:lineRule="auto"/>
        <w:tabs>
          <w:tab w:leader="none" w:pos="15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material interest, rate, currency or other swap or derivative transaction (other than those entered into in the ordinary course of business solely for hedging purposes);</w:t>
      </w:r>
    </w:p>
    <w:p>
      <w:pPr>
        <w:spacing w:after="0" w:line="224" w:lineRule="exact"/>
        <w:rPr>
          <w:rFonts w:ascii="Arial" w:cs="Arial" w:eastAsia="Arial" w:hAnsi="Arial"/>
          <w:sz w:val="18"/>
          <w:szCs w:val="18"/>
          <w:color w:val="auto"/>
        </w:rPr>
      </w:pPr>
    </w:p>
    <w:p>
      <w:pPr>
        <w:ind w:left="100" w:right="20" w:firstLine="815"/>
        <w:spacing w:after="0" w:line="257" w:lineRule="auto"/>
        <w:tabs>
          <w:tab w:leader="none" w:pos="16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8" w:name="page49"/>
    <w:bookmarkEnd w:id="48"/>
    <w:p>
      <w:pPr>
        <w:ind w:left="1300" w:right="40" w:firstLine="815"/>
        <w:spacing w:after="0" w:line="308" w:lineRule="auto"/>
        <w:tabs>
          <w:tab w:leader="none" w:pos="28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200" w:lineRule="exact"/>
        <w:rPr>
          <w:rFonts w:ascii="Arial" w:cs="Arial" w:eastAsia="Arial" w:hAnsi="Arial"/>
          <w:sz w:val="17"/>
          <w:szCs w:val="17"/>
          <w:color w:val="auto"/>
        </w:rPr>
      </w:pPr>
    </w:p>
    <w:p>
      <w:pPr>
        <w:ind w:left="1300" w:right="320" w:firstLine="815"/>
        <w:spacing w:after="0" w:line="302" w:lineRule="auto"/>
        <w:tabs>
          <w:tab w:leader="none" w:pos="29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208" w:lineRule="exact"/>
        <w:rPr>
          <w:rFonts w:ascii="Arial" w:cs="Arial" w:eastAsia="Arial" w:hAnsi="Arial"/>
          <w:sz w:val="16"/>
          <w:szCs w:val="16"/>
          <w:color w:val="auto"/>
        </w:rPr>
      </w:pPr>
    </w:p>
    <w:p>
      <w:pPr>
        <w:jc w:val="both"/>
        <w:ind w:left="1300" w:firstLine="815"/>
        <w:spacing w:after="0" w:line="264" w:lineRule="auto"/>
        <w:tabs>
          <w:tab w:leader="none" w:pos="28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20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(each such contract listed in Section 4.19 of the Company Disclosure Schedule and any contract of the Company or any of its Subsidiaries that is a “</w:t>
      </w:r>
      <w:r>
        <w:rPr>
          <w:rFonts w:ascii="Arial" w:cs="Arial" w:eastAsia="Arial" w:hAnsi="Arial"/>
          <w:sz w:val="18"/>
          <w:szCs w:val="18"/>
          <w:b w:val="1"/>
          <w:bCs w:val="1"/>
          <w:color w:val="auto"/>
        </w:rPr>
        <w:t>material contract</w:t>
      </w:r>
      <w:r>
        <w:rPr>
          <w:rFonts w:ascii="Arial" w:cs="Arial" w:eastAsia="Arial" w:hAnsi="Arial"/>
          <w:sz w:val="18"/>
          <w:szCs w:val="18"/>
          <w:color w:val="auto"/>
        </w:rPr>
        <w:t>” (as such term is defined in Item 601(b)(10) of Regulation S-K of the SEC) (other than any Company Plan), a “</w:t>
      </w:r>
      <w:r>
        <w:rPr>
          <w:rFonts w:ascii="Arial" w:cs="Arial" w:eastAsia="Arial" w:hAnsi="Arial"/>
          <w:sz w:val="18"/>
          <w:szCs w:val="18"/>
          <w:b w:val="1"/>
          <w:bCs w:val="1"/>
          <w:color w:val="auto"/>
        </w:rPr>
        <w:t>Company 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w:t>
      </w:r>
    </w:p>
    <w:p>
      <w:pPr>
        <w:spacing w:after="0" w:line="235" w:lineRule="exact"/>
        <w:rPr>
          <w:sz w:val="20"/>
          <w:szCs w:val="20"/>
          <w:color w:val="auto"/>
        </w:rPr>
      </w:pPr>
    </w:p>
    <w:p>
      <w:pPr>
        <w:ind w:right="40" w:firstLine="1305"/>
        <w:spacing w:after="0" w:line="259" w:lineRule="auto"/>
        <w:tabs>
          <w:tab w:leader="none" w:pos="19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18"/>
          <w:szCs w:val="18"/>
          <w:b w:val="1"/>
          <w:bCs w:val="1"/>
          <w:color w:val="auto"/>
        </w:rPr>
        <w:t>material contract</w:t>
      </w:r>
      <w:r>
        <w:rPr>
          <w:rFonts w:ascii="Arial" w:cs="Arial" w:eastAsia="Arial" w:hAnsi="Arial"/>
          <w:sz w:val="18"/>
          <w:szCs w:val="18"/>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240" w:lineRule="exact"/>
        <w:rPr>
          <w:rFonts w:ascii="Arial" w:cs="Arial" w:eastAsia="Arial" w:hAnsi="Arial"/>
          <w:sz w:val="18"/>
          <w:szCs w:val="18"/>
          <w:color w:val="auto"/>
        </w:rPr>
      </w:pPr>
    </w:p>
    <w:p>
      <w:pPr>
        <w:ind w:right="40" w:firstLine="1305"/>
        <w:spacing w:after="0" w:line="272" w:lineRule="auto"/>
        <w:tabs>
          <w:tab w:leader="none" w:pos="19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 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9" w:name="page50"/>
    <w:bookmarkEnd w:id="49"/>
    <w:p>
      <w:pPr>
        <w:ind w:right="20"/>
        <w:spacing w:after="0" w:line="277" w:lineRule="auto"/>
        <w:rPr>
          <w:sz w:val="20"/>
          <w:szCs w:val="20"/>
          <w:color w:val="auto"/>
        </w:rPr>
      </w:pPr>
      <w:r>
        <w:rPr>
          <w:rFonts w:ascii="Arial" w:cs="Arial" w:eastAsia="Arial" w:hAnsi="Arial"/>
          <w:sz w:val="18"/>
          <w:szCs w:val="18"/>
          <w:color w:val="auto"/>
        </w:rPr>
        <w:t>under the provisions of such Company Material Contract, and neither the Company nor any of its Subsidiaries has received written notice that it has breached, violated or defaulted under any Company Material Contract.</w:t>
      </w:r>
    </w:p>
    <w:p>
      <w:pPr>
        <w:spacing w:after="0" w:line="224"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i w:val="1"/>
          <w:iCs w:val="1"/>
          <w:color w:val="auto"/>
        </w:rPr>
        <w:t>Cable System and Subscriber Information</w:t>
      </w:r>
      <w:r>
        <w:rPr>
          <w:rFonts w:ascii="Arial" w:cs="Arial" w:eastAsia="Arial" w:hAnsi="Arial"/>
          <w:sz w:val="16"/>
          <w:szCs w:val="16"/>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201" w:lineRule="exact"/>
        <w:rPr>
          <w:sz w:val="20"/>
          <w:szCs w:val="20"/>
          <w:color w:val="auto"/>
        </w:rPr>
      </w:pPr>
    </w:p>
    <w:p>
      <w:pPr>
        <w:ind w:firstLine="1305"/>
        <w:spacing w:after="0" w:line="264" w:lineRule="auto"/>
        <w:tabs>
          <w:tab w:leader="none" w:pos="19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23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Franchises</w:t>
      </w:r>
      <w:r>
        <w:rPr>
          <w:rFonts w:ascii="Arial" w:cs="Arial" w:eastAsia="Arial" w:hAnsi="Arial"/>
          <w:sz w:val="18"/>
          <w:szCs w:val="18"/>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242" w:lineRule="exact"/>
        <w:rPr>
          <w:sz w:val="20"/>
          <w:szCs w:val="20"/>
          <w:color w:val="auto"/>
        </w:rPr>
      </w:pPr>
    </w:p>
    <w:p>
      <w:pPr>
        <w:ind w:firstLine="1305"/>
        <w:spacing w:after="0" w:line="269" w:lineRule="auto"/>
        <w:tabs>
          <w:tab w:leader="none" w:pos="19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 (v) none of the Company, any of its Subsidiaries or any Governmental Authority has commenced or requested the commencement of an administrative proceeding concerning the renewal of a material Franchise of the Company or its Subsidiaries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jc w:val="both"/>
        <w:ind w:right="80"/>
        <w:spacing w:after="0" w:line="264" w:lineRule="auto"/>
        <w:rPr>
          <w:sz w:val="20"/>
          <w:szCs w:val="20"/>
          <w:color w:val="auto"/>
        </w:rPr>
      </w:pPr>
      <w:r>
        <w:rPr>
          <w:rFonts w:ascii="Arial" w:cs="Arial" w:eastAsia="Arial" w:hAnsi="Arial"/>
          <w:sz w:val="18"/>
          <w:szCs w:val="18"/>
          <w:color w:val="auto"/>
        </w:rPr>
        <w:t>as provided in Section 626(c)(1)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235" w:lineRule="exact"/>
        <w:rPr>
          <w:sz w:val="20"/>
          <w:szCs w:val="20"/>
          <w:color w:val="auto"/>
        </w:rPr>
      </w:pPr>
    </w:p>
    <w:p>
      <w:pPr>
        <w:ind w:right="20" w:firstLine="1305"/>
        <w:spacing w:after="0" w:line="259" w:lineRule="auto"/>
        <w:tabs>
          <w:tab w:leader="none" w:pos="19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24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i w:val="1"/>
          <w:iCs w:val="1"/>
          <w:color w:val="auto"/>
        </w:rPr>
        <w:t>Tax Treatment</w:t>
      </w:r>
      <w:r>
        <w:rPr>
          <w:rFonts w:ascii="Arial" w:cs="Arial" w:eastAsia="Arial" w:hAnsi="Arial"/>
          <w:sz w:val="16"/>
          <w:szCs w:val="16"/>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16"/>
          <w:szCs w:val="16"/>
          <w:b w:val="1"/>
          <w:bCs w:val="1"/>
          <w:color w:val="auto"/>
        </w:rPr>
        <w:t>368 Reorganization</w:t>
      </w:r>
      <w:r>
        <w:rPr>
          <w:rFonts w:ascii="Arial" w:cs="Arial" w:eastAsia="Arial" w:hAnsi="Arial"/>
          <w:sz w:val="16"/>
          <w:szCs w:val="16"/>
          <w:color w:val="auto"/>
        </w:rPr>
        <w:t>”).</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i w:val="1"/>
          <w:iCs w:val="1"/>
          <w:color w:val="auto"/>
        </w:rPr>
        <w:t>Finders’ Fees</w:t>
      </w:r>
      <w:r>
        <w:rPr>
          <w:rFonts w:ascii="Arial" w:cs="Arial" w:eastAsia="Arial" w:hAnsi="Arial"/>
          <w:sz w:val="17"/>
          <w:szCs w:val="17"/>
          <w:color w:val="auto"/>
        </w:rPr>
        <w:t>.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The Board of Directors of the Company has received the separate opinions of Allen &amp; Company LLC, Centerview Partners LLC, Citigroup Global Markets Inc. and Morgan Stanley &amp; Co. LLC, each a financial advisor to the Company (or, in the case of Centerview Partners LLC, to the independent members of the Board of Directors of the Company), to the effect that, as of the date of such opinion, and based upon and subject to the factors and assumptions set forth therein, the Exchange Ratio is fair from a financial point of view to the holders of Company Stock.</w:t>
      </w:r>
    </w:p>
    <w:p>
      <w:pPr>
        <w:spacing w:after="0" w:line="20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4.25. </w:t>
      </w:r>
      <w:r>
        <w:rPr>
          <w:rFonts w:ascii="Arial" w:cs="Arial" w:eastAsia="Arial" w:hAnsi="Arial"/>
          <w:sz w:val="17"/>
          <w:szCs w:val="17"/>
          <w:i w:val="1"/>
          <w:iCs w:val="1"/>
          <w:color w:val="auto"/>
        </w:rPr>
        <w:t>Antitakeover Statutes</w:t>
      </w:r>
      <w:r>
        <w:rPr>
          <w:rFonts w:ascii="Arial" w:cs="Arial" w:eastAsia="Arial" w:hAnsi="Arial"/>
          <w:sz w:val="17"/>
          <w:szCs w:val="17"/>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17"/>
          <w:szCs w:val="17"/>
          <w:b w:val="1"/>
          <w:bCs w:val="1"/>
          <w:color w:val="auto"/>
        </w:rPr>
        <w:t>control share acquisition,</w:t>
      </w:r>
      <w:r>
        <w:rPr>
          <w:rFonts w:ascii="Arial" w:cs="Arial" w:eastAsia="Arial" w:hAnsi="Arial"/>
          <w:sz w:val="17"/>
          <w:szCs w:val="17"/>
          <w:color w:val="auto"/>
        </w:rPr>
        <w:t>” “</w:t>
      </w:r>
      <w:r>
        <w:rPr>
          <w:rFonts w:ascii="Arial" w:cs="Arial" w:eastAsia="Arial" w:hAnsi="Arial"/>
          <w:sz w:val="17"/>
          <w:szCs w:val="17"/>
          <w:b w:val="1"/>
          <w:bCs w:val="1"/>
          <w:color w:val="auto"/>
        </w:rPr>
        <w:t>fair price,</w:t>
      </w:r>
      <w:r>
        <w:rPr>
          <w:rFonts w:ascii="Arial" w:cs="Arial" w:eastAsia="Arial" w:hAnsi="Arial"/>
          <w:sz w:val="17"/>
          <w:szCs w:val="17"/>
          <w:color w:val="auto"/>
        </w:rPr>
        <w:t>” “</w:t>
      </w:r>
      <w:r>
        <w:rPr>
          <w:rFonts w:ascii="Arial" w:cs="Arial" w:eastAsia="Arial" w:hAnsi="Arial"/>
          <w:sz w:val="17"/>
          <w:szCs w:val="17"/>
          <w:b w:val="1"/>
          <w:bCs w:val="1"/>
          <w:color w:val="auto"/>
        </w:rPr>
        <w:t>moratorium</w:t>
      </w:r>
      <w:r>
        <w:rPr>
          <w:rFonts w:ascii="Arial" w:cs="Arial" w:eastAsia="Arial" w:hAnsi="Arial"/>
          <w:sz w:val="17"/>
          <w:szCs w:val="17"/>
          <w:color w:val="auto"/>
        </w:rPr>
        <w:t>” or other antitakeover laws enacted under U.S. state or federal laws apply to this Agreement or any of the transactions contemplated hereby.</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1" w:name="page52"/>
    <w:bookmarkEnd w:id="51"/>
    <w:p>
      <w:pPr>
        <w:ind w:right="60" w:firstLine="648"/>
        <w:spacing w:after="0" w:line="270" w:lineRule="auto"/>
        <w:rPr>
          <w:sz w:val="20"/>
          <w:szCs w:val="20"/>
          <w:color w:val="auto"/>
        </w:rPr>
      </w:pPr>
      <w:r>
        <w:rPr>
          <w:rFonts w:ascii="Arial" w:cs="Arial" w:eastAsia="Arial" w:hAnsi="Arial"/>
          <w:sz w:val="17"/>
          <w:szCs w:val="17"/>
          <w:color w:val="auto"/>
        </w:rPr>
        <w:t xml:space="preserve">Section 4.26. </w:t>
      </w:r>
      <w:r>
        <w:rPr>
          <w:rFonts w:ascii="Arial" w:cs="Arial" w:eastAsia="Arial" w:hAnsi="Arial"/>
          <w:sz w:val="17"/>
          <w:szCs w:val="17"/>
          <w:i w:val="1"/>
          <w:iCs w:val="1"/>
          <w:color w:val="auto"/>
        </w:rPr>
        <w:t>No Additional Representations</w:t>
      </w:r>
      <w:r>
        <w:rPr>
          <w:rFonts w:ascii="Arial" w:cs="Arial" w:eastAsia="Arial" w:hAnsi="Arial"/>
          <w:sz w:val="17"/>
          <w:szCs w:val="17"/>
          <w:color w:val="auto"/>
        </w:rPr>
        <w:t>. Except for the representations and warranties made by the Company in this Article 4, neither the Company nor any other Person 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Parent</w:t>
      </w:r>
    </w:p>
    <w:p>
      <w:pPr>
        <w:spacing w:after="0" w:line="2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18"/>
          <w:szCs w:val="18"/>
          <w:b w:val="1"/>
          <w:bCs w:val="1"/>
          <w:color w:val="auto"/>
        </w:rPr>
        <w:t>Specified Parent SEC Documents</w:t>
      </w:r>
      <w:r>
        <w:rPr>
          <w:rFonts w:ascii="Arial" w:cs="Arial" w:eastAsia="Arial" w:hAnsi="Arial"/>
          <w:sz w:val="18"/>
          <w:szCs w:val="18"/>
          <w:color w:val="auto"/>
        </w:rPr>
        <w:t>”) or (b) as set forth in the Parent Disclosure Schedule, Parent represents and warrants to the Company that:</w:t>
      </w:r>
    </w:p>
    <w:p>
      <w:pPr>
        <w:spacing w:after="0" w:line="23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52" w:name="page53"/>
    <w:bookmarkEnd w:id="52"/>
    <w:p>
      <w:pPr>
        <w:ind w:firstLine="648"/>
        <w:spacing w:after="0" w:line="26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Corporate Authorization</w:t>
      </w:r>
      <w:r>
        <w:rPr>
          <w:rFonts w:ascii="Arial" w:cs="Arial" w:eastAsia="Arial" w:hAnsi="Arial"/>
          <w:sz w:val="17"/>
          <w:szCs w:val="17"/>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 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7"/>
          <w:szCs w:val="17"/>
          <w:b w:val="1"/>
          <w:bCs w:val="1"/>
          <w:color w:val="auto"/>
        </w:rPr>
        <w:t>Parent Shareholder Approval</w:t>
      </w:r>
      <w:r>
        <w:rPr>
          <w:rFonts w:ascii="Arial" w:cs="Arial" w:eastAsia="Arial" w:hAnsi="Arial"/>
          <w:sz w:val="17"/>
          <w:szCs w:val="17"/>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239" w:lineRule="exact"/>
        <w:rPr>
          <w:sz w:val="20"/>
          <w:szCs w:val="20"/>
          <w:color w:val="auto"/>
        </w:rPr>
      </w:pPr>
    </w:p>
    <w:p>
      <w:pPr>
        <w:ind w:right="100" w:firstLine="1305"/>
        <w:spacing w:after="0" w:line="259" w:lineRule="auto"/>
        <w:tabs>
          <w:tab w:leader="none" w:pos="19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 meeting duly called and held, as of the date of this Agreement, Parent’s Board of Directors has (i) unanimously determined that this Agreement and the transactions contemplated hereby are fair to and in the best interests of Parent, (ii) 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18"/>
          <w:szCs w:val="18"/>
          <w:b w:val="1"/>
          <w:bCs w:val="1"/>
          <w:color w:val="auto"/>
        </w:rPr>
        <w:t>Parent Board Recommendation</w:t>
      </w:r>
      <w:r>
        <w:rPr>
          <w:rFonts w:ascii="Arial" w:cs="Arial" w:eastAsia="Arial" w:hAnsi="Arial"/>
          <w:sz w:val="18"/>
          <w:szCs w:val="18"/>
          <w:color w:val="auto"/>
        </w:rPr>
        <w:t>”).</w:t>
      </w:r>
    </w:p>
    <w:p>
      <w:pPr>
        <w:spacing w:after="0" w:line="24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3" w:name="page54"/>
    <w:bookmarkEnd w:id="53"/>
    <w:p>
      <w:pPr>
        <w:ind w:right="20"/>
        <w:spacing w:after="0" w:line="279" w:lineRule="auto"/>
        <w:rPr>
          <w:sz w:val="20"/>
          <w:szCs w:val="20"/>
          <w:color w:val="auto"/>
        </w:rPr>
      </w:pPr>
      <w:r>
        <w:rPr>
          <w:rFonts w:ascii="Arial" w:cs="Arial" w:eastAsia="Arial" w:hAnsi="Arial"/>
          <w:sz w:val="17"/>
          <w:szCs w:val="17"/>
          <w:color w:val="auto"/>
        </w:rPr>
        <w:t>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w:t>
      </w:r>
    </w:p>
    <w:p>
      <w:pPr>
        <w:spacing w:after="0" w:line="2" w:lineRule="exact"/>
        <w:rPr>
          <w:sz w:val="20"/>
          <w:szCs w:val="20"/>
          <w:color w:val="auto"/>
        </w:rPr>
      </w:pPr>
    </w:p>
    <w:p>
      <w:pPr>
        <w:ind w:firstLine="8"/>
        <w:spacing w:after="0" w:line="269" w:lineRule="auto"/>
        <w:tabs>
          <w:tab w:leader="none" w:pos="3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23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i w:val="1"/>
          <w:iCs w:val="1"/>
          <w:color w:val="auto"/>
        </w:rPr>
        <w:t>Capitalization</w:t>
      </w:r>
      <w:r>
        <w:rPr>
          <w:rFonts w:ascii="Arial" w:cs="Arial" w:eastAsia="Arial" w:hAnsi="Arial"/>
          <w:sz w:val="17"/>
          <w:szCs w:val="17"/>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 (B) 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 (F) restricted stock units or deferred stock units that, in either case, is settleable in</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4" w:name="page55"/>
    <w:bookmarkEnd w:id="54"/>
    <w:p>
      <w:pPr>
        <w:spacing w:after="0" w:line="273" w:lineRule="auto"/>
        <w:rPr>
          <w:sz w:val="20"/>
          <w:szCs w:val="20"/>
          <w:color w:val="auto"/>
        </w:rPr>
      </w:pPr>
      <w:r>
        <w:rPr>
          <w:rFonts w:ascii="Arial" w:cs="Arial" w:eastAsia="Arial" w:hAnsi="Arial"/>
          <w:sz w:val="17"/>
          <w:szCs w:val="17"/>
          <w:color w:val="auto"/>
        </w:rPr>
        <w:t>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233" w:lineRule="exact"/>
        <w:rPr>
          <w:sz w:val="20"/>
          <w:szCs w:val="20"/>
          <w:color w:val="auto"/>
        </w:rPr>
      </w:pPr>
    </w:p>
    <w:p>
      <w:pPr>
        <w:ind w:right="20" w:firstLine="1305"/>
        <w:spacing w:after="0" w:line="269" w:lineRule="auto"/>
        <w:tabs>
          <w:tab w:leader="none" w:pos="193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of the date hereof, there are no outstanding bonds, debentures, notes or other indebtedness of Parent having the right to vote on an as-converted basis (or convertible into, or exchangeable for, securities having the right to 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 (iv) restricted shares, stock appreciation rights, performance units, contingent value rights, “</w:t>
      </w:r>
      <w:r>
        <w:rPr>
          <w:rFonts w:ascii="Arial" w:cs="Arial" w:eastAsia="Arial" w:hAnsi="Arial"/>
          <w:sz w:val="17"/>
          <w:szCs w:val="17"/>
          <w:b w:val="1"/>
          <w:bCs w:val="1"/>
          <w:color w:val="auto"/>
        </w:rPr>
        <w:t>phantom</w:t>
      </w:r>
      <w:r>
        <w:rPr>
          <w:rFonts w:ascii="Arial" w:cs="Arial" w:eastAsia="Arial" w:hAnsi="Arial"/>
          <w:sz w:val="17"/>
          <w:szCs w:val="17"/>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17"/>
          <w:szCs w:val="17"/>
          <w:b w:val="1"/>
          <w:bCs w:val="1"/>
          <w:color w:val="auto"/>
        </w:rPr>
        <w:t>Parent Securities</w:t>
      </w:r>
      <w:r>
        <w:rPr>
          <w:rFonts w:ascii="Arial" w:cs="Arial" w:eastAsia="Arial" w:hAnsi="Arial"/>
          <w:sz w:val="17"/>
          <w:szCs w:val="17"/>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233" w:lineRule="exact"/>
        <w:rPr>
          <w:rFonts w:ascii="Arial" w:cs="Arial" w:eastAsia="Arial" w:hAnsi="Arial"/>
          <w:sz w:val="17"/>
          <w:szCs w:val="17"/>
          <w:color w:val="auto"/>
        </w:rPr>
      </w:pPr>
    </w:p>
    <w:p>
      <w:pPr>
        <w:ind w:firstLine="1305"/>
        <w:spacing w:after="0" w:line="264" w:lineRule="auto"/>
        <w:tabs>
          <w:tab w:leader="none" w:pos="19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23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Subsidiaries</w:t>
      </w:r>
      <w:r>
        <w:rPr>
          <w:rFonts w:ascii="Arial" w:cs="Arial" w:eastAsia="Arial" w:hAnsi="Arial"/>
          <w:sz w:val="16"/>
          <w:szCs w:val="16"/>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5" w:name="page56"/>
    <w:bookmarkEnd w:id="55"/>
    <w:p>
      <w:pPr>
        <w:ind w:right="180"/>
        <w:spacing w:after="0" w:line="259" w:lineRule="auto"/>
        <w:rPr>
          <w:sz w:val="20"/>
          <w:szCs w:val="20"/>
          <w:color w:val="auto"/>
        </w:rPr>
      </w:pPr>
      <w:r>
        <w:rPr>
          <w:rFonts w:ascii="Arial" w:cs="Arial" w:eastAsia="Arial" w:hAnsi="Arial"/>
          <w:sz w:val="18"/>
          <w:szCs w:val="18"/>
          <w:color w:val="auto"/>
        </w:rPr>
        <w:t>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241" w:lineRule="exact"/>
        <w:rPr>
          <w:sz w:val="20"/>
          <w:szCs w:val="20"/>
          <w:color w:val="auto"/>
        </w:rPr>
      </w:pPr>
    </w:p>
    <w:p>
      <w:pPr>
        <w:ind w:firstLine="1305"/>
        <w:spacing w:after="0" w:line="287" w:lineRule="auto"/>
        <w:tabs>
          <w:tab w:leader="none" w:pos="19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 (ii) 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16"/>
          <w:szCs w:val="16"/>
          <w:b w:val="1"/>
          <w:bCs w:val="1"/>
          <w:color w:val="auto"/>
        </w:rPr>
        <w:t>Parent Subsidiary Securities</w:t>
      </w:r>
      <w:r>
        <w:rPr>
          <w:rFonts w:ascii="Arial" w:cs="Arial" w:eastAsia="Arial" w:hAnsi="Arial"/>
          <w:sz w:val="16"/>
          <w:szCs w:val="16"/>
          <w:color w:val="auto"/>
        </w:rPr>
        <w:t>”). There are no outstanding obligations of Parent or any of its Significant Subsidiaries to repurchase, redeem or otherwise acquire any of the Parent Subsidiary Securities.</w:t>
      </w:r>
    </w:p>
    <w:p>
      <w:pPr>
        <w:spacing w:after="0" w:line="22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SEC Filings and the Sarbanes-Oxley Act</w:t>
      </w:r>
      <w:r>
        <w:rPr>
          <w:rFonts w:ascii="Arial" w:cs="Arial" w:eastAsia="Arial" w:hAnsi="Arial"/>
          <w:sz w:val="18"/>
          <w:szCs w:val="18"/>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8"/>
          <w:szCs w:val="18"/>
          <w:b w:val="1"/>
          <w:bCs w:val="1"/>
          <w:color w:val="auto"/>
        </w:rPr>
        <w:t>Parent SEC Documents</w:t>
      </w:r>
      <w:r>
        <w:rPr>
          <w:rFonts w:ascii="Arial" w:cs="Arial" w:eastAsia="Arial" w:hAnsi="Arial"/>
          <w:sz w:val="18"/>
          <w:szCs w:val="18"/>
          <w:color w:val="auto"/>
        </w:rPr>
        <w:t>”).</w:t>
      </w:r>
    </w:p>
    <w:p>
      <w:pPr>
        <w:spacing w:after="0" w:line="241" w:lineRule="exact"/>
        <w:rPr>
          <w:sz w:val="20"/>
          <w:szCs w:val="20"/>
          <w:color w:val="auto"/>
        </w:rPr>
      </w:pPr>
    </w:p>
    <w:p>
      <w:pPr>
        <w:ind w:right="160" w:firstLine="1305"/>
        <w:spacing w:after="0" w:line="277" w:lineRule="auto"/>
        <w:tabs>
          <w:tab w:leader="none" w:pos="19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its filing date (or as of the date of any amendment filed prior to the date hereof), each Parent SEC Document complied, and each Parent SEC Document filed subsequent to the date hereof will comply, as to form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in all material respects with the applicable requirements of the 1933 Act and the 1934 Act and the Sarbanes-Oxley Act, as the case may be.</w:t>
      </w:r>
    </w:p>
    <w:p>
      <w:pPr>
        <w:spacing w:after="0" w:line="279" w:lineRule="exact"/>
        <w:rPr>
          <w:sz w:val="20"/>
          <w:szCs w:val="20"/>
          <w:color w:val="auto"/>
        </w:rPr>
      </w:pPr>
    </w:p>
    <w:p>
      <w:pPr>
        <w:jc w:val="both"/>
        <w:ind w:right="180" w:firstLine="1305"/>
        <w:spacing w:after="0" w:line="279" w:lineRule="auto"/>
        <w:tabs>
          <w:tab w:leader="none" w:pos="19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225" w:lineRule="exact"/>
        <w:rPr>
          <w:rFonts w:ascii="Arial" w:cs="Arial" w:eastAsia="Arial" w:hAnsi="Arial"/>
          <w:sz w:val="17"/>
          <w:szCs w:val="17"/>
          <w:color w:val="auto"/>
        </w:rPr>
      </w:pPr>
    </w:p>
    <w:p>
      <w:pPr>
        <w:ind w:right="100" w:firstLine="1305"/>
        <w:spacing w:after="0" w:line="286" w:lineRule="auto"/>
        <w:tabs>
          <w:tab w:leader="none" w:pos="19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219" w:lineRule="exact"/>
        <w:rPr>
          <w:rFonts w:ascii="Arial" w:cs="Arial" w:eastAsia="Arial" w:hAnsi="Arial"/>
          <w:sz w:val="17"/>
          <w:szCs w:val="17"/>
          <w:color w:val="auto"/>
        </w:rPr>
      </w:pPr>
    </w:p>
    <w:p>
      <w:pPr>
        <w:ind w:right="20" w:firstLine="1305"/>
        <w:spacing w:after="0" w:line="255" w:lineRule="auto"/>
        <w:tabs>
          <w:tab w:leader="none" w:pos="19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247" w:lineRule="exact"/>
        <w:rPr>
          <w:rFonts w:ascii="Arial" w:cs="Arial" w:eastAsia="Arial" w:hAnsi="Arial"/>
          <w:sz w:val="18"/>
          <w:szCs w:val="18"/>
          <w:color w:val="auto"/>
        </w:rPr>
      </w:pPr>
    </w:p>
    <w:p>
      <w:pPr>
        <w:ind w:firstLine="1305"/>
        <w:spacing w:after="0" w:line="291" w:lineRule="auto"/>
        <w:tabs>
          <w:tab w:leader="none" w:pos="1908"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221" w:lineRule="exact"/>
        <w:rPr>
          <w:rFonts w:ascii="Arial" w:cs="Arial" w:eastAsia="Arial" w:hAnsi="Arial"/>
          <w:sz w:val="16"/>
          <w:szCs w:val="16"/>
          <w:color w:val="auto"/>
        </w:rPr>
      </w:pPr>
    </w:p>
    <w:p>
      <w:pPr>
        <w:ind w:left="1940" w:hanging="635"/>
        <w:spacing w:after="0"/>
        <w:tabs>
          <w:tab w:leader="none" w:pos="1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Parent nor any of its Subsidiaries has extended or maintained credit, arranged for the extension of</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color w:val="auto"/>
        </w:rPr>
        <w:t>credit, or renewed an extension of credit, in the form of a personal loan to or for any executive officer (as defined in Rule 3b-7 under the 1934 Act) or director of Parent in violation of Section 402 of the Sarbanes-Oxley Act.</w:t>
      </w:r>
    </w:p>
    <w:p>
      <w:pPr>
        <w:spacing w:after="0" w:line="224" w:lineRule="exact"/>
        <w:rPr>
          <w:sz w:val="20"/>
          <w:szCs w:val="20"/>
          <w:color w:val="auto"/>
        </w:rPr>
      </w:pPr>
    </w:p>
    <w:p>
      <w:pPr>
        <w:ind w:right="180" w:firstLine="1305"/>
        <w:spacing w:after="0" w:line="277" w:lineRule="auto"/>
        <w:tabs>
          <w:tab w:leader="none" w:pos="19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224" w:lineRule="exact"/>
        <w:rPr>
          <w:rFonts w:ascii="Arial" w:cs="Arial" w:eastAsia="Arial" w:hAnsi="Arial"/>
          <w:sz w:val="18"/>
          <w:szCs w:val="18"/>
          <w:color w:val="auto"/>
        </w:rPr>
      </w:pPr>
    </w:p>
    <w:p>
      <w:pPr>
        <w:ind w:right="100" w:firstLine="1305"/>
        <w:spacing w:after="0" w:line="259" w:lineRule="auto"/>
        <w:tabs>
          <w:tab w:leader="none" w:pos="18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240" w:lineRule="exact"/>
        <w:rPr>
          <w:rFonts w:ascii="Arial" w:cs="Arial" w:eastAsia="Arial" w:hAnsi="Arial"/>
          <w:sz w:val="18"/>
          <w:szCs w:val="18"/>
          <w:color w:val="auto"/>
        </w:rPr>
      </w:pPr>
    </w:p>
    <w:p>
      <w:pPr>
        <w:ind w:right="40" w:firstLine="1305"/>
        <w:spacing w:after="0" w:line="277" w:lineRule="auto"/>
        <w:tabs>
          <w:tab w:leader="none" w:pos="18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Parent 10-K contains no material differences from Parent’s annual report on Form 10-K for the fiscal year ended December 31, 2013, in the form previously delivered to the Company.</w:t>
      </w:r>
    </w:p>
    <w:p>
      <w:pPr>
        <w:spacing w:after="0" w:line="224"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audited consolidated financial statements and unaudited consolidated interim financial statements of Parent included or incorporated by 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Disclosure Documents</w:t>
      </w:r>
      <w:r>
        <w:rPr>
          <w:rFonts w:ascii="Arial" w:cs="Arial" w:eastAsia="Arial" w:hAnsi="Arial"/>
          <w:sz w:val="18"/>
          <w:szCs w:val="18"/>
          <w:color w:val="auto"/>
        </w:rPr>
        <w:t>. The information supplied by Parent in writing for inclusion or incorporation by reference in the Registration Statement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8" w:name="page59"/>
    <w:bookmarkEnd w:id="58"/>
    <w:p>
      <w:pPr>
        <w:ind w:right="280"/>
        <w:spacing w:after="0" w:line="259" w:lineRule="auto"/>
        <w:rPr>
          <w:sz w:val="20"/>
          <w:szCs w:val="20"/>
          <w:color w:val="auto"/>
        </w:rPr>
      </w:pPr>
      <w:r>
        <w:rPr>
          <w:rFonts w:ascii="Arial" w:cs="Arial" w:eastAsia="Arial" w:hAnsi="Arial"/>
          <w:sz w:val="18"/>
          <w:szCs w:val="18"/>
          <w:color w:val="auto"/>
        </w:rPr>
        <w:t>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24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24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or obligations of Parent or any of its Subsidiaries of any kind whatsoever, whether accrued, contingent, absolute, determined, determinable or otherwise, other than:</w:t>
      </w:r>
    </w:p>
    <w:p>
      <w:pPr>
        <w:spacing w:after="0" w:line="224"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liabilities or obligations disclosed, reflected, reserved against or otherwise provided for in the Parent Balance Sheet or in the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65" w:lineRule="exact"/>
        <w:rPr>
          <w:sz w:val="20"/>
          <w:szCs w:val="20"/>
          <w:color w:val="auto"/>
        </w:rPr>
      </w:pPr>
    </w:p>
    <w:p>
      <w:pPr>
        <w:ind w:left="1940" w:hanging="635"/>
        <w:spacing w:after="0"/>
        <w:tabs>
          <w:tab w:leader="none" w:pos="19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liabilities or obligations incurred in the ordinary course of business consistent with past practices since the Parent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65" w:lineRule="exact"/>
        <w:rPr>
          <w:sz w:val="20"/>
          <w:szCs w:val="20"/>
          <w:color w:val="auto"/>
        </w:rPr>
      </w:pPr>
    </w:p>
    <w:p>
      <w:pPr>
        <w:ind w:left="1940" w:hanging="635"/>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liabilities or obligations arising out of this Agreement or the transactions contemplated hereby; and</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liabilities or obligations that would not reasonably be expected to have, individually or in the aggregate, a Parent Material Adverse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Compliance with Laws and Court Orders; Governmental Authorizations</w:t>
      </w:r>
      <w:r>
        <w:rPr>
          <w:rFonts w:ascii="Arial" w:cs="Arial" w:eastAsia="Arial" w:hAnsi="Arial"/>
          <w:sz w:val="17"/>
          <w:szCs w:val="17"/>
          <w:color w:val="auto"/>
        </w:rPr>
        <w:t>.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Material Adverse Effect or that, as of the date hereof, seeks materially interefere with or delay the consummation of the Merger.</w:t>
      </w:r>
    </w:p>
    <w:p>
      <w:pPr>
        <w:spacing w:after="0" w:line="279" w:lineRule="exact"/>
        <w:rPr>
          <w:sz w:val="20"/>
          <w:szCs w:val="20"/>
          <w:color w:val="auto"/>
        </w:rPr>
      </w:pPr>
    </w:p>
    <w:p>
      <w:pPr>
        <w:ind w:firstLine="1305"/>
        <w:spacing w:after="0" w:line="297" w:lineRule="auto"/>
        <w:tabs>
          <w:tab w:leader="none" w:pos="1938"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21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Litigation</w:t>
      </w:r>
      <w:r>
        <w:rPr>
          <w:rFonts w:ascii="Arial" w:cs="Arial" w:eastAsia="Arial" w:hAnsi="Arial"/>
          <w:sz w:val="16"/>
          <w:szCs w:val="16"/>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Parent Material Adverse Effect or (ii) as of the date hereof, seeks to materially interfere with or delay the consummation of the Merger.</w:t>
      </w:r>
    </w:p>
    <w:p>
      <w:pPr>
        <w:spacing w:after="0" w:line="21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Parent Material Adverse Effect:</w:t>
      </w:r>
    </w:p>
    <w:p>
      <w:pPr>
        <w:spacing w:after="0" w:line="279" w:lineRule="exact"/>
        <w:rPr>
          <w:sz w:val="20"/>
          <w:szCs w:val="20"/>
          <w:color w:val="auto"/>
        </w:rPr>
      </w:pPr>
    </w:p>
    <w:p>
      <w:pPr>
        <w:ind w:right="120" w:firstLine="1305"/>
        <w:spacing w:after="0" w:line="277" w:lineRule="auto"/>
        <w:tabs>
          <w:tab w:leader="none" w:pos="19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224" w:lineRule="exact"/>
        <w:rPr>
          <w:rFonts w:ascii="Arial" w:cs="Arial" w:eastAsia="Arial" w:hAnsi="Arial"/>
          <w:sz w:val="18"/>
          <w:szCs w:val="18"/>
          <w:color w:val="auto"/>
        </w:rPr>
      </w:pPr>
    </w:p>
    <w:p>
      <w:pPr>
        <w:ind w:left="1300" w:right="80" w:firstLine="491"/>
        <w:spacing w:after="0" w:line="277" w:lineRule="auto"/>
        <w:tabs>
          <w:tab w:leader="none" w:pos="2438"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Parent and each of its Subsidiaries has timely paid to the appropriate Taxing Authority all Taxes shown as due and payable on all Tax Returns that have been so filed;</w:t>
      </w:r>
    </w:p>
    <w:p>
      <w:pPr>
        <w:spacing w:after="0" w:line="224" w:lineRule="exact"/>
        <w:rPr>
          <w:rFonts w:ascii="Arial" w:cs="Arial" w:eastAsia="Arial" w:hAnsi="Arial"/>
          <w:sz w:val="18"/>
          <w:szCs w:val="18"/>
          <w:color w:val="auto"/>
        </w:rPr>
      </w:pPr>
    </w:p>
    <w:p>
      <w:pPr>
        <w:ind w:left="1300" w:right="360" w:firstLine="491"/>
        <w:spacing w:after="0" w:line="277" w:lineRule="auto"/>
        <w:tabs>
          <w:tab w:leader="none" w:pos="24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accruals and reserves with respect to Taxes as set forth on the Parent Balance Sheet are adequate (as determined in accordance with GAAP);</w:t>
      </w:r>
    </w:p>
    <w:p>
      <w:pPr>
        <w:spacing w:after="0" w:line="224" w:lineRule="exact"/>
        <w:rPr>
          <w:rFonts w:ascii="Arial" w:cs="Arial" w:eastAsia="Arial" w:hAnsi="Arial"/>
          <w:sz w:val="18"/>
          <w:szCs w:val="18"/>
          <w:color w:val="auto"/>
        </w:rPr>
      </w:pPr>
    </w:p>
    <w:p>
      <w:pPr>
        <w:ind w:left="1300" w:right="180" w:firstLine="491"/>
        <w:spacing w:after="0" w:line="277" w:lineRule="auto"/>
        <w:tabs>
          <w:tab w:leader="none" w:pos="24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Parent Balance Sheet Date;</w:t>
      </w:r>
    </w:p>
    <w:p>
      <w:pPr>
        <w:spacing w:after="0" w:line="224" w:lineRule="exact"/>
        <w:rPr>
          <w:rFonts w:ascii="Arial" w:cs="Arial" w:eastAsia="Arial" w:hAnsi="Arial"/>
          <w:sz w:val="18"/>
          <w:szCs w:val="18"/>
          <w:color w:val="auto"/>
        </w:rPr>
      </w:pPr>
    </w:p>
    <w:p>
      <w:pPr>
        <w:ind w:left="2440" w:hanging="649"/>
        <w:spacing w:after="0"/>
        <w:tabs>
          <w:tab w:leader="none" w:pos="24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there is no action, suit, investigation, proceeding or audit pending or, to Parent’s knowledge, threatened against or with</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auto"/>
        </w:rPr>
        <w:t>respect to Parent or any of its Subsidiaries in respect of any material Tax; and</w:t>
      </w:r>
    </w:p>
    <w:p>
      <w:pPr>
        <w:spacing w:after="0" w:line="279" w:lineRule="exact"/>
        <w:rPr>
          <w:sz w:val="20"/>
          <w:szCs w:val="20"/>
          <w:color w:val="auto"/>
        </w:rPr>
      </w:pPr>
    </w:p>
    <w:p>
      <w:pPr>
        <w:ind w:left="1300" w:right="80" w:firstLine="491"/>
        <w:spacing w:after="0" w:line="286" w:lineRule="auto"/>
        <w:tabs>
          <w:tab w:leader="none" w:pos="2478"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219" w:lineRule="exact"/>
        <w:rPr>
          <w:rFonts w:ascii="Arial" w:cs="Arial" w:eastAsia="Arial" w:hAnsi="Arial"/>
          <w:sz w:val="17"/>
          <w:szCs w:val="17"/>
          <w:color w:val="auto"/>
        </w:rPr>
      </w:pPr>
    </w:p>
    <w:p>
      <w:pPr>
        <w:ind w:right="80" w:firstLine="1305"/>
        <w:spacing w:after="0" w:line="279" w:lineRule="auto"/>
        <w:tabs>
          <w:tab w:leader="none" w:pos="193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225" w:lineRule="exact"/>
        <w:rPr>
          <w:rFonts w:ascii="Arial" w:cs="Arial" w:eastAsia="Arial" w:hAnsi="Arial"/>
          <w:sz w:val="17"/>
          <w:szCs w:val="17"/>
          <w:color w:val="auto"/>
        </w:rPr>
      </w:pPr>
    </w:p>
    <w:p>
      <w:pPr>
        <w:ind w:right="880" w:firstLine="1305"/>
        <w:spacing w:after="0" w:line="277" w:lineRule="auto"/>
        <w:tabs>
          <w:tab w:leader="none" w:pos="19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jurisdiction in which Parent or any of its Subsidiaries does not file Tax Returns has asserted that Parent or any of its Subsidiaries is or may be liable for Tax in that jurisdiction.</w:t>
      </w:r>
    </w:p>
    <w:p>
      <w:pPr>
        <w:spacing w:after="0" w:line="2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i w:val="1"/>
          <w:iCs w:val="1"/>
          <w:color w:val="auto"/>
        </w:rPr>
        <w:t>Franchises</w:t>
      </w:r>
      <w:r>
        <w:rPr>
          <w:rFonts w:ascii="Arial" w:cs="Arial" w:eastAsia="Arial" w:hAnsi="Arial"/>
          <w:sz w:val="16"/>
          <w:szCs w:val="16"/>
          <w:color w:val="auto"/>
        </w:rPr>
        <w:t>. Except as would not reasonably be expected to have, individually or in the aggregate, a Parent Material Adverse Effect,</w:t>
      </w:r>
    </w:p>
    <w:p>
      <w:pPr>
        <w:spacing w:after="0" w:line="23" w:lineRule="exact"/>
        <w:rPr>
          <w:sz w:val="20"/>
          <w:szCs w:val="20"/>
          <w:color w:val="auto"/>
        </w:rPr>
      </w:pPr>
    </w:p>
    <w:p>
      <w:pPr>
        <w:ind w:right="80" w:firstLine="8"/>
        <w:spacing w:after="0" w:line="255"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24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i w:val="1"/>
          <w:iCs w:val="1"/>
          <w:color w:val="auto"/>
        </w:rPr>
        <w:t>Tax Treatment</w:t>
      </w:r>
      <w:r>
        <w:rPr>
          <w:rFonts w:ascii="Arial" w:cs="Arial" w:eastAsia="Arial" w:hAnsi="Arial"/>
          <w:sz w:val="18"/>
          <w:szCs w:val="18"/>
          <w:color w:val="auto"/>
        </w:rPr>
        <w:t>. Neither Parent nor any of its Affiliates has taken or agreed to take any action or is aware of any fact or circumstance that would prevent the Merger from qualifying as a 368 Reorganization.</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Certain Agreements</w:t>
      </w:r>
      <w:r>
        <w:rPr>
          <w:rFonts w:ascii="Arial" w:cs="Arial" w:eastAsia="Arial" w:hAnsi="Arial"/>
          <w:sz w:val="18"/>
          <w:szCs w:val="18"/>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 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1" w:name="page62"/>
    <w:bookmarkEnd w:id="61"/>
    <w:p>
      <w:pPr>
        <w:ind w:right="120" w:firstLine="656"/>
        <w:spacing w:after="0" w:line="264" w:lineRule="auto"/>
        <w:tabs>
          <w:tab w:leader="none" w:pos="8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23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Finders’ Fees</w:t>
      </w:r>
      <w:r>
        <w:rPr>
          <w:rFonts w:ascii="Arial" w:cs="Arial" w:eastAsia="Arial" w:hAnsi="Arial"/>
          <w:sz w:val="17"/>
          <w:szCs w:val="17"/>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22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23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No Additional Representations</w:t>
      </w:r>
      <w:r>
        <w:rPr>
          <w:rFonts w:ascii="Arial" w:cs="Arial" w:eastAsia="Arial" w:hAnsi="Arial"/>
          <w:sz w:val="16"/>
          <w:szCs w:val="16"/>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 (b) 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 that: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Conduct of the Company</w:t>
      </w:r>
      <w:r>
        <w:rPr>
          <w:rFonts w:ascii="Arial" w:cs="Arial" w:eastAsia="Arial" w:hAnsi="Arial"/>
          <w:sz w:val="18"/>
          <w:szCs w:val="18"/>
          <w:color w:val="auto"/>
        </w:rPr>
        <w:t>. From the date hereof until the Effective Time, except as expressly contemplated by this Agreement, as set forth in Section 6.01 of the Company Disclosure Schedule, as consented to in writing by Parent, as contemplated by or reasonably necessary to implement the Company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w:t>
      </w:r>
    </w:p>
    <w:p>
      <w:pPr>
        <w:spacing w:after="0" w:line="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maintain its existing relationships with its material customers, lenders, suppliers and others having material business relationships with it and with</w:t>
      </w:r>
    </w:p>
    <w:p>
      <w:pPr>
        <w:spacing w:after="0" w:line="20" w:lineRule="exact"/>
        <w:rPr>
          <w:rFonts w:ascii="Arial" w:cs="Arial" w:eastAsia="Arial" w:hAnsi="Arial"/>
          <w:sz w:val="17"/>
          <w:szCs w:val="17"/>
          <w:color w:val="auto"/>
        </w:rPr>
      </w:pPr>
    </w:p>
    <w:p>
      <w:pPr>
        <w:ind w:right="20"/>
        <w:spacing w:after="0" w:line="252" w:lineRule="auto"/>
        <w:rPr>
          <w:rFonts w:ascii="Arial" w:cs="Arial" w:eastAsia="Arial" w:hAnsi="Arial"/>
          <w:sz w:val="17"/>
          <w:szCs w:val="17"/>
          <w:color w:val="auto"/>
        </w:rPr>
      </w:pPr>
      <w:r>
        <w:rPr>
          <w:rFonts w:ascii="Arial" w:cs="Arial" w:eastAsia="Arial" w:hAnsi="Arial"/>
          <w:sz w:val="18"/>
          <w:szCs w:val="18"/>
          <w:color w:val="auto"/>
        </w:rPr>
        <w:t>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248" w:lineRule="exact"/>
        <w:rPr>
          <w:rFonts w:ascii="Arial" w:cs="Arial" w:eastAsia="Arial" w:hAnsi="Arial"/>
          <w:sz w:val="17"/>
          <w:szCs w:val="17"/>
          <w:color w:val="auto"/>
        </w:rPr>
      </w:pPr>
    </w:p>
    <w:p>
      <w:pPr>
        <w:ind w:left="1940" w:hanging="635"/>
        <w:spacing w:after="0"/>
        <w:tabs>
          <w:tab w:leader="none" w:pos="19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amend its certificate of incorporation, bylaws or other similar organizational documents (whether by merger, consolidation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otherwise);</w:t>
      </w:r>
    </w:p>
    <w:p>
      <w:pPr>
        <w:spacing w:after="0" w:line="264" w:lineRule="exact"/>
        <w:rPr>
          <w:rFonts w:ascii="Arial" w:cs="Arial" w:eastAsia="Arial" w:hAnsi="Arial"/>
          <w:sz w:val="17"/>
          <w:szCs w:val="17"/>
          <w:color w:val="auto"/>
        </w:rPr>
      </w:pPr>
    </w:p>
    <w:p>
      <w:pPr>
        <w:ind w:right="20" w:firstLine="1305"/>
        <w:spacing w:after="0" w:line="269" w:lineRule="auto"/>
        <w:tabs>
          <w:tab w:leader="none" w:pos="1938" w:val="left"/>
        </w:tabs>
        <w:numPr>
          <w:ilvl w:val="1"/>
          <w:numId w:val="64"/>
        </w:numPr>
        <w:rPr>
          <w:rFonts w:ascii="Arial" w:cs="Arial" w:eastAsia="Arial" w:hAnsi="Arial"/>
          <w:sz w:val="17"/>
          <w:szCs w:val="17"/>
          <w:color w:val="auto"/>
        </w:rPr>
      </w:pPr>
      <w:r>
        <w:rPr>
          <w:rFonts w:ascii="Arial" w:cs="Arial" w:eastAsia="Arial" w:hAnsi="Arial"/>
          <w:sz w:val="17"/>
          <w:szCs w:val="17"/>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 connection with (A) the payment of the exercise price of Company Stock Options with Company Stock (including in connection with “</w:t>
      </w:r>
      <w:r>
        <w:rPr>
          <w:rFonts w:ascii="Arial" w:cs="Arial" w:eastAsia="Arial" w:hAnsi="Arial"/>
          <w:sz w:val="17"/>
          <w:szCs w:val="17"/>
          <w:b w:val="1"/>
          <w:bCs w:val="1"/>
          <w:color w:val="auto"/>
        </w:rPr>
        <w:t>net exercises</w:t>
      </w:r>
      <w:r>
        <w:rPr>
          <w:rFonts w:ascii="Arial" w:cs="Arial" w:eastAsia="Arial" w:hAnsi="Arial"/>
          <w:sz w:val="17"/>
          <w:szCs w:val="17"/>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date of this Agreement) or are issued or granted after the date of this Agreement as permitted by Section 6.01(c)(i)(B);</w:t>
      </w:r>
    </w:p>
    <w:p>
      <w:pPr>
        <w:spacing w:after="0" w:line="279" w:lineRule="exact"/>
        <w:rPr>
          <w:sz w:val="20"/>
          <w:szCs w:val="20"/>
          <w:color w:val="auto"/>
        </w:rPr>
      </w:pPr>
    </w:p>
    <w:p>
      <w:pPr>
        <w:ind w:right="40" w:firstLine="1305"/>
        <w:spacing w:after="0" w:line="271" w:lineRule="auto"/>
        <w:tabs>
          <w:tab w:leader="none" w:pos="19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232" w:lineRule="exact"/>
        <w:rPr>
          <w:rFonts w:ascii="Arial" w:cs="Arial" w:eastAsia="Arial" w:hAnsi="Arial"/>
          <w:sz w:val="17"/>
          <w:szCs w:val="17"/>
          <w:color w:val="auto"/>
        </w:rPr>
      </w:pPr>
    </w:p>
    <w:p>
      <w:pPr>
        <w:ind w:right="40" w:firstLine="1305"/>
        <w:spacing w:after="0" w:line="264" w:lineRule="auto"/>
        <w:tabs>
          <w:tab w:leader="none" w:pos="19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235" w:lineRule="exact"/>
        <w:rPr>
          <w:rFonts w:ascii="Arial" w:cs="Arial" w:eastAsia="Arial" w:hAnsi="Arial"/>
          <w:sz w:val="18"/>
          <w:szCs w:val="18"/>
          <w:color w:val="auto"/>
        </w:rPr>
      </w:pPr>
    </w:p>
    <w:p>
      <w:pPr>
        <w:ind w:right="160" w:firstLine="1305"/>
        <w:spacing w:after="0" w:line="257" w:lineRule="auto"/>
        <w:tabs>
          <w:tab w:leader="none" w:pos="19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 (ii) pursuant to contracts or arrangements in effect on the date hereof, (iii) leases or subleases under which the Company or one of its Subsidiaries is the tenant entered into in the ordinary course of business and (iv) acquisitions with a purchase price (including assumed indebtedness) that does not exceed $100,000,000 in the aggregate;</w:t>
      </w:r>
    </w:p>
    <w:p>
      <w:pPr>
        <w:spacing w:after="0" w:line="242" w:lineRule="exact"/>
        <w:rPr>
          <w:rFonts w:ascii="Arial" w:cs="Arial" w:eastAsia="Arial" w:hAnsi="Arial"/>
          <w:sz w:val="18"/>
          <w:szCs w:val="18"/>
          <w:color w:val="auto"/>
        </w:rPr>
      </w:pPr>
    </w:p>
    <w:p>
      <w:pPr>
        <w:ind w:firstLine="1305"/>
        <w:spacing w:after="0" w:line="276" w:lineRule="auto"/>
        <w:tabs>
          <w:tab w:leader="none" w:pos="19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 (iv) leases or subleases under which the Company or one of its Subsidiaries is the lessor entered into in the ordinary course of business, or (v) Permitted Liens;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p>
      <w:pPr>
        <w:ind w:left="-20" w:right="20" w:firstLine="1305"/>
        <w:spacing w:after="0" w:line="279" w:lineRule="auto"/>
        <w:tabs>
          <w:tab w:leader="none" w:pos="19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225" w:lineRule="exact"/>
        <w:rPr>
          <w:rFonts w:ascii="Arial" w:cs="Arial" w:eastAsia="Arial" w:hAnsi="Arial"/>
          <w:sz w:val="17"/>
          <w:szCs w:val="17"/>
          <w:color w:val="auto"/>
        </w:rPr>
      </w:pPr>
    </w:p>
    <w:p>
      <w:pPr>
        <w:ind w:left="-20" w:right="220" w:firstLine="1305"/>
        <w:spacing w:after="0" w:line="276" w:lineRule="auto"/>
        <w:tabs>
          <w:tab w:leader="none" w:pos="19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226" w:lineRule="exact"/>
        <w:rPr>
          <w:rFonts w:ascii="Arial" w:cs="Arial" w:eastAsia="Arial" w:hAnsi="Arial"/>
          <w:sz w:val="17"/>
          <w:szCs w:val="17"/>
          <w:color w:val="auto"/>
        </w:rPr>
      </w:pPr>
    </w:p>
    <w:p>
      <w:pPr>
        <w:jc w:val="both"/>
        <w:ind w:left="-20" w:right="80" w:firstLine="1305"/>
        <w:spacing w:after="0" w:line="279" w:lineRule="auto"/>
        <w:tabs>
          <w:tab w:leader="none" w:pos="18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225" w:lineRule="exact"/>
        <w:rPr>
          <w:rFonts w:ascii="Arial" w:cs="Arial" w:eastAsia="Arial" w:hAnsi="Arial"/>
          <w:sz w:val="17"/>
          <w:szCs w:val="17"/>
          <w:color w:val="auto"/>
        </w:rPr>
      </w:pPr>
    </w:p>
    <w:p>
      <w:pPr>
        <w:ind w:left="-20" w:firstLine="1305"/>
        <w:spacing w:after="0" w:line="279" w:lineRule="auto"/>
        <w:tabs>
          <w:tab w:leader="none" w:pos="18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 than in the ordinary course of business, (i) amend or modify in any material respect or terminate (excluding terminations upon expiration of the term thereof in accordance with the terms thereof) any Company 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225" w:lineRule="exact"/>
        <w:rPr>
          <w:rFonts w:ascii="Arial" w:cs="Arial" w:eastAsia="Arial" w:hAnsi="Arial"/>
          <w:sz w:val="17"/>
          <w:szCs w:val="17"/>
          <w:color w:val="auto"/>
        </w:rPr>
      </w:pPr>
    </w:p>
    <w:p>
      <w:pPr>
        <w:ind w:left="-20" w:right="280" w:firstLine="1305"/>
        <w:spacing w:after="0" w:line="259" w:lineRule="auto"/>
        <w:tabs>
          <w:tab w:leader="none" w:pos="19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240" w:lineRule="exact"/>
        <w:rPr>
          <w:rFonts w:ascii="Arial" w:cs="Arial" w:eastAsia="Arial" w:hAnsi="Arial"/>
          <w:sz w:val="18"/>
          <w:szCs w:val="18"/>
          <w:color w:val="auto"/>
        </w:rPr>
      </w:pPr>
    </w:p>
    <w:p>
      <w:pPr>
        <w:ind w:left="-20" w:right="560" w:firstLine="1305"/>
        <w:spacing w:after="0" w:line="277" w:lineRule="auto"/>
        <w:tabs>
          <w:tab w:leader="none" w:pos="18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 to any director or officer (as such terms are used for purposes of Section 16 of the Exchange Act) of the Company any increase in change in control, severance, retention or termination pay (including any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44" w:right="259" w:bottom="1440" w:gutter="0" w:footer="0" w:header="0"/>
        </w:sectPr>
      </w:pPr>
    </w:p>
    <w:bookmarkStart w:id="65" w:name="page66"/>
    <w:bookmarkEnd w:id="65"/>
    <w:p>
      <w:pPr>
        <w:jc w:val="both"/>
        <w:ind w:right="140"/>
        <w:spacing w:after="0" w:line="259" w:lineRule="auto"/>
        <w:rPr>
          <w:sz w:val="20"/>
          <w:szCs w:val="20"/>
          <w:color w:val="auto"/>
        </w:rPr>
      </w:pPr>
      <w:r>
        <w:rPr>
          <w:rFonts w:ascii="Arial" w:cs="Arial" w:eastAsia="Arial" w:hAnsi="Arial"/>
          <w:sz w:val="18"/>
          <w:szCs w:val="18"/>
          <w:color w:val="auto"/>
        </w:rPr>
        <w:t>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241" w:lineRule="exact"/>
        <w:rPr>
          <w:sz w:val="20"/>
          <w:szCs w:val="20"/>
          <w:color w:val="auto"/>
        </w:rPr>
      </w:pPr>
    </w:p>
    <w:p>
      <w:pPr>
        <w:ind w:right="60" w:firstLine="1305"/>
        <w:spacing w:after="0" w:line="259" w:lineRule="auto"/>
        <w:tabs>
          <w:tab w:leader="none" w:pos="19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set forth on Section 6.01(m) of the Company Disclosure Schedule, (i) increase the annual salary of any employee of the Company or any of its Subsidiaries who holds the title of Executive Vice President or greater by more than 5% in the 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240" w:lineRule="exact"/>
        <w:rPr>
          <w:rFonts w:ascii="Arial" w:cs="Arial" w:eastAsia="Arial" w:hAnsi="Arial"/>
          <w:sz w:val="18"/>
          <w:szCs w:val="18"/>
          <w:color w:val="auto"/>
        </w:rPr>
      </w:pPr>
    </w:p>
    <w:p>
      <w:pPr>
        <w:ind w:firstLine="1305"/>
        <w:spacing w:after="0" w:line="289" w:lineRule="auto"/>
        <w:tabs>
          <w:tab w:leader="none" w:pos="193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w:t>
      </w:r>
      <w:r>
        <w:rPr>
          <w:rFonts w:ascii="Arial" w:cs="Arial" w:eastAsia="Arial" w:hAnsi="Arial"/>
          <w:sz w:val="16"/>
          <w:szCs w:val="16"/>
          <w:b w:val="1"/>
          <w:bCs w:val="1"/>
          <w:color w:val="auto"/>
        </w:rPr>
        <w:t>excess benefit plan</w:t>
      </w:r>
      <w:r>
        <w:rPr>
          <w:rFonts w:ascii="Arial" w:cs="Arial" w:eastAsia="Arial" w:hAnsi="Arial"/>
          <w:sz w:val="16"/>
          <w:szCs w:val="16"/>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220" w:lineRule="exact"/>
        <w:rPr>
          <w:rFonts w:ascii="Arial" w:cs="Arial" w:eastAsia="Arial" w:hAnsi="Arial"/>
          <w:sz w:val="16"/>
          <w:szCs w:val="16"/>
          <w:color w:val="auto"/>
        </w:rPr>
      </w:pPr>
    </w:p>
    <w:p>
      <w:pPr>
        <w:ind w:right="120" w:firstLine="1305"/>
        <w:spacing w:after="0" w:line="277" w:lineRule="auto"/>
        <w:tabs>
          <w:tab w:leader="none" w:pos="19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the Company’s methods of financial accounting, except as required by concurrent changes in GAAP or in Regulation S-X of the 1934 Act, as agreed to by its independent public accountants;</w:t>
      </w:r>
    </w:p>
    <w:p>
      <w:pPr>
        <w:spacing w:after="0" w:line="224" w:lineRule="exact"/>
        <w:rPr>
          <w:rFonts w:ascii="Arial" w:cs="Arial" w:eastAsia="Arial" w:hAnsi="Arial"/>
          <w:sz w:val="18"/>
          <w:szCs w:val="18"/>
          <w:color w:val="auto"/>
        </w:rPr>
      </w:pPr>
    </w:p>
    <w:p>
      <w:pPr>
        <w:ind w:right="140" w:firstLine="1305"/>
        <w:spacing w:after="0" w:line="259" w:lineRule="auto"/>
        <w:tabs>
          <w:tab w:leader="none" w:pos="19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 (y) the financial impact to the Company and its Subsidiaries of any other terms of the settlement or compromise does not exceed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$100,000,000 (after giving effect to any reasonably expected indemnification proceeds);</w:t>
      </w:r>
    </w:p>
    <w:p>
      <w:pPr>
        <w:spacing w:after="0" w:line="279" w:lineRule="exact"/>
        <w:rPr>
          <w:sz w:val="20"/>
          <w:szCs w:val="20"/>
          <w:color w:val="auto"/>
        </w:rPr>
      </w:pPr>
    </w:p>
    <w:p>
      <w:pPr>
        <w:ind w:right="40" w:firstLine="1305"/>
        <w:spacing w:after="0" w:line="277" w:lineRule="auto"/>
        <w:tabs>
          <w:tab w:leader="none" w:pos="19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224" w:lineRule="exact"/>
        <w:rPr>
          <w:rFonts w:ascii="Arial" w:cs="Arial" w:eastAsia="Arial" w:hAnsi="Arial"/>
          <w:sz w:val="18"/>
          <w:szCs w:val="18"/>
          <w:color w:val="auto"/>
        </w:rPr>
      </w:pPr>
    </w:p>
    <w:p>
      <w:pPr>
        <w:ind w:right="400" w:firstLine="1305"/>
        <w:spacing w:after="0" w:line="277" w:lineRule="auto"/>
        <w:tabs>
          <w:tab w:leader="none" w:pos="19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224" w:lineRule="exact"/>
        <w:rPr>
          <w:rFonts w:ascii="Arial" w:cs="Arial" w:eastAsia="Arial" w:hAnsi="Arial"/>
          <w:sz w:val="18"/>
          <w:szCs w:val="18"/>
          <w:color w:val="auto"/>
        </w:rPr>
      </w:pPr>
    </w:p>
    <w:p>
      <w:pPr>
        <w:ind w:right="120" w:firstLine="1305"/>
        <w:spacing w:after="0" w:line="277" w:lineRule="auto"/>
        <w:tabs>
          <w:tab w:leader="none" w:pos="19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224" w:lineRule="exact"/>
        <w:rPr>
          <w:rFonts w:ascii="Arial" w:cs="Arial" w:eastAsia="Arial" w:hAnsi="Arial"/>
          <w:sz w:val="18"/>
          <w:szCs w:val="18"/>
          <w:color w:val="auto"/>
        </w:rPr>
      </w:pPr>
    </w:p>
    <w:p>
      <w:pPr>
        <w:ind w:left="1900" w:hanging="595"/>
        <w:spacing w:after="0"/>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Company Stockholder Meeting</w:t>
      </w:r>
      <w:r>
        <w:rPr>
          <w:rFonts w:ascii="Arial" w:cs="Arial" w:eastAsia="Arial" w:hAnsi="Arial"/>
          <w:sz w:val="16"/>
          <w:szCs w:val="16"/>
          <w:color w:val="auto"/>
        </w:rPr>
        <w:t>. The Company shall cause a meeting of its stockholders (the “</w:t>
      </w:r>
      <w:r>
        <w:rPr>
          <w:rFonts w:ascii="Arial" w:cs="Arial" w:eastAsia="Arial" w:hAnsi="Arial"/>
          <w:sz w:val="16"/>
          <w:szCs w:val="16"/>
          <w:b w:val="1"/>
          <w:bCs w:val="1"/>
          <w:color w:val="auto"/>
        </w:rPr>
        <w:t>Company Stockholder Meeting</w:t>
      </w:r>
      <w:r>
        <w:rPr>
          <w:rFonts w:ascii="Arial" w:cs="Arial" w:eastAsia="Arial" w:hAnsi="Arial"/>
          <w:sz w:val="16"/>
          <w:szCs w:val="16"/>
          <w:color w:val="auto"/>
        </w:rPr>
        <w:t>”) to be duly called and held as soon as reasonably practicable after the date of this Agreement (but in no event later than 40 days after the Registration Statement is declared effective under the 1933 Act) for the purpose of voting on the approval and adoption of this Agreement and the Merger. In connection with the Company Stockholder Meeting, the Company shall (i) 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67" w:name="page68"/>
    <w:bookmarkEnd w:id="67"/>
    <w:p>
      <w:pPr>
        <w:spacing w:after="0" w:line="287" w:lineRule="auto"/>
        <w:rPr>
          <w:sz w:val="20"/>
          <w:szCs w:val="20"/>
          <w:color w:val="auto"/>
        </w:rPr>
      </w:pPr>
      <w:r>
        <w:rPr>
          <w:rFonts w:ascii="Arial" w:cs="Arial" w:eastAsia="Arial" w:hAnsi="Arial"/>
          <w:sz w:val="16"/>
          <w:szCs w:val="16"/>
          <w:color w:val="auto"/>
        </w:rPr>
        <w:t>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2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No Solicitation; Other Offers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 Prohibitions</w:t>
      </w:r>
      <w:r>
        <w:rPr>
          <w:rFonts w:ascii="Arial" w:cs="Arial" w:eastAsia="Arial" w:hAnsi="Arial"/>
          <w:sz w:val="16"/>
          <w:szCs w:val="16"/>
          <w:color w:val="auto"/>
        </w:rPr>
        <w:t>. Neither the Company nor any of its Subsidiaries shall, nor shall the Company or any of its Subsidiaries authorize or permit any of its or their officers, directors, employees, investment bankers, attorneys, accountants, consultants or other agents or advisors (“</w:t>
      </w:r>
      <w:r>
        <w:rPr>
          <w:rFonts w:ascii="Arial" w:cs="Arial" w:eastAsia="Arial" w:hAnsi="Arial"/>
          <w:sz w:val="16"/>
          <w:szCs w:val="16"/>
          <w:b w:val="1"/>
          <w:bCs w:val="1"/>
          <w:color w:val="auto"/>
        </w:rPr>
        <w:t>Representatives</w:t>
      </w:r>
      <w:r>
        <w:rPr>
          <w:rFonts w:ascii="Arial" w:cs="Arial" w:eastAsia="Arial" w:hAnsi="Arial"/>
          <w:sz w:val="16"/>
          <w:szCs w:val="16"/>
          <w:color w:val="auto"/>
        </w:rPr>
        <w:t>”) to, directly or indirectly, (i) solicit, initiate or take any action to knowingly facilitate or encourage the submission of any Company Acquisition Proposal, (ii) enter into or participate in any discussions (other than to state that the Company is not permitted to have discussions) or negotiations with any Third Party that is seeking to make, or has made, a Company Acquisition Proposal, (iii) 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 (iv) 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6"/>
          <w:szCs w:val="16"/>
          <w:b w:val="1"/>
          <w:bCs w:val="1"/>
          <w:color w:val="auto"/>
        </w:rPr>
        <w:t>interested stockholder</w:t>
      </w:r>
      <w:r>
        <w:rPr>
          <w:rFonts w:ascii="Arial" w:cs="Arial" w:eastAsia="Arial" w:hAnsi="Arial"/>
          <w:sz w:val="16"/>
          <w:szCs w:val="16"/>
          <w:color w:val="auto"/>
        </w:rPr>
        <w:t>” under, Section 203 of Delaware Law or (vii) enter</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8" w:name="page69"/>
    <w:bookmarkEnd w:id="68"/>
    <w:p>
      <w:pPr>
        <w:ind w:right="20"/>
        <w:spacing w:after="0" w:line="271" w:lineRule="auto"/>
        <w:rPr>
          <w:sz w:val="20"/>
          <w:szCs w:val="20"/>
          <w:color w:val="auto"/>
        </w:rPr>
      </w:pPr>
      <w:r>
        <w:rPr>
          <w:rFonts w:ascii="Arial" w:cs="Arial" w:eastAsia="Arial" w:hAnsi="Arial"/>
          <w:sz w:val="17"/>
          <w:szCs w:val="17"/>
          <w:color w:val="auto"/>
        </w:rPr>
        <w:t>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 Section 6.03(a). It is agreed that any violation of the restrictions on the Company set forth in this Section by any Representative of the Company or any of its Subsidiaries shall be a breach of this Section by the Company.</w:t>
      </w:r>
    </w:p>
    <w:p>
      <w:pPr>
        <w:spacing w:after="0" w:line="233" w:lineRule="exact"/>
        <w:rPr>
          <w:sz w:val="20"/>
          <w:szCs w:val="20"/>
          <w:color w:val="auto"/>
        </w:rPr>
      </w:pPr>
    </w:p>
    <w:p>
      <w:pPr>
        <w:ind w:right="280" w:firstLine="1305"/>
        <w:spacing w:after="0" w:line="277" w:lineRule="auto"/>
        <w:tabs>
          <w:tab w:leader="none" w:pos="193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Recommendation Exceptions</w:t>
      </w:r>
      <w:r>
        <w:rPr>
          <w:rFonts w:ascii="Arial" w:cs="Arial" w:eastAsia="Arial" w:hAnsi="Arial"/>
          <w:sz w:val="18"/>
          <w:szCs w:val="18"/>
          <w:color w:val="auto"/>
        </w:rPr>
        <w:t>. Notwithstanding Section 6.03(a), but subject to Section 6.03(c) and Section 6.03(d), at any time prior to the Company Stockholder Approval:</w:t>
      </w:r>
    </w:p>
    <w:p>
      <w:pPr>
        <w:spacing w:after="0" w:line="224" w:lineRule="exact"/>
        <w:rPr>
          <w:rFonts w:ascii="Arial" w:cs="Arial" w:eastAsia="Arial" w:hAnsi="Arial"/>
          <w:sz w:val="18"/>
          <w:szCs w:val="18"/>
          <w:color w:val="auto"/>
        </w:rPr>
      </w:pPr>
    </w:p>
    <w:p>
      <w:pPr>
        <w:ind w:left="1300" w:firstLine="491"/>
        <w:spacing w:after="0" w:line="286" w:lineRule="auto"/>
        <w:tabs>
          <w:tab w:leader="none" w:pos="2388"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 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(it being understood and hereby agreed that such confidentiality agreement need not contain a “</w:t>
      </w:r>
      <w:r>
        <w:rPr>
          <w:rFonts w:ascii="Arial" w:cs="Arial" w:eastAsia="Arial" w:hAnsi="Arial"/>
          <w:sz w:val="16"/>
          <w:szCs w:val="16"/>
          <w:b w:val="1"/>
          <w:bCs w:val="1"/>
          <w:color w:val="auto"/>
        </w:rPr>
        <w:t>standstill</w:t>
      </w:r>
      <w:r>
        <w:rPr>
          <w:rFonts w:ascii="Arial" w:cs="Arial" w:eastAsia="Arial" w:hAnsi="Arial"/>
          <w:sz w:val="16"/>
          <w:szCs w:val="16"/>
          <w:color w:val="auto"/>
        </w:rPr>
        <w:t xml:space="preserve">” or similar provision that prohibits such Third Party from making any Company Acquisition Proposal, acquiring the Company or taking any other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action required by Applicable Law or that any court of competent jurisdiction orders the Company to take;</w:t>
      </w:r>
    </w:p>
    <w:p>
      <w:pPr>
        <w:spacing w:after="0" w:line="279" w:lineRule="exact"/>
        <w:rPr>
          <w:sz w:val="20"/>
          <w:szCs w:val="20"/>
          <w:color w:val="auto"/>
        </w:rPr>
      </w:pPr>
    </w:p>
    <w:p>
      <w:pPr>
        <w:ind w:left="1300" w:right="20" w:firstLine="491"/>
        <w:spacing w:after="0" w:line="277" w:lineRule="auto"/>
        <w:tabs>
          <w:tab w:leader="none" w:pos="24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receipt of a Company Superior Proposal, the Board of Directors of the Company may, subject to compliance with Section 6.03(c), make a Company Adverse Recommendation Change; and</w:t>
      </w:r>
    </w:p>
    <w:p>
      <w:pPr>
        <w:spacing w:after="0" w:line="224" w:lineRule="exact"/>
        <w:rPr>
          <w:rFonts w:ascii="Arial" w:cs="Arial" w:eastAsia="Arial" w:hAnsi="Arial"/>
          <w:sz w:val="18"/>
          <w:szCs w:val="18"/>
          <w:color w:val="auto"/>
        </w:rPr>
      </w:pPr>
    </w:p>
    <w:p>
      <w:pPr>
        <w:ind w:left="1300" w:right="120" w:firstLine="491"/>
        <w:spacing w:after="0" w:line="308" w:lineRule="auto"/>
        <w:tabs>
          <w:tab w:leader="none" w:pos="24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 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16"/>
          <w:szCs w:val="16"/>
          <w:b w:val="1"/>
          <w:bCs w:val="1"/>
          <w:color w:val="auto"/>
        </w:rPr>
        <w:t>stop, look and listen</w:t>
      </w:r>
      <w:r>
        <w:rPr>
          <w:rFonts w:ascii="Arial" w:cs="Arial" w:eastAsia="Arial" w:hAnsi="Arial"/>
          <w:sz w:val="16"/>
          <w:szCs w:val="16"/>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223"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Required Notices</w:t>
      </w:r>
      <w:r>
        <w:rPr>
          <w:rFonts w:ascii="Arial" w:cs="Arial" w:eastAsia="Arial" w:hAnsi="Arial"/>
          <w:sz w:val="16"/>
          <w:szCs w:val="16"/>
          <w:color w:val="auto"/>
        </w:rPr>
        <w:t>. The Board of Directors of the Company shall not take any of the actions referred to in Section 6.03(b) unless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70" w:name="page71"/>
    <w:bookmarkEnd w:id="70"/>
    <w:p>
      <w:pPr>
        <w:ind w:right="20"/>
        <w:spacing w:after="0" w:line="268" w:lineRule="auto"/>
        <w:rPr>
          <w:sz w:val="20"/>
          <w:szCs w:val="20"/>
          <w:color w:val="auto"/>
        </w:rPr>
      </w:pPr>
      <w:r>
        <w:rPr>
          <w:rFonts w:ascii="Arial" w:cs="Arial" w:eastAsia="Arial" w:hAnsi="Arial"/>
          <w:sz w:val="17"/>
          <w:szCs w:val="17"/>
          <w:color w:val="auto"/>
        </w:rPr>
        <w:t>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 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242" w:lineRule="exact"/>
        <w:rPr>
          <w:sz w:val="20"/>
          <w:szCs w:val="20"/>
          <w:color w:val="auto"/>
        </w:rPr>
      </w:pPr>
    </w:p>
    <w:p>
      <w:pPr>
        <w:ind w:firstLine="1305"/>
        <w:spacing w:after="0" w:line="269" w:lineRule="auto"/>
        <w:tabs>
          <w:tab w:leader="none" w:pos="1938"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Last Look</w:t>
      </w:r>
      <w:r>
        <w:rPr>
          <w:rFonts w:ascii="Arial" w:cs="Arial" w:eastAsia="Arial" w:hAnsi="Arial"/>
          <w:sz w:val="17"/>
          <w:szCs w:val="17"/>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 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1" w:name="page72"/>
    <w:bookmarkEnd w:id="71"/>
    <w:p>
      <w:pPr>
        <w:spacing w:after="0" w:line="272" w:lineRule="auto"/>
        <w:rPr>
          <w:sz w:val="20"/>
          <w:szCs w:val="20"/>
          <w:color w:val="auto"/>
        </w:rPr>
      </w:pPr>
      <w:r>
        <w:rPr>
          <w:rFonts w:ascii="Arial" w:cs="Arial" w:eastAsia="Arial" w:hAnsi="Arial"/>
          <w:sz w:val="17"/>
          <w:szCs w:val="17"/>
          <w:color w:val="auto"/>
        </w:rPr>
        <w:t>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228" w:lineRule="exact"/>
        <w:rPr>
          <w:sz w:val="20"/>
          <w:szCs w:val="20"/>
          <w:color w:val="auto"/>
        </w:rPr>
      </w:pPr>
    </w:p>
    <w:p>
      <w:pPr>
        <w:ind w:right="80" w:firstLine="1305"/>
        <w:spacing w:after="0" w:line="272" w:lineRule="auto"/>
        <w:tabs>
          <w:tab w:leader="none" w:pos="19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Definition of Company Superior Proposal. For purposes of this Agreement, “</w:t>
      </w:r>
      <w:r>
        <w:rPr>
          <w:rFonts w:ascii="Arial" w:cs="Arial" w:eastAsia="Arial" w:hAnsi="Arial"/>
          <w:sz w:val="17"/>
          <w:szCs w:val="17"/>
          <w:b w:val="1"/>
          <w:bCs w:val="1"/>
          <w:color w:val="auto"/>
        </w:rPr>
        <w:t>Company Superior Proposal</w:t>
      </w:r>
      <w:r>
        <w:rPr>
          <w:rFonts w:ascii="Arial" w:cs="Arial" w:eastAsia="Arial" w:hAnsi="Arial"/>
          <w:sz w:val="17"/>
          <w:szCs w:val="17"/>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230" w:lineRule="exact"/>
        <w:rPr>
          <w:rFonts w:ascii="Arial" w:cs="Arial" w:eastAsia="Arial" w:hAnsi="Arial"/>
          <w:sz w:val="17"/>
          <w:szCs w:val="17"/>
          <w:color w:val="auto"/>
        </w:rPr>
      </w:pPr>
    </w:p>
    <w:p>
      <w:pPr>
        <w:ind w:right="40" w:firstLine="1305"/>
        <w:spacing w:after="0" w:line="289" w:lineRule="auto"/>
        <w:tabs>
          <w:tab w:leader="none" w:pos="19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 certifications of such return or destruction from such other Persons as promptly as practicable after receipt thereof. The Company shall use its commercially reasonable efforts to secure all such certifications as promptly as practicable. If any such Person fails to provide any required certification within the time period allotted in the relevant confidentiality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2" w:name="page73"/>
    <w:bookmarkEnd w:id="72"/>
    <w:p>
      <w:pPr>
        <w:ind w:right="200"/>
        <w:spacing w:after="0" w:line="342" w:lineRule="auto"/>
        <w:rPr>
          <w:sz w:val="20"/>
          <w:szCs w:val="20"/>
          <w:color w:val="auto"/>
        </w:rPr>
      </w:pPr>
      <w:r>
        <w:rPr>
          <w:rFonts w:ascii="Arial" w:cs="Arial" w:eastAsia="Arial" w:hAnsi="Arial"/>
          <w:sz w:val="16"/>
          <w:szCs w:val="16"/>
          <w:color w:val="auto"/>
        </w:rPr>
        <w:t>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Tax Matters</w:t>
      </w:r>
      <w:r>
        <w:rPr>
          <w:rFonts w:ascii="Arial" w:cs="Arial" w:eastAsia="Arial" w:hAnsi="Arial"/>
          <w:sz w:val="18"/>
          <w:szCs w:val="18"/>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246" w:lineRule="exact"/>
        <w:rPr>
          <w:sz w:val="20"/>
          <w:szCs w:val="20"/>
          <w:color w:val="auto"/>
        </w:rPr>
      </w:pPr>
    </w:p>
    <w:p>
      <w:pPr>
        <w:ind w:right="340" w:firstLine="1305"/>
        <w:spacing w:after="0" w:line="342" w:lineRule="auto"/>
        <w:tabs>
          <w:tab w:leader="none" w:pos="193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77" w:lineRule="exact"/>
        <w:rPr>
          <w:rFonts w:ascii="Arial" w:cs="Arial" w:eastAsia="Arial" w:hAnsi="Arial"/>
          <w:sz w:val="16"/>
          <w:szCs w:val="16"/>
          <w:color w:val="auto"/>
        </w:rPr>
      </w:pPr>
    </w:p>
    <w:p>
      <w:pPr>
        <w:ind w:right="40" w:firstLine="1305"/>
        <w:spacing w:after="0" w:line="276" w:lineRule="auto"/>
        <w:tabs>
          <w:tab w:leader="none" w:pos="19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22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Voting of Shares</w:t>
      </w:r>
      <w:r>
        <w:rPr>
          <w:rFonts w:ascii="Arial" w:cs="Arial" w:eastAsia="Arial" w:hAnsi="Arial"/>
          <w:sz w:val="16"/>
          <w:szCs w:val="16"/>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Parent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Parent agrees that:</w:t>
      </w:r>
    </w:p>
    <w:p>
      <w:pPr>
        <w:spacing w:after="0" w:line="27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Conduct of Parent</w:t>
      </w:r>
      <w:r>
        <w:rPr>
          <w:rFonts w:ascii="Arial" w:cs="Arial" w:eastAsia="Arial" w:hAnsi="Arial"/>
          <w:sz w:val="17"/>
          <w:szCs w:val="17"/>
          <w:color w:val="auto"/>
        </w:rPr>
        <w:t>. From the date hereof until the Effective Time except as expressly contemplated by this Agreement, as set forth in Section 7.01 of the Parent 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232" w:lineRule="exact"/>
        <w:rPr>
          <w:sz w:val="20"/>
          <w:szCs w:val="20"/>
          <w:color w:val="auto"/>
        </w:rPr>
      </w:pPr>
    </w:p>
    <w:p>
      <w:pPr>
        <w:ind w:right="120" w:firstLine="1305"/>
        <w:spacing w:after="0" w:line="277" w:lineRule="auto"/>
        <w:tabs>
          <w:tab w:leader="none" w:pos="19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 the articles of incorporation or bylaws of Parent in a manner that would have a material and adverse impact on the value of Parent Class A Common Stock;</w:t>
      </w:r>
    </w:p>
    <w:p>
      <w:pPr>
        <w:spacing w:after="0" w:line="224" w:lineRule="exact"/>
        <w:rPr>
          <w:rFonts w:ascii="Arial" w:cs="Arial" w:eastAsia="Arial" w:hAnsi="Arial"/>
          <w:sz w:val="18"/>
          <w:szCs w:val="18"/>
          <w:color w:val="auto"/>
        </w:rPr>
      </w:pPr>
    </w:p>
    <w:p>
      <w:pPr>
        <w:ind w:right="60" w:firstLine="1305"/>
        <w:spacing w:after="0" w:line="272" w:lineRule="auto"/>
        <w:tabs>
          <w:tab w:leader="none" w:pos="1938"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 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231" w:lineRule="exact"/>
        <w:rPr>
          <w:rFonts w:ascii="Arial" w:cs="Arial" w:eastAsia="Arial" w:hAnsi="Arial"/>
          <w:sz w:val="17"/>
          <w:szCs w:val="17"/>
          <w:color w:val="auto"/>
        </w:rPr>
      </w:pPr>
    </w:p>
    <w:p>
      <w:pPr>
        <w:ind w:firstLine="1305"/>
        <w:spacing w:after="0" w:line="277" w:lineRule="auto"/>
        <w:tabs>
          <w:tab w:leader="none" w:pos="19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224" w:lineRule="exact"/>
        <w:rPr>
          <w:rFonts w:ascii="Arial" w:cs="Arial" w:eastAsia="Arial" w:hAnsi="Arial"/>
          <w:sz w:val="18"/>
          <w:szCs w:val="18"/>
          <w:color w:val="auto"/>
        </w:rPr>
      </w:pPr>
    </w:p>
    <w:p>
      <w:pPr>
        <w:ind w:right="200" w:firstLine="1305"/>
        <w:spacing w:after="0" w:line="277" w:lineRule="auto"/>
        <w:tabs>
          <w:tab w:leader="none" w:pos="19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ind w:right="60" w:firstLine="648"/>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Obligations of Merger Subsidiary</w:t>
      </w:r>
      <w:r>
        <w:rPr>
          <w:rFonts w:ascii="Arial" w:cs="Arial" w:eastAsia="Arial" w:hAnsi="Arial"/>
          <w:sz w:val="18"/>
          <w:szCs w:val="18"/>
          <w:color w:val="auto"/>
        </w:rPr>
        <w:t>. Parent shall take all action necessary to cause Merger Subsidiary to perform its obligations under this Agreement and to consummate the Merger on the terms and conditions set forth in this Agreement.</w:t>
      </w:r>
    </w:p>
    <w:p>
      <w:pPr>
        <w:spacing w:after="0" w:line="22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Parent Shareholder Meeting</w:t>
      </w:r>
      <w:r>
        <w:rPr>
          <w:rFonts w:ascii="Arial" w:cs="Arial" w:eastAsia="Arial" w:hAnsi="Arial"/>
          <w:sz w:val="16"/>
          <w:szCs w:val="16"/>
          <w:color w:val="auto"/>
        </w:rPr>
        <w:t>. Parent shall cause a meeting of its shareholders (the “</w:t>
      </w:r>
      <w:r>
        <w:rPr>
          <w:rFonts w:ascii="Arial" w:cs="Arial" w:eastAsia="Arial" w:hAnsi="Arial"/>
          <w:sz w:val="16"/>
          <w:szCs w:val="16"/>
          <w:b w:val="1"/>
          <w:bCs w:val="1"/>
          <w:color w:val="auto"/>
        </w:rPr>
        <w:t>Parent Shareholder Meeting</w:t>
      </w:r>
      <w:r>
        <w:rPr>
          <w:rFonts w:ascii="Arial" w:cs="Arial" w:eastAsia="Arial" w:hAnsi="Arial"/>
          <w:sz w:val="16"/>
          <w:szCs w:val="16"/>
          <w:color w:val="auto"/>
        </w:rPr>
        <w:t>”) to be duly called and held as soon as reasonably practicable after the date of this Agreement (but in no event later than 40 days after the Registration Statement is declared effective under the 1993 Act) for the purpose of voting on the approval of the issuance of shares of Parent Class A Common Stock as part of the Merger Consideration (the “</w:t>
      </w:r>
      <w:r>
        <w:rPr>
          <w:rFonts w:ascii="Arial" w:cs="Arial" w:eastAsia="Arial" w:hAnsi="Arial"/>
          <w:sz w:val="16"/>
          <w:szCs w:val="16"/>
          <w:b w:val="1"/>
          <w:bCs w:val="1"/>
          <w:color w:val="auto"/>
        </w:rPr>
        <w:t>Parent Stock Issuance</w:t>
      </w:r>
      <w:r>
        <w:rPr>
          <w:rFonts w:ascii="Arial" w:cs="Arial" w:eastAsia="Arial" w:hAnsi="Arial"/>
          <w:sz w:val="16"/>
          <w:szCs w:val="16"/>
          <w:color w:val="auto"/>
        </w:rPr>
        <w:t>”). In connection with the Parent Shareholder Meeting, the Board of Directors of Parent shall (i) (1) recommend approval of the Parent Stock Issuance to Parent’s shareholders and (2) use its reasonable best efforts to obtain the Parent Shareholder Approval and (ii) 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 (A)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5" w:name="page76"/>
    <w:bookmarkEnd w:id="75"/>
    <w:p>
      <w:pPr>
        <w:ind w:right="620" w:firstLine="648"/>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Certain Prohibitions</w:t>
      </w:r>
      <w:r>
        <w:rPr>
          <w:rFonts w:ascii="Arial" w:cs="Arial" w:eastAsia="Arial" w:hAnsi="Arial"/>
          <w:sz w:val="18"/>
          <w:szCs w:val="18"/>
          <w:color w:val="auto"/>
        </w:rPr>
        <w:t>. From the date hereof until May 23, 2014, neither Parent nor any of its Subsidiaries shall enter into any agreements (written or oral) providing for the divestiture of in excess of 25,000 subscribers in the aggregate.</w:t>
      </w:r>
    </w:p>
    <w:p>
      <w:pPr>
        <w:spacing w:after="0" w:line="22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Approval by Sole Stockholder of Merger Subsidiary</w:t>
      </w:r>
      <w:r>
        <w:rPr>
          <w:rFonts w:ascii="Arial" w:cs="Arial" w:eastAsia="Arial" w:hAnsi="Arial"/>
          <w:sz w:val="18"/>
          <w:szCs w:val="18"/>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23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i w:val="1"/>
          <w:iCs w:val="1"/>
          <w:color w:val="auto"/>
        </w:rPr>
        <w:t>Voting of Shares</w:t>
      </w:r>
      <w:r>
        <w:rPr>
          <w:rFonts w:ascii="Arial" w:cs="Arial" w:eastAsia="Arial" w:hAnsi="Arial"/>
          <w:sz w:val="17"/>
          <w:szCs w:val="17"/>
          <w:color w:val="auto"/>
        </w:rPr>
        <w:t>. Parent shall vote all shares of Company Stock beneficially owned by it or any of its Subsidiaries (other than, for the avoidance of doubt, any such shares held by any employee benefit plan of Parent or any of its Subsidiaries or any trustee or other fiduciary in such capacity under any employee benefit plan) in favor of adoption of this Agreement at the Company Stockholder Meeting.</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Director and Officer Indemnification</w:t>
      </w:r>
      <w:r>
        <w:rPr>
          <w:rFonts w:ascii="Arial" w:cs="Arial" w:eastAsia="Arial" w:hAnsi="Arial"/>
          <w:sz w:val="17"/>
          <w:szCs w:val="17"/>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234" w:lineRule="exact"/>
        <w:rPr>
          <w:sz w:val="20"/>
          <w:szCs w:val="20"/>
          <w:color w:val="auto"/>
        </w:rPr>
      </w:pPr>
    </w:p>
    <w:p>
      <w:pPr>
        <w:jc w:val="both"/>
        <w:ind w:firstLine="1305"/>
        <w:spacing w:after="0" w:line="264" w:lineRule="auto"/>
        <w:tabs>
          <w:tab w:leader="none" w:pos="19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6" w:name="page77"/>
    <w:bookmarkEnd w:id="76"/>
    <w:p>
      <w:pPr>
        <w:ind w:right="80"/>
        <w:spacing w:after="0" w:line="312" w:lineRule="auto"/>
        <w:rPr>
          <w:sz w:val="20"/>
          <w:szCs w:val="20"/>
          <w:color w:val="auto"/>
        </w:rPr>
      </w:pPr>
      <w:r>
        <w:rPr>
          <w:rFonts w:ascii="Arial" w:cs="Arial" w:eastAsia="Arial" w:hAnsi="Arial"/>
          <w:sz w:val="16"/>
          <w:szCs w:val="16"/>
          <w:color w:val="auto"/>
        </w:rPr>
        <w:t>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201" w:lineRule="exact"/>
        <w:rPr>
          <w:sz w:val="20"/>
          <w:szCs w:val="20"/>
          <w:color w:val="auto"/>
        </w:rPr>
      </w:pPr>
    </w:p>
    <w:p>
      <w:pPr>
        <w:ind w:firstLine="1305"/>
        <w:spacing w:after="0" w:line="268" w:lineRule="auto"/>
        <w:tabs>
          <w:tab w:leader="none" w:pos="1928" w:val="left"/>
        </w:tabs>
        <w:numPr>
          <w:ilvl w:val="0"/>
          <w:numId w:val="77"/>
        </w:numPr>
        <w:rPr>
          <w:rFonts w:ascii="Arial" w:cs="Arial" w:eastAsia="Arial" w:hAnsi="Arial"/>
          <w:sz w:val="17"/>
          <w:szCs w:val="17"/>
          <w:color w:val="auto"/>
        </w:rPr>
      </w:pPr>
      <w:r>
        <w:rPr>
          <w:rFonts w:ascii="Arial" w:cs="Arial" w:eastAsia="Arial" w:hAnsi="Arial"/>
          <w:sz w:val="17"/>
          <w:szCs w:val="17"/>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7"/>
          <w:szCs w:val="17"/>
          <w:b w:val="1"/>
          <w:bCs w:val="1"/>
          <w:color w:val="auto"/>
        </w:rPr>
        <w:t>D&amp;O Insurance</w:t>
      </w:r>
      <w:r>
        <w:rPr>
          <w:rFonts w:ascii="Arial" w:cs="Arial" w:eastAsia="Arial" w:hAnsi="Arial"/>
          <w:sz w:val="17"/>
          <w:szCs w:val="17"/>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Parent or the Surviving Corporation be required to expend for such policies pursuant to this sentence an aggregate premium amount in excess of 300% of the 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237" w:lineRule="exact"/>
        <w:rPr>
          <w:rFonts w:ascii="Arial" w:cs="Arial" w:eastAsia="Arial" w:hAnsi="Arial"/>
          <w:sz w:val="17"/>
          <w:szCs w:val="17"/>
          <w:color w:val="auto"/>
        </w:rPr>
      </w:pPr>
    </w:p>
    <w:p>
      <w:pPr>
        <w:ind w:right="80" w:firstLine="1305"/>
        <w:spacing w:after="0" w:line="259" w:lineRule="auto"/>
        <w:tabs>
          <w:tab w:leader="none" w:pos="193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240" w:lineRule="exact"/>
        <w:rPr>
          <w:rFonts w:ascii="Arial" w:cs="Arial" w:eastAsia="Arial" w:hAnsi="Arial"/>
          <w:sz w:val="18"/>
          <w:szCs w:val="18"/>
          <w:color w:val="auto"/>
        </w:rPr>
      </w:pPr>
    </w:p>
    <w:p>
      <w:pPr>
        <w:ind w:left="1940" w:hanging="635"/>
        <w:spacing w:after="0"/>
        <w:tabs>
          <w:tab w:leader="none" w:pos="1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rights of each Indemnified Person under this Section 7.07 shall be in addition to any rights such Person may have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7" w:name="page78"/>
    <w:bookmarkEnd w:id="77"/>
    <w:p>
      <w:pPr>
        <w:jc w:val="both"/>
        <w:ind w:right="300"/>
        <w:spacing w:after="0" w:line="264" w:lineRule="auto"/>
        <w:rPr>
          <w:sz w:val="20"/>
          <w:szCs w:val="20"/>
          <w:color w:val="auto"/>
        </w:rPr>
      </w:pPr>
      <w:r>
        <w:rPr>
          <w:rFonts w:ascii="Arial" w:cs="Arial" w:eastAsia="Arial" w:hAnsi="Arial"/>
          <w:sz w:val="18"/>
          <w:szCs w:val="18"/>
          <w:color w:val="auto"/>
        </w:rPr>
        <w:t>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2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Stock Exchange Listing</w:t>
      </w:r>
      <w:r>
        <w:rPr>
          <w:rFonts w:ascii="Arial" w:cs="Arial" w:eastAsia="Arial" w:hAnsi="Arial"/>
          <w:sz w:val="18"/>
          <w:szCs w:val="18"/>
          <w:color w:val="auto"/>
        </w:rPr>
        <w:t>. Parent shall use its reasonable best efforts to cause the shares of Parent Class A Common Stock to be issued as part of the Merger Consideration to be listed on NASDAQ, subject to official notice of issuance.</w:t>
      </w:r>
    </w:p>
    <w:p>
      <w:pPr>
        <w:spacing w:after="0" w:line="2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Employee Matters</w:t>
      </w:r>
      <w:r>
        <w:rPr>
          <w:rFonts w:ascii="Arial" w:cs="Arial" w:eastAsia="Arial" w:hAnsi="Arial"/>
          <w:sz w:val="17"/>
          <w:szCs w:val="17"/>
          <w:color w:val="auto"/>
        </w:rPr>
        <w:t>. (a) During the period beginning at the Effective Time and ending on the first anniversary of the Effective Time (the “</w:t>
      </w:r>
      <w:r>
        <w:rPr>
          <w:rFonts w:ascii="Arial" w:cs="Arial" w:eastAsia="Arial" w:hAnsi="Arial"/>
          <w:sz w:val="17"/>
          <w:szCs w:val="17"/>
          <w:b w:val="1"/>
          <w:bCs w:val="1"/>
          <w:color w:val="auto"/>
        </w:rPr>
        <w:t>Continuation Period</w:t>
      </w:r>
      <w:r>
        <w:rPr>
          <w:rFonts w:ascii="Arial" w:cs="Arial" w:eastAsia="Arial" w:hAnsi="Arial"/>
          <w:sz w:val="17"/>
          <w:szCs w:val="17"/>
          <w:color w:val="auto"/>
        </w:rPr>
        <w:t>”), Parent shall provide, or shall cause to be provided, to each employee of the Company and its Subsidiaries who continues to be employed by Parent or its Subsidiaries (including, for the avoidance of doubt the Surviving Corporation and its Subsidiaries) immediately following the Effective Time (each, a “</w:t>
      </w:r>
      <w:r>
        <w:rPr>
          <w:rFonts w:ascii="Arial" w:cs="Arial" w:eastAsia="Arial" w:hAnsi="Arial"/>
          <w:sz w:val="17"/>
          <w:szCs w:val="17"/>
          <w:b w:val="1"/>
          <w:bCs w:val="1"/>
          <w:color w:val="auto"/>
        </w:rPr>
        <w:t>Continuing Employee</w:t>
      </w:r>
      <w:r>
        <w:rPr>
          <w:rFonts w:ascii="Arial" w:cs="Arial" w:eastAsia="Arial" w:hAnsi="Arial"/>
          <w:sz w:val="17"/>
          <w:szCs w:val="17"/>
          <w:color w:val="auto"/>
        </w:rPr>
        <w:t>”), other than any Continuing Employee included in a collective bargaining unit covered by the Collective Bargaining Agreements as in effect on the Closing Date (each, a “</w:t>
      </w:r>
      <w:r>
        <w:rPr>
          <w:rFonts w:ascii="Arial" w:cs="Arial" w:eastAsia="Arial" w:hAnsi="Arial"/>
          <w:sz w:val="17"/>
          <w:szCs w:val="17"/>
          <w:b w:val="1"/>
          <w:bCs w:val="1"/>
          <w:color w:val="auto"/>
        </w:rPr>
        <w:t>Union Employee</w:t>
      </w:r>
      <w:r>
        <w:rPr>
          <w:rFonts w:ascii="Arial" w:cs="Arial" w:eastAsia="Arial" w:hAnsi="Arial"/>
          <w:sz w:val="17"/>
          <w:szCs w:val="17"/>
          <w:color w:val="auto"/>
        </w:rPr>
        <w:t xml:space="preserve">”), with, to the extent employed by Parent or its Subsidiaries, (i) base pay, commission opportunities and cash bonus opportunities, as applicable, that are no less favorable in the aggregate than provided to each such Continuing Employee immediately prior to the Closing Date and (ii) employee benefits that are no less favorable in the aggregate than provided to each such Continuing Employee immediately prior to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determining whether such pay, opportunities and benefits are no less favorable in the aggregate, equity compensation, defined benefit pension plan benefits, severance, retention (including, for the avoidance of doubt, any supplemental cash bonus opportunity set forth on Section 6.01(m) of the Company Disclosure Schedule), sale, stay, or change in control payments or awards or any similar compensation or benefit, shall not be taken into account. With respect to Union Employee, Parent shall retain, or shall cause to be retained, any and all of the rights and obligations it may have pursuant to Applicable Law.</w:t>
      </w:r>
    </w:p>
    <w:p>
      <w:pPr>
        <w:spacing w:after="0" w:line="234" w:lineRule="exact"/>
        <w:rPr>
          <w:sz w:val="20"/>
          <w:szCs w:val="20"/>
          <w:color w:val="auto"/>
        </w:rPr>
      </w:pPr>
    </w:p>
    <w:p>
      <w:pPr>
        <w:ind w:right="80" w:firstLine="1305"/>
        <w:spacing w:after="0" w:line="297" w:lineRule="auto"/>
        <w:tabs>
          <w:tab w:leader="none" w:pos="1938"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8" w:name="page79"/>
    <w:bookmarkEnd w:id="78"/>
    <w:p>
      <w:pPr>
        <w:ind w:firstLine="1305"/>
        <w:spacing w:after="0" w:line="284" w:lineRule="auto"/>
        <w:tabs>
          <w:tab w:leader="none" w:pos="1928" w:val="left"/>
        </w:tabs>
        <w:numPr>
          <w:ilvl w:val="1"/>
          <w:numId w:val="79"/>
        </w:numPr>
        <w:rPr>
          <w:rFonts w:ascii="Arial" w:cs="Arial" w:eastAsia="Arial" w:hAnsi="Arial"/>
          <w:sz w:val="16"/>
          <w:szCs w:val="16"/>
          <w:color w:val="auto"/>
        </w:rPr>
      </w:pPr>
      <w:r>
        <w:rPr>
          <w:rFonts w:ascii="Arial" w:cs="Arial" w:eastAsia="Arial" w:hAnsi="Arial"/>
          <w:sz w:val="16"/>
          <w:szCs w:val="16"/>
          <w:color w:val="auto"/>
        </w:rPr>
        <w:t>To the extent that Continuing Employees, other than Union Employees, become eligible to participate in any “</w:t>
      </w:r>
      <w:r>
        <w:rPr>
          <w:rFonts w:ascii="Arial" w:cs="Arial" w:eastAsia="Arial" w:hAnsi="Arial"/>
          <w:sz w:val="16"/>
          <w:szCs w:val="16"/>
          <w:b w:val="1"/>
          <w:bCs w:val="1"/>
          <w:color w:val="auto"/>
        </w:rPr>
        <w:t>employee benefit</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as defined in Section 3(3) of ERISA, maintained by Parent or any of its Subsidiaries (collectively, the “</w:t>
      </w:r>
      <w:r>
        <w:rPr>
          <w:rFonts w:ascii="Arial" w:cs="Arial" w:eastAsia="Arial" w:hAnsi="Arial"/>
          <w:sz w:val="16"/>
          <w:szCs w:val="16"/>
          <w:b w:val="1"/>
          <w:bCs w:val="1"/>
          <w:color w:val="auto"/>
        </w:rPr>
        <w:t>Parent Plans</w:t>
      </w:r>
      <w:r>
        <w:rPr>
          <w:rFonts w:ascii="Arial" w:cs="Arial" w:eastAsia="Arial" w:hAnsi="Arial"/>
          <w:sz w:val="16"/>
          <w:szCs w:val="16"/>
          <w:color w:val="auto"/>
        </w:rPr>
        <w:t>”), then,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determining (i) eligibility to participate and vesting and, (ii) solely with respect to any Parent Plan that 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w:t>
      </w:r>
    </w:p>
    <w:p>
      <w:pPr>
        <w:spacing w:after="0" w:line="5" w:lineRule="exact"/>
        <w:rPr>
          <w:rFonts w:ascii="Arial" w:cs="Arial" w:eastAsia="Arial" w:hAnsi="Arial"/>
          <w:sz w:val="16"/>
          <w:szCs w:val="16"/>
          <w:color w:val="auto"/>
        </w:rPr>
      </w:pPr>
    </w:p>
    <w:p>
      <w:pPr>
        <w:ind w:right="160" w:firstLine="8"/>
        <w:spacing w:after="0" w:line="253"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245" w:lineRule="exact"/>
        <w:rPr>
          <w:rFonts w:ascii="Arial" w:cs="Arial" w:eastAsia="Arial" w:hAnsi="Arial"/>
          <w:sz w:val="18"/>
          <w:szCs w:val="18"/>
          <w:color w:val="auto"/>
        </w:rPr>
      </w:pPr>
    </w:p>
    <w:p>
      <w:pPr>
        <w:ind w:right="100" w:firstLine="1305"/>
        <w:spacing w:after="0" w:line="277" w:lineRule="auto"/>
        <w:tabs>
          <w:tab w:leader="none" w:pos="19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the avoidance of doubt and to the extent required by any Company Plan or Applicable Law, Parent shall, or shall cause one of its Subsidiaries to, expressly assume such Company Plan and all obligations thereunder.</w:t>
      </w:r>
    </w:p>
    <w:p>
      <w:pPr>
        <w:spacing w:after="0" w:line="224" w:lineRule="exact"/>
        <w:rPr>
          <w:rFonts w:ascii="Arial" w:cs="Arial" w:eastAsia="Arial" w:hAnsi="Arial"/>
          <w:sz w:val="18"/>
          <w:szCs w:val="18"/>
          <w:color w:val="auto"/>
        </w:rPr>
      </w:pPr>
    </w:p>
    <w:p>
      <w:pPr>
        <w:ind w:right="100" w:firstLine="1305"/>
        <w:spacing w:after="0" w:line="297" w:lineRule="auto"/>
        <w:tabs>
          <w:tab w:leader="none" w:pos="1928" w:val="left"/>
        </w:tabs>
        <w:numPr>
          <w:ilvl w:val="1"/>
          <w:numId w:val="80"/>
        </w:numPr>
        <w:rPr>
          <w:rFonts w:ascii="Arial" w:cs="Arial" w:eastAsia="Arial" w:hAnsi="Arial"/>
          <w:sz w:val="16"/>
          <w:szCs w:val="16"/>
          <w:color w:val="auto"/>
        </w:rPr>
      </w:pPr>
      <w:r>
        <w:rPr>
          <w:rFonts w:ascii="Arial" w:cs="Arial" w:eastAsia="Arial" w:hAnsi="Arial"/>
          <w:sz w:val="16"/>
          <w:szCs w:val="16"/>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212" w:lineRule="exact"/>
        <w:rPr>
          <w:rFonts w:ascii="Arial" w:cs="Arial" w:eastAsia="Arial" w:hAnsi="Arial"/>
          <w:sz w:val="16"/>
          <w:szCs w:val="16"/>
          <w:color w:val="auto"/>
        </w:rPr>
      </w:pPr>
    </w:p>
    <w:p>
      <w:pPr>
        <w:ind w:right="40" w:firstLine="1305"/>
        <w:spacing w:after="0" w:line="291" w:lineRule="auto"/>
        <w:tabs>
          <w:tab w:leader="none" w:pos="1908" w:val="left"/>
        </w:tabs>
        <w:numPr>
          <w:ilvl w:val="1"/>
          <w:numId w:val="80"/>
        </w:numPr>
        <w:rPr>
          <w:rFonts w:ascii="Arial" w:cs="Arial" w:eastAsia="Arial" w:hAnsi="Arial"/>
          <w:sz w:val="16"/>
          <w:szCs w:val="16"/>
          <w:color w:val="auto"/>
        </w:rPr>
      </w:pPr>
      <w:r>
        <w:rPr>
          <w:rFonts w:ascii="Arial" w:cs="Arial" w:eastAsia="Arial" w:hAnsi="Arial"/>
          <w:sz w:val="16"/>
          <w:szCs w:val="16"/>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w:t>
      </w:r>
    </w:p>
    <w:p>
      <w:pPr>
        <w:spacing w:after="0" w:line="261" w:lineRule="auto"/>
        <w:rPr>
          <w:rFonts w:ascii="Arial" w:cs="Arial" w:eastAsia="Arial" w:hAnsi="Arial"/>
          <w:sz w:val="16"/>
          <w:szCs w:val="16"/>
          <w:color w:val="auto"/>
        </w:rPr>
      </w:pPr>
      <w:r>
        <w:rPr>
          <w:rFonts w:ascii="Arial" w:cs="Arial" w:eastAsia="Arial" w:hAnsi="Arial"/>
          <w:sz w:val="18"/>
          <w:szCs w:val="18"/>
          <w:color w:val="auto"/>
        </w:rPr>
        <w:t>7.09(b), constitute a limitation on rights to amend, modify, merge or terminate after the Effective Time any Company Plan or Parent Plan, (ii) give any current or former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79" w:name="page80"/>
    <w:bookmarkEnd w:id="79"/>
    <w:p>
      <w:pPr>
        <w:ind w:right="400"/>
        <w:spacing w:after="0" w:line="264" w:lineRule="auto"/>
        <w:rPr>
          <w:sz w:val="20"/>
          <w:szCs w:val="20"/>
          <w:color w:val="auto"/>
        </w:rPr>
      </w:pPr>
      <w:r>
        <w:rPr>
          <w:rFonts w:ascii="Arial" w:cs="Arial" w:eastAsia="Arial" w:hAnsi="Arial"/>
          <w:sz w:val="18"/>
          <w:szCs w:val="18"/>
          <w:color w:val="auto"/>
        </w:rPr>
        <w:t>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Parent and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agree that:</w:t>
      </w:r>
    </w:p>
    <w:p>
      <w:pPr>
        <w:spacing w:after="0" w:line="2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Reasonable Best Efforts</w:t>
      </w:r>
      <w:r>
        <w:rPr>
          <w:rFonts w:ascii="Arial" w:cs="Arial" w:eastAsia="Arial" w:hAnsi="Arial"/>
          <w:sz w:val="17"/>
          <w:szCs w:val="17"/>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236" w:lineRule="exact"/>
        <w:rPr>
          <w:sz w:val="20"/>
          <w:szCs w:val="20"/>
          <w:color w:val="auto"/>
        </w:rPr>
      </w:pPr>
    </w:p>
    <w:p>
      <w:pPr>
        <w:ind w:firstLine="1305"/>
        <w:spacing w:after="0" w:line="253" w:lineRule="auto"/>
        <w:tabs>
          <w:tab w:leader="none" w:pos="19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 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0" w:name="page81"/>
    <w:bookmarkEnd w:id="80"/>
    <w:p>
      <w:pPr>
        <w:ind w:firstLine="1305"/>
        <w:spacing w:after="0" w:line="269" w:lineRule="auto"/>
        <w:tabs>
          <w:tab w:leader="none" w:pos="19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236" w:lineRule="exact"/>
        <w:rPr>
          <w:rFonts w:ascii="Arial" w:cs="Arial" w:eastAsia="Arial" w:hAnsi="Arial"/>
          <w:sz w:val="17"/>
          <w:szCs w:val="17"/>
          <w:color w:val="auto"/>
        </w:rPr>
      </w:pPr>
    </w:p>
    <w:p>
      <w:pPr>
        <w:ind w:right="20" w:firstLine="1305"/>
        <w:spacing w:after="0" w:line="271" w:lineRule="auto"/>
        <w:tabs>
          <w:tab w:leader="none" w:pos="19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 actions referred to in Section 8.01(a)) without the other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subject to Section 8.01(c), either party may participate in or attend any such non-substantive meeting), (ii) 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228" w:lineRule="exact"/>
        <w:rPr>
          <w:rFonts w:ascii="Arial" w:cs="Arial" w:eastAsia="Arial" w:hAnsi="Arial"/>
          <w:sz w:val="17"/>
          <w:szCs w:val="17"/>
          <w:color w:val="auto"/>
        </w:rPr>
      </w:pPr>
    </w:p>
    <w:p>
      <w:pPr>
        <w:ind w:right="40" w:firstLine="1305"/>
        <w:spacing w:after="0" w:line="277" w:lineRule="auto"/>
        <w:tabs>
          <w:tab w:leader="none" w:pos="19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the parties hereto understand and agree that “</w:t>
      </w:r>
      <w:r>
        <w:rPr>
          <w:rFonts w:ascii="Arial" w:cs="Arial" w:eastAsia="Arial" w:hAnsi="Arial"/>
          <w:sz w:val="17"/>
          <w:szCs w:val="17"/>
          <w:b w:val="1"/>
          <w:bCs w:val="1"/>
          <w:color w:val="auto"/>
        </w:rPr>
        <w:t>reasonable best efforts</w:t>
      </w:r>
      <w:r>
        <w:rPr>
          <w:rFonts w:ascii="Arial" w:cs="Arial" w:eastAsia="Arial" w:hAnsi="Arial"/>
          <w:sz w:val="17"/>
          <w:szCs w:val="17"/>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1" w:name="page82"/>
    <w:bookmarkEnd w:id="81"/>
    <w:p>
      <w:pPr>
        <w:spacing w:after="0" w:line="282" w:lineRule="auto"/>
        <w:rPr>
          <w:sz w:val="20"/>
          <w:szCs w:val="20"/>
          <w:color w:val="auto"/>
        </w:rPr>
      </w:pPr>
      <w:r>
        <w:rPr>
          <w:rFonts w:ascii="Arial" w:cs="Arial" w:eastAsia="Arial" w:hAnsi="Arial"/>
          <w:sz w:val="16"/>
          <w:szCs w:val="16"/>
          <w:color w:val="auto"/>
        </w:rPr>
        <w:t>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6"/>
          <w:szCs w:val="16"/>
          <w:b w:val="1"/>
          <w:bCs w:val="1"/>
          <w:color w:val="auto"/>
        </w:rPr>
        <w:t>Undertakings</w:t>
      </w:r>
      <w:r>
        <w:rPr>
          <w:rFonts w:ascii="Arial" w:cs="Arial" w:eastAsia="Arial" w:hAnsi="Arial"/>
          <w:sz w:val="16"/>
          <w:szCs w:val="16"/>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6"/>
          <w:szCs w:val="16"/>
          <w:b w:val="1"/>
          <w:bCs w:val="1"/>
          <w:color w:val="auto"/>
        </w:rPr>
        <w:t>Burdensome Condition</w:t>
      </w:r>
      <w:r>
        <w:rPr>
          <w:rFonts w:ascii="Arial" w:cs="Arial" w:eastAsia="Arial" w:hAnsi="Arial"/>
          <w:sz w:val="16"/>
          <w:szCs w:val="16"/>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w:t>
      </w:r>
    </w:p>
    <w:p>
      <w:pPr>
        <w:spacing w:after="0" w:line="1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consent. Notwithstanding the foregoing, no party shall be required to commit to or effect any action contemplated by this Section 8.01(e) that is not conditioned upon the consummation of the Merger.</w:t>
      </w:r>
    </w:p>
    <w:p>
      <w:pPr>
        <w:spacing w:after="0" w:line="238" w:lineRule="exact"/>
        <w:rPr>
          <w:sz w:val="20"/>
          <w:szCs w:val="20"/>
          <w:color w:val="auto"/>
        </w:rPr>
      </w:pPr>
    </w:p>
    <w:p>
      <w:pPr>
        <w:ind w:right="20" w:firstLine="1305"/>
        <w:spacing w:after="0" w:line="259" w:lineRule="auto"/>
        <w:tabs>
          <w:tab w:leader="none" w:pos="19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2" w:name="page83"/>
    <w:bookmarkEnd w:id="82"/>
    <w:p>
      <w:pPr>
        <w:spacing w:after="0" w:line="270" w:lineRule="auto"/>
        <w:rPr>
          <w:sz w:val="20"/>
          <w:szCs w:val="20"/>
          <w:color w:val="auto"/>
        </w:rPr>
      </w:pPr>
      <w:r>
        <w:rPr>
          <w:rFonts w:ascii="Arial" w:cs="Arial" w:eastAsia="Arial" w:hAnsi="Arial"/>
          <w:sz w:val="17"/>
          <w:szCs w:val="17"/>
          <w:color w:val="auto"/>
        </w:rPr>
        <w:t>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236" w:lineRule="exact"/>
        <w:rPr>
          <w:sz w:val="20"/>
          <w:szCs w:val="20"/>
          <w:color w:val="auto"/>
        </w:rPr>
      </w:pPr>
    </w:p>
    <w:p>
      <w:pPr>
        <w:ind w:right="60" w:firstLine="1305"/>
        <w:spacing w:after="0" w:line="271" w:lineRule="auto"/>
        <w:tabs>
          <w:tab w:leader="none" w:pos="1938"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of Parent and the Company shall not, and shall cause their respective Subsidiaries and Affiliates not to, (i) 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232" w:lineRule="exact"/>
        <w:rPr>
          <w:rFonts w:ascii="Arial" w:cs="Arial" w:eastAsia="Arial" w:hAnsi="Arial"/>
          <w:sz w:val="17"/>
          <w:szCs w:val="17"/>
          <w:color w:val="auto"/>
        </w:rPr>
      </w:pPr>
    </w:p>
    <w:p>
      <w:pPr>
        <w:ind w:right="220" w:firstLine="1305"/>
        <w:spacing w:after="0" w:line="255" w:lineRule="auto"/>
        <w:tabs>
          <w:tab w:leader="none" w:pos="19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18"/>
          <w:szCs w:val="18"/>
          <w:b w:val="1"/>
          <w:bCs w:val="1"/>
          <w:color w:val="auto"/>
        </w:rPr>
        <w:t>Outside Counsel Only Material.</w:t>
      </w:r>
      <w:r>
        <w:rPr>
          <w:rFonts w:ascii="Arial" w:cs="Arial" w:eastAsia="Arial" w:hAnsi="Arial"/>
          <w:sz w:val="18"/>
          <w:szCs w:val="18"/>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 redacted (i) to remove references concerning valuation, (ii) as necessary to comply with</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contractual arrangements and (iii) as necessary to address reasonable attorney-client or other privilege or confidentiality concerns.</w:t>
      </w:r>
    </w:p>
    <w:p>
      <w:pPr>
        <w:spacing w:after="0" w:line="2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Joint Proxy Statement/Prospectus; Registration Statement</w:t>
      </w:r>
      <w:r>
        <w:rPr>
          <w:rFonts w:ascii="Arial" w:cs="Arial" w:eastAsia="Arial" w:hAnsi="Arial"/>
          <w:sz w:val="16"/>
          <w:szCs w:val="16"/>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 (x) setting a mutually acceptable date for the Company Stockholder Meeting and the Parent Shareholder Meeting, so as to enable them to 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223" w:lineRule="exact"/>
        <w:rPr>
          <w:sz w:val="20"/>
          <w:szCs w:val="20"/>
          <w:color w:val="auto"/>
        </w:rPr>
      </w:pPr>
    </w:p>
    <w:p>
      <w:pPr>
        <w:ind w:right="360" w:firstLine="1305"/>
        <w:spacing w:after="0" w:line="277" w:lineRule="auto"/>
        <w:tabs>
          <w:tab w:leader="none" w:pos="19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8"/>
          <w:szCs w:val="18"/>
          <w:b w:val="1"/>
          <w:bCs w:val="1"/>
          <w:color w:val="auto"/>
        </w:rPr>
        <w:t>blue sky</w:t>
      </w:r>
      <w:r>
        <w:rPr>
          <w:rFonts w:ascii="Arial" w:cs="Arial" w:eastAsia="Arial" w:hAnsi="Arial"/>
          <w:sz w:val="18"/>
          <w:szCs w:val="18"/>
          <w:color w:val="auto"/>
        </w:rPr>
        <w:t>” laws and the rules and regulations thereunder.</w:t>
      </w:r>
    </w:p>
    <w:p>
      <w:pPr>
        <w:spacing w:after="0" w:line="224" w:lineRule="exact"/>
        <w:rPr>
          <w:rFonts w:ascii="Arial" w:cs="Arial" w:eastAsia="Arial" w:hAnsi="Arial"/>
          <w:sz w:val="18"/>
          <w:szCs w:val="18"/>
          <w:color w:val="auto"/>
        </w:rPr>
      </w:pPr>
    </w:p>
    <w:p>
      <w:pPr>
        <w:ind w:right="80" w:firstLine="1305"/>
        <w:spacing w:after="0" w:line="259" w:lineRule="auto"/>
        <w:tabs>
          <w:tab w:leader="none" w:pos="19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the Company and Parent shall promptly provide the other parties and their respective counsel with (i) 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240" w:lineRule="exact"/>
        <w:rPr>
          <w:rFonts w:ascii="Arial" w:cs="Arial" w:eastAsia="Arial" w:hAnsi="Arial"/>
          <w:sz w:val="18"/>
          <w:szCs w:val="18"/>
          <w:color w:val="auto"/>
        </w:rPr>
      </w:pPr>
    </w:p>
    <w:p>
      <w:pPr>
        <w:ind w:right="60" w:firstLine="1305"/>
        <w:spacing w:after="0" w:line="259" w:lineRule="auto"/>
        <w:tabs>
          <w:tab w:leader="none" w:pos="19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4" w:name="page85"/>
    <w:bookmarkEnd w:id="84"/>
    <w:p>
      <w:pPr>
        <w:spacing w:after="0" w:line="269" w:lineRule="auto"/>
        <w:rPr>
          <w:sz w:val="20"/>
          <w:szCs w:val="20"/>
          <w:color w:val="auto"/>
        </w:rPr>
      </w:pPr>
      <w:r>
        <w:rPr>
          <w:rFonts w:ascii="Arial" w:cs="Arial" w:eastAsia="Arial" w:hAnsi="Arial"/>
          <w:sz w:val="17"/>
          <w:szCs w:val="17"/>
          <w:color w:val="auto"/>
        </w:rPr>
        <w:t>amendment or supplement (including by incorporation by reference) to the extent it contains (i) a Company Adverse Recommendation Change, (ii) a statement of the reason of the Company’s Board of Directors for making such Company Adverse Recommendation Change, and (iii) additional information reasonably related to the foregoing. Each party will advise the other parties, promptly after it receives notice thereof, of the time when the Registration Statement has become effective or any supplement or amendment has been filed, the issuance of any stop order, 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23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Public Announcements</w:t>
      </w:r>
      <w:r>
        <w:rPr>
          <w:rFonts w:ascii="Arial" w:cs="Arial" w:eastAsia="Arial" w:hAnsi="Arial"/>
          <w:sz w:val="17"/>
          <w:szCs w:val="17"/>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232" w:lineRule="exact"/>
        <w:rPr>
          <w:sz w:val="20"/>
          <w:szCs w:val="20"/>
          <w:color w:val="auto"/>
        </w:rPr>
      </w:pPr>
    </w:p>
    <w:p>
      <w:pPr>
        <w:ind w:right="300" w:firstLine="1305"/>
        <w:spacing w:after="0" w:line="342" w:lineRule="auto"/>
        <w:tabs>
          <w:tab w:leader="none" w:pos="1938"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6"/>
          <w:szCs w:val="16"/>
          <w:color w:val="auto"/>
        </w:rPr>
        <w:t>respective “</w:t>
      </w:r>
      <w:r>
        <w:rPr>
          <w:rFonts w:ascii="Arial" w:cs="Arial" w:eastAsia="Arial" w:hAnsi="Arial"/>
          <w:sz w:val="16"/>
          <w:szCs w:val="16"/>
          <w:b w:val="1"/>
          <w:bCs w:val="1"/>
          <w:color w:val="auto"/>
        </w:rPr>
        <w:t>participants</w:t>
      </w:r>
      <w:r>
        <w:rPr>
          <w:rFonts w:ascii="Arial" w:cs="Arial" w:eastAsia="Arial" w:hAnsi="Arial"/>
          <w:sz w:val="16"/>
          <w:szCs w:val="16"/>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 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6"/>
          <w:szCs w:val="16"/>
          <w:b w:val="1"/>
          <w:bCs w:val="1"/>
          <w:color w:val="auto"/>
        </w:rPr>
        <w:t>soliciting material</w:t>
      </w:r>
      <w:r>
        <w:rPr>
          <w:rFonts w:ascii="Arial" w:cs="Arial" w:eastAsia="Arial" w:hAnsi="Arial"/>
          <w:sz w:val="16"/>
          <w:szCs w:val="16"/>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6"/>
          <w:szCs w:val="16"/>
          <w:b w:val="1"/>
          <w:bCs w:val="1"/>
          <w:color w:val="auto"/>
        </w:rPr>
        <w:t>Merger Communication</w:t>
      </w:r>
      <w:r>
        <w:rPr>
          <w:rFonts w:ascii="Arial" w:cs="Arial" w:eastAsia="Arial" w:hAnsi="Arial"/>
          <w:sz w:val="16"/>
          <w:szCs w:val="16"/>
          <w:color w:val="auto"/>
        </w:rPr>
        <w:t>” shall mean,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6"/>
          <w:szCs w:val="16"/>
          <w:b w:val="1"/>
          <w:bCs w:val="1"/>
          <w:color w:val="auto"/>
        </w:rPr>
        <w:t>solicitation</w:t>
      </w:r>
      <w:r>
        <w:rPr>
          <w:rFonts w:ascii="Arial" w:cs="Arial" w:eastAsia="Arial" w:hAnsi="Arial"/>
          <w:sz w:val="16"/>
          <w:szCs w:val="16"/>
          <w:color w:val="auto"/>
        </w:rPr>
        <w:t>” of “</w:t>
      </w:r>
      <w:r>
        <w:rPr>
          <w:rFonts w:ascii="Arial" w:cs="Arial" w:eastAsia="Arial" w:hAnsi="Arial"/>
          <w:sz w:val="16"/>
          <w:szCs w:val="16"/>
          <w:b w:val="1"/>
          <w:bCs w:val="1"/>
          <w:color w:val="auto"/>
        </w:rPr>
        <w:t>proxies</w:t>
      </w:r>
      <w:r>
        <w:rPr>
          <w:rFonts w:ascii="Arial" w:cs="Arial" w:eastAsia="Arial" w:hAnsi="Arial"/>
          <w:sz w:val="16"/>
          <w:szCs w:val="16"/>
          <w:color w:val="auto"/>
        </w:rPr>
        <w:t>” (in each case, as defined in Rule 14a-1 of the 1934 Act) in favor of the Merger or the Parent Stock Issuance.</w:t>
      </w:r>
    </w:p>
    <w:p>
      <w:pPr>
        <w:spacing w:after="0" w:line="22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24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Notices of Certain Events</w:t>
      </w:r>
      <w:r>
        <w:rPr>
          <w:rFonts w:ascii="Arial" w:cs="Arial" w:eastAsia="Arial" w:hAnsi="Arial"/>
          <w:sz w:val="16"/>
          <w:szCs w:val="16"/>
          <w:color w:val="auto"/>
        </w:rPr>
        <w:t>. Each of the Company and Parent shall promptly notify and provide copies to the other of:</w:t>
      </w:r>
    </w:p>
    <w:p>
      <w:pPr>
        <w:spacing w:after="0" w:line="279" w:lineRule="exact"/>
        <w:rPr>
          <w:sz w:val="20"/>
          <w:szCs w:val="20"/>
          <w:color w:val="auto"/>
        </w:rPr>
      </w:pPr>
    </w:p>
    <w:p>
      <w:pPr>
        <w:ind w:right="200" w:firstLine="1305"/>
        <w:spacing w:after="0" w:line="277" w:lineRule="auto"/>
        <w:tabs>
          <w:tab w:leader="none" w:pos="19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written notice from any Person alleging that the approval or consent of such Person is or may be required in connection with the transactions contemplated by this Agreement;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6" w:name="page87"/>
    <w:bookmarkEnd w:id="86"/>
    <w:p>
      <w:pPr>
        <w:ind w:left="1940" w:hanging="635"/>
        <w:spacing w:after="0"/>
        <w:tabs>
          <w:tab w:leader="none" w:pos="19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written notice or other communication from any Governmental Authority in connection with the transactions contemplated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 and</w:t>
      </w:r>
    </w:p>
    <w:p>
      <w:pPr>
        <w:spacing w:after="0" w:line="264" w:lineRule="exact"/>
        <w:rPr>
          <w:rFonts w:ascii="Arial" w:cs="Arial" w:eastAsia="Arial" w:hAnsi="Arial"/>
          <w:sz w:val="16"/>
          <w:szCs w:val="16"/>
          <w:color w:val="auto"/>
        </w:rPr>
      </w:pPr>
    </w:p>
    <w:p>
      <w:pPr>
        <w:ind w:right="120" w:firstLine="1305"/>
        <w:spacing w:after="0" w:line="259" w:lineRule="auto"/>
        <w:tabs>
          <w:tab w:leader="none" w:pos="19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delivery of any notice pursuant to this Section 8.05 shall not affect or be deemed to modify any representation or warranty made by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hereunder or limit or otherwise affect the remedies available hereunder to the party receiving such notice.</w:t>
      </w:r>
    </w:p>
    <w:p>
      <w:pPr>
        <w:spacing w:after="0" w:line="2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i w:val="1"/>
          <w:iCs w:val="1"/>
          <w:color w:val="auto"/>
        </w:rPr>
        <w:t>Access to Information</w:t>
      </w:r>
      <w:r>
        <w:rPr>
          <w:rFonts w:ascii="Arial" w:cs="Arial" w:eastAsia="Arial" w:hAnsi="Arial"/>
          <w:sz w:val="16"/>
          <w:szCs w:val="16"/>
          <w:color w:val="auto"/>
        </w:rPr>
        <w:t>.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w:t>
      </w:r>
    </w:p>
    <w:p>
      <w:pPr>
        <w:spacing w:after="0" w:line="5" w:lineRule="exact"/>
        <w:rPr>
          <w:sz w:val="20"/>
          <w:szCs w:val="20"/>
          <w:color w:val="auto"/>
        </w:rPr>
      </w:pPr>
    </w:p>
    <w:p>
      <w:pPr>
        <w:ind w:right="100" w:firstLine="8"/>
        <w:spacing w:after="0" w:line="281" w:lineRule="auto"/>
        <w:tabs>
          <w:tab w:leader="none" w:pos="3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w:t>
      </w:r>
    </w:p>
    <w:p>
      <w:pPr>
        <w:spacing w:after="0" w:line="2"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(C) disclosure of any such information or document would result in the loss of attorney-client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7" w:name="page88"/>
    <w:bookmarkEnd w:id="87"/>
    <w:p>
      <w:pPr>
        <w:ind w:right="20"/>
        <w:spacing w:after="0" w:line="264" w:lineRule="auto"/>
        <w:rPr>
          <w:sz w:val="20"/>
          <w:szCs w:val="20"/>
          <w:color w:val="auto"/>
        </w:rPr>
      </w:pPr>
      <w:r>
        <w:rPr>
          <w:rFonts w:ascii="Arial" w:cs="Arial" w:eastAsia="Arial" w:hAnsi="Arial"/>
          <w:sz w:val="18"/>
          <w:szCs w:val="18"/>
          <w:color w:val="auto"/>
        </w:rPr>
        <w:t>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23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Tax-free Reorganization</w:t>
      </w:r>
      <w:r>
        <w:rPr>
          <w:rFonts w:ascii="Arial" w:cs="Arial" w:eastAsia="Arial" w:hAnsi="Arial"/>
          <w:sz w:val="16"/>
          <w:szCs w:val="16"/>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208" w:lineRule="exact"/>
        <w:rPr>
          <w:sz w:val="20"/>
          <w:szCs w:val="20"/>
          <w:color w:val="auto"/>
        </w:rPr>
      </w:pPr>
    </w:p>
    <w:p>
      <w:pPr>
        <w:ind w:firstLine="1305"/>
        <w:spacing w:after="0" w:line="259" w:lineRule="auto"/>
        <w:tabs>
          <w:tab w:leader="none" w:pos="19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Officers of Parent, Merger Subsidiary and the Company shall execute and deliver to Davis Polk &amp; Wardwell LLP, tax counsel for Parent, and Paul, Weiss, Rifkind, 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2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party shall take all such steps as may be required to cause any dispositions of Company Stock (including derivative securities with respect to Company Stock) or 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24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Stock Exchange De-listing; 1934 Act Deregistration</w:t>
      </w:r>
      <w:r>
        <w:rPr>
          <w:rFonts w:ascii="Arial" w:cs="Arial" w:eastAsia="Arial" w:hAnsi="Arial"/>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24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Dividends</w:t>
      </w:r>
      <w:r>
        <w:rPr>
          <w:rFonts w:ascii="Arial" w:cs="Arial" w:eastAsia="Arial" w:hAnsi="Arial"/>
          <w:sz w:val="18"/>
          <w:szCs w:val="18"/>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8" w:name="page89"/>
    <w:bookmarkEnd w:id="88"/>
    <w:p>
      <w:pPr>
        <w:ind w:right="500"/>
        <w:spacing w:after="0" w:line="277" w:lineRule="auto"/>
        <w:rPr>
          <w:sz w:val="20"/>
          <w:szCs w:val="20"/>
          <w:color w:val="auto"/>
        </w:rPr>
      </w:pPr>
      <w:r>
        <w:rPr>
          <w:rFonts w:ascii="Arial" w:cs="Arial" w:eastAsia="Arial" w:hAnsi="Arial"/>
          <w:sz w:val="18"/>
          <w:szCs w:val="18"/>
          <w:color w:val="auto"/>
        </w:rPr>
        <w:t>receive two dividends or fail to receive one dividend, for any quarter with respect to shares of Company Stock, on the one hand, and the Parent Class A Common Stock issuable in respect of those shares pursuant to the Merger, on the other.</w:t>
      </w:r>
    </w:p>
    <w:p>
      <w:pPr>
        <w:spacing w:after="0" w:line="2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i w:val="1"/>
          <w:iCs w:val="1"/>
          <w:color w:val="auto"/>
        </w:rPr>
        <w:t>Stockholder Litigation</w:t>
      </w:r>
      <w:r>
        <w:rPr>
          <w:rFonts w:ascii="Arial" w:cs="Arial" w:eastAsia="Arial" w:hAnsi="Arial"/>
          <w:sz w:val="16"/>
          <w:szCs w:val="16"/>
          <w:color w:val="auto"/>
        </w:rPr>
        <w:t>. Each party hereto shall promptly notify the other parties hereto in writing of any litigation related to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Agreement, the Merger or the other transactions contemplated by this Agreement that is brought, or, to the knowledge of the Company or Parent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threatened in writing, against the Company or Parent and/or the members of the Board of Directors of the Company or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Parent, as applicable (any such litigation relating to the Company and/or the executive officers or members of the Board of Directors of the Company,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Transaction Litigation</w:t>
      </w:r>
      <w:r>
        <w:rPr>
          <w:rFonts w:ascii="Arial" w:cs="Arial" w:eastAsia="Arial" w:hAnsi="Arial"/>
          <w:sz w:val="16"/>
          <w:szCs w:val="16"/>
          <w:color w:val="auto"/>
        </w:rPr>
        <w:t>”, and any such litigation relating to Parent and/or the executive officers or members of the Board of Directors of Parent,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Transaction Litigation</w:t>
      </w:r>
      <w:r>
        <w:rPr>
          <w:rFonts w:ascii="Arial" w:cs="Arial" w:eastAsia="Arial" w:hAnsi="Arial"/>
          <w:sz w:val="17"/>
          <w:szCs w:val="17"/>
          <w:color w:val="auto"/>
        </w:rPr>
        <w:t>”) prior to the Effective Time and shall keep such other party reasonably informed with respect to the status thereof.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shall give Parent the opportunity to participate in the defense or settlement of any Company Transaction Litigation, and, except to the extent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by applicable Law, the Company shall not settle, agree to any undertakings or approve or otherwise agree to any waiver that may be sought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such Company Transaction Litigation, without the prior written consent of Parent (which shall not be unreasonably withheld, conditioned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delayed). Without limiting in any way the parties’ obligations under Section 8.01, each of the Company and Parent shall cooperate, shall cause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 Subsidiaries, as applicable, to cooperate, and shall use its reasonable best efforts to cause its Representatives to cooperate, in the defense against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litigation contemplated by this Section 8.11.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Conditions to the Obligations of Each Party</w:t>
      </w:r>
      <w:r>
        <w:rPr>
          <w:rFonts w:ascii="Arial" w:cs="Arial" w:eastAsia="Arial" w:hAnsi="Arial"/>
          <w:sz w:val="16"/>
          <w:szCs w:val="16"/>
          <w:color w:val="auto"/>
        </w:rPr>
        <w:t>. The obligations of the Company, Parent and Merger Subsidiary to consummate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Merger are subject to the satisfaction or waiver of the following conditions:</w:t>
      </w:r>
    </w:p>
    <w:p>
      <w:pPr>
        <w:spacing w:after="0" w:line="265" w:lineRule="exact"/>
        <w:rPr>
          <w:sz w:val="20"/>
          <w:szCs w:val="20"/>
          <w:color w:val="auto"/>
        </w:rPr>
      </w:pPr>
    </w:p>
    <w:p>
      <w:pPr>
        <w:ind w:right="80" w:firstLine="1305"/>
        <w:spacing w:after="0" w:line="277" w:lineRule="auto"/>
        <w:tabs>
          <w:tab w:leader="none" w:pos="19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the Company Stockholder Approval shall have been obtained in accordance with Delaware Law and (ii) the Parent Shareholder Approval shall have been obtained in accordance with Pennsylvania Law;</w:t>
      </w:r>
    </w:p>
    <w:p>
      <w:pPr>
        <w:spacing w:after="0" w:line="224" w:lineRule="exact"/>
        <w:rPr>
          <w:rFonts w:ascii="Arial" w:cs="Arial" w:eastAsia="Arial" w:hAnsi="Arial"/>
          <w:sz w:val="18"/>
          <w:szCs w:val="18"/>
          <w:color w:val="auto"/>
        </w:rPr>
      </w:pPr>
    </w:p>
    <w:p>
      <w:pPr>
        <w:ind w:right="380" w:firstLine="1305"/>
        <w:spacing w:after="0" w:line="279" w:lineRule="auto"/>
        <w:tabs>
          <w:tab w:leader="none" w:pos="1938"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Merger Subsidiary, in each case without the imposition of any Burdensome Condition);</w:t>
      </w:r>
    </w:p>
    <w:p>
      <w:pPr>
        <w:spacing w:after="0" w:line="279" w:lineRule="exact"/>
        <w:rPr>
          <w:sz w:val="20"/>
          <w:szCs w:val="20"/>
          <w:color w:val="auto"/>
        </w:rPr>
      </w:pPr>
    </w:p>
    <w:p>
      <w:pPr>
        <w:ind w:firstLine="1305"/>
        <w:spacing w:after="0" w:line="302" w:lineRule="auto"/>
        <w:tabs>
          <w:tab w:leader="none" w:pos="19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208" w:lineRule="exact"/>
        <w:rPr>
          <w:rFonts w:ascii="Arial" w:cs="Arial" w:eastAsia="Arial" w:hAnsi="Arial"/>
          <w:sz w:val="16"/>
          <w:szCs w:val="16"/>
          <w:color w:val="auto"/>
        </w:rPr>
      </w:pPr>
    </w:p>
    <w:p>
      <w:pPr>
        <w:ind w:right="80" w:firstLine="1305"/>
        <w:spacing w:after="0" w:line="257" w:lineRule="auto"/>
        <w:tabs>
          <w:tab w:leader="none" w:pos="19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for the matters that are the subject of Section 9.01(b) or Section 9.01(c), there shall not be any (i) 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 (B) solely with respect to the obligations of Parent and Merger Subsidiary, imposes any Burdensome Condition.</w:t>
      </w:r>
    </w:p>
    <w:p>
      <w:pPr>
        <w:spacing w:after="0" w:line="242" w:lineRule="exact"/>
        <w:rPr>
          <w:rFonts w:ascii="Arial" w:cs="Arial" w:eastAsia="Arial" w:hAnsi="Arial"/>
          <w:sz w:val="18"/>
          <w:szCs w:val="18"/>
          <w:color w:val="auto"/>
        </w:rPr>
      </w:pPr>
    </w:p>
    <w:p>
      <w:pPr>
        <w:ind w:right="200" w:firstLine="1305"/>
        <w:spacing w:after="0" w:line="277" w:lineRule="auto"/>
        <w:tabs>
          <w:tab w:leader="none" w:pos="19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224" w:lineRule="exact"/>
        <w:rPr>
          <w:rFonts w:ascii="Arial" w:cs="Arial" w:eastAsia="Arial" w:hAnsi="Arial"/>
          <w:sz w:val="18"/>
          <w:szCs w:val="18"/>
          <w:color w:val="auto"/>
        </w:rPr>
      </w:pPr>
    </w:p>
    <w:p>
      <w:pPr>
        <w:ind w:right="340" w:firstLine="1305"/>
        <w:spacing w:after="0" w:line="277" w:lineRule="auto"/>
        <w:tabs>
          <w:tab w:leader="none" w:pos="1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shares of Parent Class A Common Stock to be issued in the Merger shall have been approved for listing on the NASDAQ, subject to official notice of issuance.</w:t>
      </w:r>
    </w:p>
    <w:p>
      <w:pPr>
        <w:spacing w:after="0" w:line="2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Conditions to the Obligations of Parent and Merger Subsidiary</w:t>
      </w:r>
      <w:r>
        <w:rPr>
          <w:rFonts w:ascii="Arial" w:cs="Arial" w:eastAsia="Arial" w:hAnsi="Arial"/>
          <w:sz w:val="18"/>
          <w:szCs w:val="18"/>
          <w:color w:val="auto"/>
        </w:rPr>
        <w:t>. The obligations of Parent and Merger Subsidiary to consummate the Merger are subject to the satisfaction or waiver of the following further conditions:</w:t>
      </w:r>
    </w:p>
    <w:p>
      <w:pPr>
        <w:spacing w:after="0" w:line="224" w:lineRule="exact"/>
        <w:rPr>
          <w:sz w:val="20"/>
          <w:szCs w:val="20"/>
          <w:color w:val="auto"/>
        </w:rPr>
      </w:pPr>
    </w:p>
    <w:p>
      <w:pPr>
        <w:ind w:right="20" w:firstLine="1305"/>
        <w:spacing w:after="0" w:line="255" w:lineRule="auto"/>
        <w:tabs>
          <w:tab w:leader="none" w:pos="19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w:t>
      </w: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90" w:name="page91"/>
    <w:bookmarkEnd w:id="90"/>
    <w:p>
      <w:pPr>
        <w:ind w:right="20"/>
        <w:spacing w:after="0" w:line="269" w:lineRule="auto"/>
        <w:rPr>
          <w:sz w:val="20"/>
          <w:szCs w:val="20"/>
          <w:color w:val="auto"/>
        </w:rPr>
      </w:pPr>
      <w:r>
        <w:rPr>
          <w:rFonts w:ascii="Arial" w:cs="Arial" w:eastAsia="Arial" w:hAnsi="Arial"/>
          <w:sz w:val="17"/>
          <w:szCs w:val="17"/>
          <w:color w:val="auto"/>
        </w:rPr>
        <w:t>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234" w:lineRule="exact"/>
        <w:rPr>
          <w:sz w:val="20"/>
          <w:szCs w:val="20"/>
          <w:color w:val="auto"/>
        </w:rPr>
      </w:pPr>
    </w:p>
    <w:p>
      <w:pPr>
        <w:ind w:right="40" w:firstLine="1305"/>
        <w:spacing w:after="0" w:line="255" w:lineRule="auto"/>
        <w:tabs>
          <w:tab w:leader="none" w:pos="19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8"/>
          <w:szCs w:val="18"/>
          <w:b w:val="1"/>
          <w:bCs w:val="1"/>
          <w:color w:val="auto"/>
        </w:rPr>
        <w:t>party to the reorganization</w:t>
      </w:r>
      <w:r>
        <w:rPr>
          <w:rFonts w:ascii="Arial" w:cs="Arial" w:eastAsia="Arial" w:hAnsi="Arial"/>
          <w:sz w:val="18"/>
          <w:szCs w:val="18"/>
          <w:color w:val="auto"/>
        </w:rPr>
        <w:t>” within 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243" w:lineRule="exact"/>
        <w:rPr>
          <w:rFonts w:ascii="Arial" w:cs="Arial" w:eastAsia="Arial" w:hAnsi="Arial"/>
          <w:sz w:val="18"/>
          <w:szCs w:val="18"/>
          <w:color w:val="auto"/>
        </w:rPr>
      </w:pPr>
    </w:p>
    <w:p>
      <w:pPr>
        <w:ind w:firstLine="1305"/>
        <w:spacing w:after="0" w:line="308" w:lineRule="auto"/>
        <w:tabs>
          <w:tab w:leader="none" w:pos="1928" w:val="left"/>
        </w:tabs>
        <w:numPr>
          <w:ilvl w:val="0"/>
          <w:numId w:val="94"/>
        </w:numPr>
        <w:rPr>
          <w:rFonts w:ascii="Arial" w:cs="Arial" w:eastAsia="Arial" w:hAnsi="Arial"/>
          <w:sz w:val="17"/>
          <w:szCs w:val="17"/>
          <w:color w:val="auto"/>
        </w:rPr>
      </w:pPr>
      <w:r>
        <w:rPr>
          <w:rFonts w:ascii="Arial" w:cs="Arial" w:eastAsia="Arial" w:hAnsi="Arial"/>
          <w:sz w:val="17"/>
          <w:szCs w:val="17"/>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20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Conditions to the Obligations of the Company</w:t>
      </w:r>
      <w:r>
        <w:rPr>
          <w:rFonts w:ascii="Arial" w:cs="Arial" w:eastAsia="Arial" w:hAnsi="Arial"/>
          <w:sz w:val="18"/>
          <w:szCs w:val="18"/>
          <w:color w:val="auto"/>
        </w:rPr>
        <w:t>. The obligations of the Company to consummate the Merger are subject to the satisfaction or waiver of the following further conditions: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1" w:name="page92"/>
    <w:bookmarkEnd w:id="91"/>
    <w:p>
      <w:pPr>
        <w:ind w:firstLine="1305"/>
        <w:spacing w:after="0" w:line="286" w:lineRule="auto"/>
        <w:tabs>
          <w:tab w:leader="none" w:pos="19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225" w:lineRule="exact"/>
        <w:rPr>
          <w:rFonts w:ascii="Arial" w:cs="Arial" w:eastAsia="Arial" w:hAnsi="Arial"/>
          <w:sz w:val="16"/>
          <w:szCs w:val="16"/>
          <w:color w:val="auto"/>
        </w:rPr>
      </w:pPr>
    </w:p>
    <w:p>
      <w:pPr>
        <w:ind w:right="20" w:firstLine="1305"/>
        <w:spacing w:after="0" w:line="272" w:lineRule="auto"/>
        <w:tabs>
          <w:tab w:leader="none" w:pos="19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7"/>
          <w:szCs w:val="17"/>
          <w:b w:val="1"/>
          <w:bCs w:val="1"/>
          <w:color w:val="auto"/>
        </w:rPr>
        <w:t>party to the reorganization</w:t>
      </w:r>
      <w:r>
        <w:rPr>
          <w:rFonts w:ascii="Arial" w:cs="Arial" w:eastAsia="Arial" w:hAnsi="Arial"/>
          <w:sz w:val="17"/>
          <w:szCs w:val="17"/>
          <w:color w:val="auto"/>
        </w:rPr>
        <w:t>” within the meaning of Section 368(b) of the Code, which opinion shall not have been withdrawn or modified in any material respect. In rendering the opinion described in this Section 9.03(b), Paul, Weiss, Rifkind, Wharton &amp; Garrison LLP shall have received and may rely upon the Tax Representation Letters referred to in Section 8.07(b) hereof; and</w:t>
      </w:r>
    </w:p>
    <w:p>
      <w:pPr>
        <w:spacing w:after="0" w:line="231" w:lineRule="exact"/>
        <w:rPr>
          <w:rFonts w:ascii="Arial" w:cs="Arial" w:eastAsia="Arial" w:hAnsi="Arial"/>
          <w:sz w:val="17"/>
          <w:szCs w:val="17"/>
          <w:color w:val="auto"/>
        </w:rPr>
      </w:pPr>
    </w:p>
    <w:p>
      <w:pPr>
        <w:ind w:right="20" w:firstLine="1305"/>
        <w:spacing w:after="0" w:line="308" w:lineRule="auto"/>
        <w:tabs>
          <w:tab w:leader="none" w:pos="19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2" w:name="page93"/>
    <w:bookmarkEnd w:id="92"/>
    <w:p>
      <w:pPr>
        <w:ind w:left="52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Termination</w:t>
      </w:r>
    </w:p>
    <w:p>
      <w:pPr>
        <w:spacing w:after="0" w:line="26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terminated and the Merger may be abandoned at any time prior to the Effective Time (notwithstanding any approval of this Agreement by the stockholders of the Company):</w:t>
      </w:r>
    </w:p>
    <w:p>
      <w:pPr>
        <w:spacing w:after="0" w:line="224" w:lineRule="exact"/>
        <w:rPr>
          <w:sz w:val="20"/>
          <w:szCs w:val="20"/>
          <w:color w:val="auto"/>
        </w:rPr>
      </w:pPr>
    </w:p>
    <w:p>
      <w:pPr>
        <w:ind w:left="1940" w:hanging="635"/>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mutual written agreement of the Company and Parent;</w:t>
      </w:r>
    </w:p>
    <w:p>
      <w:pPr>
        <w:spacing w:after="0" w:line="279" w:lineRule="exact"/>
        <w:rPr>
          <w:rFonts w:ascii="Arial" w:cs="Arial" w:eastAsia="Arial" w:hAnsi="Arial"/>
          <w:sz w:val="18"/>
          <w:szCs w:val="18"/>
          <w:color w:val="auto"/>
        </w:rPr>
      </w:pPr>
    </w:p>
    <w:p>
      <w:pPr>
        <w:ind w:left="1940" w:hanging="635"/>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either the Company or Parent, if:</w:t>
      </w:r>
    </w:p>
    <w:p>
      <w:pPr>
        <w:spacing w:after="0" w:line="275" w:lineRule="exact"/>
        <w:rPr>
          <w:rFonts w:ascii="Arial" w:cs="Arial" w:eastAsia="Arial" w:hAnsi="Arial"/>
          <w:sz w:val="18"/>
          <w:szCs w:val="18"/>
          <w:color w:val="auto"/>
        </w:rPr>
      </w:pPr>
    </w:p>
    <w:p>
      <w:pPr>
        <w:ind w:left="1300" w:right="20" w:firstLine="491"/>
        <w:spacing w:after="0" w:line="254" w:lineRule="auto"/>
        <w:tabs>
          <w:tab w:leader="none" w:pos="23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Merger is not consummated on or before February 12, 2015 (the “</w:t>
      </w:r>
      <w:r>
        <w:rPr>
          <w:rFonts w:ascii="Arial" w:cs="Arial" w:eastAsia="Arial" w:hAnsi="Arial"/>
          <w:sz w:val="18"/>
          <w:szCs w:val="18"/>
          <w:b w:val="1"/>
          <w:bCs w:val="1"/>
          <w:color w:val="auto"/>
        </w:rPr>
        <w:t>End Date</w:t>
      </w:r>
      <w:r>
        <w:rPr>
          <w:rFonts w:ascii="Arial" w:cs="Arial" w:eastAsia="Arial" w:hAnsi="Arial"/>
          <w:sz w:val="18"/>
          <w:szCs w:val="18"/>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247" w:lineRule="exact"/>
        <w:rPr>
          <w:rFonts w:ascii="Arial" w:cs="Arial" w:eastAsia="Arial" w:hAnsi="Arial"/>
          <w:sz w:val="18"/>
          <w:szCs w:val="18"/>
          <w:color w:val="auto"/>
        </w:rPr>
      </w:pPr>
    </w:p>
    <w:p>
      <w:pPr>
        <w:ind w:left="2440" w:hanging="649"/>
        <w:spacing w:after="0"/>
        <w:tabs>
          <w:tab w:leader="none" w:pos="24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there shall be any Applicable Law in effect that (A) makes consummation of the Merger illegal or otherwise prohibited or</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(B) permanently enjoins the Company or Parent from consummating the Merger and, in the case of clauses (A) and (B) any such Applicable Law, including an injunction,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243" w:lineRule="exact"/>
        <w:rPr>
          <w:rFonts w:ascii="Arial" w:cs="Arial" w:eastAsia="Arial" w:hAnsi="Arial"/>
          <w:sz w:val="16"/>
          <w:szCs w:val="16"/>
          <w:color w:val="auto"/>
        </w:rPr>
      </w:pPr>
    </w:p>
    <w:p>
      <w:pPr>
        <w:ind w:left="1300" w:right="120" w:firstLine="491"/>
        <w:spacing w:after="0" w:line="264" w:lineRule="auto"/>
        <w:tabs>
          <w:tab w:leader="none" w:pos="24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ind w:left="740" w:hanging="635"/>
        <w:spacing w:after="0"/>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Parent, if:</w:t>
      </w:r>
    </w:p>
    <w:p>
      <w:pPr>
        <w:spacing w:after="0" w:line="279" w:lineRule="exact"/>
        <w:rPr>
          <w:rFonts w:ascii="Arial" w:cs="Arial" w:eastAsia="Arial" w:hAnsi="Arial"/>
          <w:sz w:val="18"/>
          <w:szCs w:val="18"/>
          <w:color w:val="auto"/>
        </w:rPr>
      </w:pPr>
    </w:p>
    <w:p>
      <w:pPr>
        <w:ind w:left="100" w:firstLine="491"/>
        <w:spacing w:after="0" w:line="285" w:lineRule="auto"/>
        <w:tabs>
          <w:tab w:leader="none" w:pos="1188" w:val="left"/>
        </w:tabs>
        <w:numPr>
          <w:ilvl w:val="1"/>
          <w:numId w:val="97"/>
        </w:numPr>
        <w:rPr>
          <w:rFonts w:ascii="Arial" w:cs="Arial" w:eastAsia="Arial" w:hAnsi="Arial"/>
          <w:sz w:val="16"/>
          <w:szCs w:val="16"/>
          <w:color w:val="auto"/>
        </w:rPr>
      </w:pPr>
      <w:r>
        <w:rPr>
          <w:rFonts w:ascii="Arial" w:cs="Arial" w:eastAsia="Arial" w:hAnsi="Arial"/>
          <w:sz w:val="16"/>
          <w:szCs w:val="16"/>
          <w:color w:val="auto"/>
        </w:rPr>
        <w:t>(A) the Company’s Board of Directors shall have made a Company Adverse Recommendation Change or (B)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w:t>
      </w:r>
    </w:p>
    <w:p>
      <w:pPr>
        <w:spacing w:after="0" w:line="2" w:lineRule="exact"/>
        <w:rPr>
          <w:rFonts w:ascii="Arial" w:cs="Arial" w:eastAsia="Arial" w:hAnsi="Arial"/>
          <w:sz w:val="16"/>
          <w:szCs w:val="16"/>
          <w:color w:val="auto"/>
        </w:rPr>
      </w:pPr>
    </w:p>
    <w:p>
      <w:pPr>
        <w:ind w:left="320" w:hanging="215"/>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any time after the Company Stockholder Approval shall have been obtained;</w:t>
      </w:r>
    </w:p>
    <w:p>
      <w:pPr>
        <w:spacing w:after="0" w:line="264" w:lineRule="exact"/>
        <w:rPr>
          <w:rFonts w:ascii="Arial" w:cs="Arial" w:eastAsia="Arial" w:hAnsi="Arial"/>
          <w:sz w:val="18"/>
          <w:szCs w:val="18"/>
          <w:color w:val="auto"/>
        </w:rPr>
      </w:pPr>
    </w:p>
    <w:p>
      <w:pPr>
        <w:ind w:left="100" w:right="20" w:firstLine="491"/>
        <w:spacing w:after="0" w:line="264" w:lineRule="auto"/>
        <w:tabs>
          <w:tab w:leader="none" w:pos="123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235" w:lineRule="exact"/>
        <w:rPr>
          <w:rFonts w:ascii="Arial" w:cs="Arial" w:eastAsia="Arial" w:hAnsi="Arial"/>
          <w:sz w:val="18"/>
          <w:szCs w:val="18"/>
          <w:color w:val="auto"/>
        </w:rPr>
      </w:pPr>
    </w:p>
    <w:p>
      <w:pPr>
        <w:ind w:left="100" w:right="40" w:firstLine="491"/>
        <w:spacing w:after="0" w:line="276" w:lineRule="auto"/>
        <w:tabs>
          <w:tab w:leader="none" w:pos="1288"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breach of any representation or warranty or failure to perform any covenant or agreement on the part of the Company set forth in this Agreement shall have occurred that would cause the condition set forth in 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226" w:lineRule="exact"/>
        <w:rPr>
          <w:rFonts w:ascii="Arial" w:cs="Arial" w:eastAsia="Arial" w:hAnsi="Arial"/>
          <w:sz w:val="17"/>
          <w:szCs w:val="17"/>
          <w:color w:val="auto"/>
        </w:rPr>
      </w:pPr>
    </w:p>
    <w:p>
      <w:pPr>
        <w:ind w:left="100" w:right="200" w:firstLine="491"/>
        <w:spacing w:after="0" w:line="302" w:lineRule="auto"/>
        <w:tabs>
          <w:tab w:leader="none" w:pos="1278" w:val="left"/>
        </w:tabs>
        <w:numPr>
          <w:ilvl w:val="1"/>
          <w:numId w:val="98"/>
        </w:numPr>
        <w:rPr>
          <w:rFonts w:ascii="Arial" w:cs="Arial" w:eastAsia="Arial" w:hAnsi="Arial"/>
          <w:sz w:val="16"/>
          <w:szCs w:val="16"/>
          <w:color w:val="auto"/>
        </w:rPr>
      </w:pPr>
      <w:r>
        <w:rPr>
          <w:rFonts w:ascii="Arial" w:cs="Arial" w:eastAsia="Arial" w:hAnsi="Arial"/>
          <w:sz w:val="16"/>
          <w:szCs w:val="16"/>
          <w:color w:val="auto"/>
        </w:rPr>
        <w:t>prior to the Company Stockholder Approval having been obtained, an intentional and material breach of (A) Section 6.03 that is authorized or permitted by the Company that results in a Third Party making a Company Acquisition Proposal that is reasonably likely to materially interfere with or delay consummation of the Merger or (B) the first sentence of Section 6.02 (taking into account the right of the Company to postpone the Company Stockholder Meeting in accordance with Section 6.02) shall have occurred.</w:t>
      </w:r>
    </w:p>
    <w:p>
      <w:pPr>
        <w:spacing w:after="0" w:line="208" w:lineRule="exact"/>
        <w:rPr>
          <w:rFonts w:ascii="Arial" w:cs="Arial" w:eastAsia="Arial" w:hAnsi="Arial"/>
          <w:sz w:val="16"/>
          <w:szCs w:val="16"/>
          <w:color w:val="auto"/>
        </w:rPr>
      </w:pPr>
    </w:p>
    <w:p>
      <w:pPr>
        <w:ind w:left="740" w:hanging="635"/>
        <w:spacing w:after="0"/>
        <w:tabs>
          <w:tab w:leader="none" w:pos="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the Company, if:</w:t>
      </w:r>
    </w:p>
    <w:p>
      <w:pPr>
        <w:spacing w:after="0" w:line="279" w:lineRule="exact"/>
        <w:rPr>
          <w:rFonts w:ascii="Arial" w:cs="Arial" w:eastAsia="Arial" w:hAnsi="Arial"/>
          <w:sz w:val="18"/>
          <w:szCs w:val="18"/>
          <w:color w:val="auto"/>
        </w:rPr>
      </w:pPr>
    </w:p>
    <w:p>
      <w:pPr>
        <w:ind w:left="1200" w:hanging="609"/>
        <w:spacing w:after="0"/>
        <w:tabs>
          <w:tab w:leader="none" w:pos="12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 intentional and material breach of the first sentence of Section 7.03 shall have occurred (taking into account</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94" w:name="page95"/>
    <w:bookmarkEnd w:id="94"/>
    <w:p>
      <w:pPr>
        <w:ind w:left="1300"/>
        <w:spacing w:after="0"/>
        <w:rPr>
          <w:sz w:val="20"/>
          <w:szCs w:val="20"/>
          <w:color w:val="auto"/>
        </w:rPr>
      </w:pPr>
      <w:r>
        <w:rPr>
          <w:rFonts w:ascii="Arial" w:cs="Arial" w:eastAsia="Arial" w:hAnsi="Arial"/>
          <w:sz w:val="18"/>
          <w:szCs w:val="18"/>
          <w:color w:val="auto"/>
        </w:rPr>
        <w:t>the right of Parent to postpone the Parent Shareholder Meeting in accordance with Section 7.03);</w:t>
      </w:r>
    </w:p>
    <w:p>
      <w:pPr>
        <w:spacing w:after="0" w:line="279" w:lineRule="exact"/>
        <w:rPr>
          <w:sz w:val="20"/>
          <w:szCs w:val="20"/>
          <w:color w:val="auto"/>
        </w:rPr>
      </w:pPr>
    </w:p>
    <w:p>
      <w:pPr>
        <w:ind w:left="1300" w:right="60" w:firstLine="491"/>
        <w:spacing w:after="0" w:line="277" w:lineRule="auto"/>
        <w:tabs>
          <w:tab w:leader="none" w:pos="24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noncurable or, if curable, is not cured within 30 days’ notice thereof; or</w:t>
      </w:r>
    </w:p>
    <w:p>
      <w:pPr>
        <w:spacing w:after="0" w:line="224" w:lineRule="exact"/>
        <w:rPr>
          <w:rFonts w:ascii="Arial" w:cs="Arial" w:eastAsia="Arial" w:hAnsi="Arial"/>
          <w:sz w:val="18"/>
          <w:szCs w:val="18"/>
          <w:color w:val="auto"/>
        </w:rPr>
      </w:pPr>
    </w:p>
    <w:p>
      <w:pPr>
        <w:ind w:left="1300" w:right="160" w:firstLine="491"/>
        <w:spacing w:after="0" w:line="276" w:lineRule="auto"/>
        <w:tabs>
          <w:tab w:leader="none" w:pos="248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20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2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Effect of Termination</w:t>
      </w:r>
      <w:r>
        <w:rPr>
          <w:rFonts w:ascii="Arial" w:cs="Arial" w:eastAsia="Arial" w:hAnsi="Arial"/>
          <w:sz w:val="18"/>
          <w:szCs w:val="18"/>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 (ii) failure of any party to perform a covenant hereof or (iii) 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26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if to Parent or Merger Subsidiary,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Arthur R. Block</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 (215) 981-7794</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(which shall not constitute notice) to:</w:t>
      </w: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420"/>
          </w:cols>
          <w:pgMar w:left="240" w:top="517" w:right="239" w:bottom="1440" w:gutter="0" w:footer="0" w:header="0"/>
        </w:sectPr>
      </w:pPr>
    </w:p>
    <w:p>
      <w:pPr>
        <w:spacing w:after="0" w:line="23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David L. Caplan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200" w:lineRule="exact"/>
        <w:rPr>
          <w:sz w:val="20"/>
          <w:szCs w:val="20"/>
          <w:color w:val="auto"/>
        </w:rPr>
      </w:pPr>
    </w:p>
    <w:p>
      <w:pPr>
        <w:sectPr>
          <w:pgSz w:w="11900" w:h="16838" w:orient="portrait"/>
          <w:cols w:equalWidth="0" w:num="2">
            <w:col w:w="1540" w:space="240"/>
            <w:col w:w="9640"/>
          </w:cols>
          <w:pgMar w:left="240" w:top="517" w:right="239" w:bottom="1440" w:gutter="0" w:footer="0" w:header="0"/>
          <w:type w:val="continuous"/>
        </w:sectPr>
      </w:pP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No.: (212) 450-3800</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 (212) 364-8459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80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B. Schumer</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No.: (212) 757-3990</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Survival of Representations and Warranties</w:t>
      </w:r>
      <w:r>
        <w:rPr>
          <w:rFonts w:ascii="Arial" w:cs="Arial" w:eastAsia="Arial" w:hAnsi="Arial"/>
          <w:sz w:val="18"/>
          <w:szCs w:val="18"/>
          <w:color w:val="auto"/>
        </w:rPr>
        <w:t>. The representations and warranties contained herein and in any certificate or other writing delivered pursuant hereto shall not survive the Effective Time. This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color w:val="auto"/>
        </w:rPr>
        <w:t>Section 11.02 shall not limit Section 10.02 or any covenant or agreement of the parties which by its terms contemplates performance after the Effective Time.</w:t>
      </w:r>
    </w:p>
    <w:p>
      <w:pPr>
        <w:spacing w:after="0" w:line="3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Amendments and Waivers</w:t>
      </w:r>
      <w:r>
        <w:rPr>
          <w:rFonts w:ascii="Arial" w:cs="Arial" w:eastAsia="Arial" w:hAnsi="Arial"/>
          <w:sz w:val="16"/>
          <w:szCs w:val="16"/>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219" w:lineRule="exact"/>
        <w:rPr>
          <w:sz w:val="20"/>
          <w:szCs w:val="20"/>
          <w:color w:val="auto"/>
        </w:rPr>
      </w:pPr>
    </w:p>
    <w:p>
      <w:pPr>
        <w:ind w:right="280" w:firstLine="1305"/>
        <w:spacing w:after="0" w:line="286" w:lineRule="auto"/>
        <w:tabs>
          <w:tab w:leader="none" w:pos="19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2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Disclosure Schedule and SEC Document References</w:t>
      </w:r>
      <w:r>
        <w:rPr>
          <w:rFonts w:ascii="Arial" w:cs="Arial" w:eastAsia="Arial" w:hAnsi="Arial"/>
          <w:sz w:val="18"/>
          <w:szCs w:val="18"/>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247" w:lineRule="exact"/>
        <w:rPr>
          <w:sz w:val="20"/>
          <w:szCs w:val="20"/>
          <w:color w:val="auto"/>
        </w:rPr>
      </w:pPr>
    </w:p>
    <w:p>
      <w:pPr>
        <w:ind w:right="100" w:firstLine="1305"/>
        <w:spacing w:after="0" w:line="264" w:lineRule="auto"/>
        <w:tabs>
          <w:tab w:leader="none" w:pos="19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hereto agree that any information contained in any part of any Specified Company SEC Document or Specified Parent SEC Document shall only be deemed to be an exception to (or a disclosure for purposes of) the applicable party’s representations and warranties if the relevance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7" w:name="page98"/>
    <w:bookmarkEnd w:id="97"/>
    <w:p>
      <w:pPr>
        <w:ind w:right="140"/>
        <w:spacing w:after="0" w:line="257" w:lineRule="auto"/>
        <w:rPr>
          <w:sz w:val="20"/>
          <w:szCs w:val="20"/>
          <w:color w:val="auto"/>
        </w:rPr>
      </w:pPr>
      <w:r>
        <w:rPr>
          <w:rFonts w:ascii="Arial" w:cs="Arial" w:eastAsia="Arial" w:hAnsi="Arial"/>
          <w:sz w:val="18"/>
          <w:szCs w:val="18"/>
          <w:color w:val="auto"/>
        </w:rPr>
        <w:t>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8"/>
          <w:szCs w:val="18"/>
          <w:b w:val="1"/>
          <w:bCs w:val="1"/>
          <w:color w:val="auto"/>
        </w:rPr>
        <w:t>Risk Factors</w:t>
      </w:r>
      <w:r>
        <w:rPr>
          <w:rFonts w:ascii="Arial" w:cs="Arial" w:eastAsia="Arial" w:hAnsi="Arial"/>
          <w:sz w:val="18"/>
          <w:szCs w:val="18"/>
          <w:color w:val="auto"/>
        </w:rPr>
        <w:t>” (or words of similar import) or containing a description or explanation of “</w:t>
      </w:r>
      <w:r>
        <w:rPr>
          <w:rFonts w:ascii="Arial" w:cs="Arial" w:eastAsia="Arial" w:hAnsi="Arial"/>
          <w:sz w:val="18"/>
          <w:szCs w:val="18"/>
          <w:b w:val="1"/>
          <w:bCs w:val="1"/>
          <w:color w:val="auto"/>
        </w:rPr>
        <w:t>Forward-Looking Statements</w:t>
      </w:r>
      <w:r>
        <w:rPr>
          <w:rFonts w:ascii="Arial" w:cs="Arial" w:eastAsia="Arial" w:hAnsi="Arial"/>
          <w:sz w:val="18"/>
          <w:szCs w:val="18"/>
          <w:color w:val="auto"/>
        </w:rPr>
        <w:t>” be deemed to be an exception to (or a disclosure for purposes of) any representations and warranties of any party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4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Binding Effect; Benefit; Assignment</w:t>
      </w:r>
      <w:r>
        <w:rPr>
          <w:rFonts w:ascii="Arial" w:cs="Arial" w:eastAsia="Arial" w:hAnsi="Arial"/>
          <w:sz w:val="18"/>
          <w:szCs w:val="18"/>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246" w:lineRule="exact"/>
        <w:rPr>
          <w:sz w:val="20"/>
          <w:szCs w:val="20"/>
          <w:color w:val="auto"/>
        </w:rPr>
      </w:pPr>
    </w:p>
    <w:p>
      <w:pPr>
        <w:ind w:right="40" w:firstLine="1305"/>
        <w:spacing w:after="0" w:line="257" w:lineRule="auto"/>
        <w:tabs>
          <w:tab w:leader="none" w:pos="19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24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2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i w:val="1"/>
          <w:iCs w:val="1"/>
          <w:color w:val="auto"/>
        </w:rPr>
        <w:t>Jurisdiction</w:t>
      </w:r>
      <w:r>
        <w:rPr>
          <w:rFonts w:ascii="Arial" w:cs="Arial" w:eastAsia="Arial" w:hAnsi="Arial"/>
          <w:sz w:val="17"/>
          <w:szCs w:val="17"/>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8" w:name="page99"/>
    <w:bookmarkEnd w:id="98"/>
    <w:p>
      <w:pPr>
        <w:ind w:right="60"/>
        <w:spacing w:after="0" w:line="302" w:lineRule="auto"/>
        <w:rPr>
          <w:sz w:val="20"/>
          <w:szCs w:val="20"/>
          <w:color w:val="auto"/>
        </w:rPr>
      </w:pPr>
      <w:r>
        <w:rPr>
          <w:rFonts w:ascii="Arial" w:cs="Arial" w:eastAsia="Arial" w:hAnsi="Arial"/>
          <w:sz w:val="16"/>
          <w:szCs w:val="16"/>
          <w:color w:val="auto"/>
        </w:rPr>
        <w:t>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20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23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i w:val="1"/>
          <w:iCs w:val="1"/>
          <w:color w:val="auto"/>
        </w:rPr>
        <w:t>Counterparts; Effectiveness</w:t>
      </w:r>
      <w:r>
        <w:rPr>
          <w:rFonts w:ascii="Arial" w:cs="Arial" w:eastAsia="Arial" w:hAnsi="Arial"/>
          <w:sz w:val="17"/>
          <w:szCs w:val="17"/>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2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23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i w:val="1"/>
          <w:iCs w:val="1"/>
          <w:color w:val="auto"/>
        </w:rPr>
        <w:t>Specific Performance</w:t>
      </w:r>
      <w:r>
        <w:rPr>
          <w:rFonts w:ascii="Arial" w:cs="Arial" w:eastAsia="Arial" w:hAnsi="Arial"/>
          <w:sz w:val="18"/>
          <w:szCs w:val="18"/>
          <w:color w:val="auto"/>
        </w:rPr>
        <w:t xml:space="preserve"> . The parties hereto acknowledge and agree that irreparable damage would occur if any provision of this Agreement were not performed in accordance with its specific terms or were otherwise</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99" w:name="page100"/>
    <w:bookmarkEnd w:id="99"/>
    <w:p>
      <w:pPr>
        <w:spacing w:after="0" w:line="293" w:lineRule="auto"/>
        <w:rPr>
          <w:sz w:val="20"/>
          <w:szCs w:val="20"/>
          <w:color w:val="auto"/>
        </w:rPr>
      </w:pPr>
      <w:r>
        <w:rPr>
          <w:rFonts w:ascii="Arial" w:cs="Arial" w:eastAsia="Arial" w:hAnsi="Arial"/>
          <w:sz w:val="16"/>
          <w:szCs w:val="16"/>
          <w:color w:val="auto"/>
        </w:rPr>
        <w:t>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90" w:right="419" w:bottom="1440" w:gutter="0" w:footer="0" w:header="0"/>
        </w:sectPr>
      </w:pPr>
    </w:p>
    <w:bookmarkStart w:id="100" w:name="page101"/>
    <w:bookmarkEnd w:id="100"/>
    <w:p>
      <w:pPr>
        <w:ind w:right="26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date set forth on the cover page of this Agreement.</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T. Minson, Jr.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T. Minson, Jr.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w w:val="94"/>
              </w:rPr>
              <w:t>Executive Vice President and Chief Financial</w:t>
            </w:r>
          </w:p>
        </w:tc>
      </w:tr>
      <w:tr>
        <w:trPr>
          <w:trHeight w:val="230"/>
        </w:trPr>
        <w:tc>
          <w:tcPr>
            <w:tcW w:w="56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Robert S. Pick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TANGO ACQUISITION SUB,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Robert S. Pick</w:t>
            </w:r>
          </w:p>
        </w:tc>
        <w:tc>
          <w:tcPr>
            <w:tcW w:w="1160" w:type="dxa"/>
            <w:vAlign w:val="bottom"/>
          </w:tcPr>
          <w:p>
            <w:pPr>
              <w:spacing w:after="0"/>
              <w:rPr>
                <w:sz w:val="19"/>
                <w:szCs w:val="19"/>
                <w:color w:val="auto"/>
              </w:rPr>
            </w:pPr>
          </w:p>
        </w:tc>
      </w:tr>
      <w:tr>
        <w:trPr>
          <w:trHeight w:val="230"/>
        </w:trPr>
        <w:tc>
          <w:tcPr>
            <w:tcW w:w="6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1160" w:type="dxa"/>
            <w:vAlign w:val="bottom"/>
          </w:tcPr>
          <w:p>
            <w:pPr>
              <w:spacing w:after="0"/>
              <w:rPr>
                <w:sz w:val="20"/>
                <w:szCs w:val="20"/>
                <w:color w:val="auto"/>
              </w:rPr>
            </w:pPr>
          </w:p>
        </w:tc>
      </w:tr>
      <w:tr>
        <w:trPr>
          <w:trHeight w:val="1037"/>
        </w:trPr>
        <w:tc>
          <w:tcPr>
            <w:tcW w:w="6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5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2014, among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individuals or entities listed on Schedule 1.01 hereto (each, a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WHEREAS, concurrently with the execution and delivery of this Agreement, the Company, Comcast Corporation, a Pennsylvania corporation (“</w:t>
      </w:r>
      <w:r>
        <w:rPr>
          <w:rFonts w:ascii="Arial" w:cs="Arial" w:eastAsia="Arial" w:hAnsi="Arial"/>
          <w:sz w:val="17"/>
          <w:szCs w:val="17"/>
          <w:b w:val="1"/>
          <w:bCs w:val="1"/>
          <w:color w:val="auto"/>
        </w:rPr>
        <w:t>Parent</w:t>
      </w:r>
      <w:r>
        <w:rPr>
          <w:rFonts w:ascii="Arial" w:cs="Arial" w:eastAsia="Arial" w:hAnsi="Arial"/>
          <w:sz w:val="17"/>
          <w:szCs w:val="17"/>
          <w:color w:val="auto"/>
        </w:rPr>
        <w:t>”), and Tango Acquisition Sub, Inc., a Delaware corporation and wholly owned subsidiary of Parent (“</w:t>
      </w:r>
      <w:r>
        <w:rPr>
          <w:rFonts w:ascii="Arial" w:cs="Arial" w:eastAsia="Arial" w:hAnsi="Arial"/>
          <w:sz w:val="17"/>
          <w:szCs w:val="17"/>
          <w:b w:val="1"/>
          <w:bCs w:val="1"/>
          <w:color w:val="auto"/>
        </w:rPr>
        <w:t>Merger Subsidiary</w:t>
      </w:r>
      <w:r>
        <w:rPr>
          <w:rFonts w:ascii="Arial" w:cs="Arial" w:eastAsia="Arial" w:hAnsi="Arial"/>
          <w:sz w:val="17"/>
          <w:szCs w:val="17"/>
          <w:color w:val="auto"/>
        </w:rPr>
        <w:t>”), are entering into an Agreement and Plan of Merger (as amended or modified from time to time,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Merger Subsidiary will be merged with and into the Company, with the Company continuing as the surviving corporation and a wholly owned subsidiary of Parent;</w:t>
      </w:r>
    </w:p>
    <w:p>
      <w:pPr>
        <w:spacing w:after="0" w:line="19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as of the date hereof, each Stockholder is the record and beneficial owner of the shares of “Parent Class A Common Stock,” and “Parent Class B Common Stock,” respectively, on Schedule 1.01;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in order to induce the Company to enter into the Merger Agreement, each Stockholder has agreed to enter into this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p>
      <w:pPr>
        <w:spacing w:after="0" w:line="2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 Definitions Generally</w:t>
      </w:r>
      <w:r>
        <w:rPr>
          <w:rFonts w:ascii="Arial" w:cs="Arial" w:eastAsia="Arial" w:hAnsi="Arial"/>
          <w:sz w:val="18"/>
          <w:szCs w:val="18"/>
          <w:color w:val="auto"/>
        </w:rPr>
        <w:t>. For purposes of this Agreement, terms used in this Agreement that are defined in the Merger Agreement but not in this Agreement shall have the respective meanings ascribed to them in the Merger Agreement.</w:t>
      </w:r>
    </w:p>
    <w:p>
      <w:pPr>
        <w:spacing w:after="0" w:line="22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i w:val="1"/>
          <w:iCs w:val="1"/>
          <w:color w:val="auto"/>
        </w:rPr>
        <w:t>Certain Definitions</w:t>
      </w:r>
      <w:r>
        <w:rPr>
          <w:rFonts w:ascii="Arial" w:cs="Arial" w:eastAsia="Arial" w:hAnsi="Arial"/>
          <w:sz w:val="16"/>
          <w:szCs w:val="16"/>
          <w:color w:val="auto"/>
        </w:rPr>
        <w:t>. In addition, the following terms, as used herein, have the following meanings:</w:t>
      </w:r>
    </w:p>
    <w:p>
      <w:pPr>
        <w:spacing w:after="0" w:line="275" w:lineRule="exact"/>
        <w:rPr>
          <w:sz w:val="20"/>
          <w:szCs w:val="20"/>
          <w:color w:val="auto"/>
        </w:rPr>
      </w:pPr>
    </w:p>
    <w:p>
      <w:pPr>
        <w:ind w:left="1900" w:hanging="595"/>
        <w:spacing w:after="0"/>
        <w:tabs>
          <w:tab w:leader="none" w:pos="1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Amended and Restated Articles of Incorporation of Parent.</w:t>
      </w:r>
    </w:p>
    <w:p>
      <w:pPr>
        <w:spacing w:after="0" w:line="279" w:lineRule="exact"/>
        <w:rPr>
          <w:rFonts w:ascii="Arial" w:cs="Arial" w:eastAsia="Arial" w:hAnsi="Arial"/>
          <w:sz w:val="18"/>
          <w:szCs w:val="18"/>
          <w:color w:val="auto"/>
        </w:rPr>
      </w:pPr>
    </w:p>
    <w:p>
      <w:pPr>
        <w:ind w:left="660" w:right="260" w:firstLine="645"/>
        <w:spacing w:after="0" w:line="347" w:lineRule="auto"/>
        <w:tabs>
          <w:tab w:leader="none" w:pos="1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of any security by any person means “beneficial ownership” of such security as determined pursuant to Rule 13d-3 under the 1934 Act, including all securities as to which such person has the right to acquire, without regard to the 60-day period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forth in such rule. The terms “</w:t>
      </w:r>
      <w:r>
        <w:rPr>
          <w:rFonts w:ascii="Arial" w:cs="Arial" w:eastAsia="Arial" w:hAnsi="Arial"/>
          <w:sz w:val="18"/>
          <w:szCs w:val="18"/>
          <w:b w:val="1"/>
          <w:bCs w:val="1"/>
          <w:color w:val="auto"/>
        </w:rPr>
        <w:t>beneficially owned</w:t>
      </w:r>
      <w:r>
        <w:rPr>
          <w:rFonts w:ascii="Arial" w:cs="Arial" w:eastAsia="Arial" w:hAnsi="Arial"/>
          <w:sz w:val="18"/>
          <w:szCs w:val="18"/>
          <w:color w:val="auto"/>
        </w:rPr>
        <w:t>” and “</w:t>
      </w:r>
      <w:r>
        <w:rPr>
          <w:rFonts w:ascii="Arial" w:cs="Arial" w:eastAsia="Arial" w:hAnsi="Arial"/>
          <w:sz w:val="18"/>
          <w:szCs w:val="18"/>
          <w:b w:val="1"/>
          <w:bCs w:val="1"/>
          <w:color w:val="auto"/>
        </w:rPr>
        <w:t>beneficial owner</w:t>
      </w:r>
      <w:r>
        <w:rPr>
          <w:rFonts w:ascii="Arial" w:cs="Arial" w:eastAsia="Arial" w:hAnsi="Arial"/>
          <w:sz w:val="18"/>
          <w:szCs w:val="18"/>
          <w:color w:val="auto"/>
        </w:rPr>
        <w:t>” shall have correlative meanings.</w:t>
      </w:r>
    </w:p>
    <w:p>
      <w:pPr>
        <w:spacing w:after="0" w:line="279" w:lineRule="exact"/>
        <w:rPr>
          <w:sz w:val="20"/>
          <w:szCs w:val="20"/>
          <w:color w:val="auto"/>
        </w:rPr>
      </w:pPr>
    </w:p>
    <w:p>
      <w:pPr>
        <w:ind w:left="2000" w:hanging="695"/>
        <w:spacing w:after="0"/>
        <w:tabs>
          <w:tab w:leader="none" w:pos="20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Shares</w:t>
      </w:r>
      <w:r>
        <w:rPr>
          <w:rFonts w:ascii="Arial" w:cs="Arial" w:eastAsia="Arial" w:hAnsi="Arial"/>
          <w:sz w:val="16"/>
          <w:szCs w:val="16"/>
          <w:color w:val="auto"/>
        </w:rPr>
        <w:t>” means, with respect to any Stockholder at any time, such Stockholder’s Existing Shares and New Shares as of</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time.</w:t>
      </w:r>
    </w:p>
    <w:p>
      <w:pPr>
        <w:spacing w:after="0" w:line="260" w:lineRule="exact"/>
        <w:rPr>
          <w:rFonts w:ascii="Arial" w:cs="Arial" w:eastAsia="Arial" w:hAnsi="Arial"/>
          <w:sz w:val="16"/>
          <w:szCs w:val="16"/>
          <w:color w:val="auto"/>
        </w:rPr>
      </w:pPr>
    </w:p>
    <w:p>
      <w:pPr>
        <w:ind w:left="660" w:firstLine="645"/>
        <w:spacing w:after="0" w:line="266" w:lineRule="auto"/>
        <w:tabs>
          <w:tab w:leader="none" w:pos="2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Shares</w:t>
      </w:r>
      <w:r>
        <w:rPr>
          <w:rFonts w:ascii="Arial" w:cs="Arial" w:eastAsia="Arial" w:hAnsi="Arial"/>
          <w:sz w:val="18"/>
          <w:szCs w:val="18"/>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230" w:lineRule="exact"/>
        <w:rPr>
          <w:rFonts w:ascii="Arial" w:cs="Arial" w:eastAsia="Arial" w:hAnsi="Arial"/>
          <w:sz w:val="18"/>
          <w:szCs w:val="18"/>
          <w:color w:val="auto"/>
        </w:rPr>
      </w:pPr>
    </w:p>
    <w:p>
      <w:pPr>
        <w:jc w:val="both"/>
        <w:ind w:left="660" w:right="40" w:firstLine="645"/>
        <w:spacing w:after="0" w:line="266" w:lineRule="auto"/>
        <w:tabs>
          <w:tab w:leader="none" w:pos="195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230" w:lineRule="exact"/>
        <w:rPr>
          <w:rFonts w:ascii="Arial" w:cs="Arial" w:eastAsia="Arial" w:hAnsi="Arial"/>
          <w:sz w:val="18"/>
          <w:szCs w:val="18"/>
          <w:color w:val="auto"/>
        </w:rPr>
      </w:pPr>
    </w:p>
    <w:p>
      <w:pPr>
        <w:ind w:left="660" w:right="80" w:firstLine="645"/>
        <w:spacing w:after="0" w:line="282" w:lineRule="auto"/>
        <w:tabs>
          <w:tab w:leader="none" w:pos="2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Shares</w:t>
      </w:r>
      <w:r>
        <w:rPr>
          <w:rFonts w:ascii="Arial" w:cs="Arial" w:eastAsia="Arial" w:hAnsi="Arial"/>
          <w:sz w:val="18"/>
          <w:szCs w:val="18"/>
          <w:color w:val="auto"/>
        </w:rPr>
        <w:t>” means, with respect to any Stockholder, all shares of Parent Stock (other than shares of Parent Class A Special Common Stock) issuable upon exercise of options held by such Stockholder.</w:t>
      </w:r>
    </w:p>
    <w:p>
      <w:pPr>
        <w:spacing w:after="0" w:line="215" w:lineRule="exact"/>
        <w:rPr>
          <w:rFonts w:ascii="Arial" w:cs="Arial" w:eastAsia="Arial" w:hAnsi="Arial"/>
          <w:sz w:val="18"/>
          <w:szCs w:val="18"/>
          <w:color w:val="auto"/>
        </w:rPr>
      </w:pPr>
    </w:p>
    <w:p>
      <w:pPr>
        <w:ind w:left="2040" w:hanging="735"/>
        <w:spacing w:after="0"/>
        <w:tabs>
          <w:tab w:leader="none" w:pos="20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 Issuance</w:t>
      </w:r>
      <w:r>
        <w:rPr>
          <w:rFonts w:ascii="Arial" w:cs="Arial" w:eastAsia="Arial" w:hAnsi="Arial"/>
          <w:sz w:val="16"/>
          <w:szCs w:val="16"/>
          <w:color w:val="auto"/>
        </w:rPr>
        <w:t>” means the issuance of shares of Parent Class A Common Stock as part of the Merger Consideration.</w:t>
      </w:r>
    </w:p>
    <w:p>
      <w:pPr>
        <w:spacing w:after="0" w:line="302" w:lineRule="exact"/>
        <w:rPr>
          <w:rFonts w:ascii="Arial" w:cs="Arial" w:eastAsia="Arial" w:hAnsi="Arial"/>
          <w:sz w:val="16"/>
          <w:szCs w:val="16"/>
          <w:color w:val="auto"/>
        </w:rPr>
      </w:pPr>
    </w:p>
    <w:p>
      <w:pPr>
        <w:ind w:left="2100" w:hanging="795"/>
        <w:spacing w:after="0"/>
        <w:tabs>
          <w:tab w:leader="none" w:pos="21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Roberts</w:t>
      </w:r>
      <w:r>
        <w:rPr>
          <w:rFonts w:ascii="Arial" w:cs="Arial" w:eastAsia="Arial" w:hAnsi="Arial"/>
          <w:sz w:val="18"/>
          <w:szCs w:val="18"/>
          <w:color w:val="auto"/>
        </w:rPr>
        <w:t>” means Brian L. Roberts.</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 Family Group</w:t>
      </w:r>
      <w:r>
        <w:rPr>
          <w:rFonts w:ascii="Arial" w:cs="Arial" w:eastAsia="Arial" w:hAnsi="Arial"/>
          <w:sz w:val="16"/>
          <w:szCs w:val="16"/>
          <w:color w:val="auto"/>
        </w:rPr>
        <w:t>” means (i) Roberts, (ii) any lineal descendant or ancestor or sibling (by birth or adoption) of Roberts,</w:t>
      </w:r>
    </w:p>
    <w:p>
      <w:pPr>
        <w:spacing w:after="0" w:line="50" w:lineRule="exact"/>
        <w:rPr>
          <w:rFonts w:ascii="Arial" w:cs="Arial" w:eastAsia="Arial" w:hAnsi="Arial"/>
          <w:sz w:val="16"/>
          <w:szCs w:val="16"/>
          <w:color w:val="auto"/>
        </w:rPr>
      </w:pPr>
    </w:p>
    <w:p>
      <w:pPr>
        <w:jc w:val="both"/>
        <w:ind w:left="660" w:right="220" w:hanging="4"/>
        <w:spacing w:after="0" w:line="302" w:lineRule="auto"/>
        <w:tabs>
          <w:tab w:leader="none" w:pos="97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20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 Other Definitional and Interpretative Provisions.</w:t>
      </w:r>
      <w:r>
        <w:rPr>
          <w:rFonts w:ascii="Arial" w:cs="Arial" w:eastAsia="Arial" w:hAnsi="Arial"/>
          <w:sz w:val="18"/>
          <w:szCs w:val="18"/>
          <w:color w:val="auto"/>
        </w:rPr>
        <w:t xml:space="preserve">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03" w:name="page104"/>
    <w:bookmarkEnd w:id="103"/>
    <w:p>
      <w:pPr>
        <w:ind w:right="20"/>
        <w:spacing w:after="0" w:line="287" w:lineRule="auto"/>
        <w:rPr>
          <w:sz w:val="20"/>
          <w:szCs w:val="20"/>
          <w:color w:val="auto"/>
        </w:rPr>
      </w:pPr>
      <w:r>
        <w:rPr>
          <w:rFonts w:ascii="Arial" w:cs="Arial" w:eastAsia="Arial" w:hAnsi="Arial"/>
          <w:sz w:val="16"/>
          <w:szCs w:val="16"/>
          <w:color w:val="auto"/>
        </w:rPr>
        <w:t>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r>
        <w:rPr>
          <w:rFonts w:ascii="Arial" w:cs="Arial" w:eastAsia="Arial" w:hAnsi="Arial"/>
          <w:sz w:val="18"/>
          <w:szCs w:val="18"/>
          <w:color w:val="auto"/>
        </w:rPr>
        <w:t xml:space="preserve"> A</w:t>
      </w:r>
      <w:r>
        <w:rPr>
          <w:rFonts w:ascii="Arial" w:cs="Arial" w:eastAsia="Arial" w:hAnsi="Arial"/>
          <w:sz w:val="12"/>
          <w:szCs w:val="12"/>
          <w:color w:val="auto"/>
        </w:rPr>
        <w:t>GREEMENT AND</w:t>
      </w:r>
      <w:r>
        <w:rPr>
          <w:rFonts w:ascii="Arial" w:cs="Arial" w:eastAsia="Arial" w:hAnsi="Arial"/>
          <w:sz w:val="18"/>
          <w:szCs w:val="18"/>
          <w:color w:val="auto"/>
        </w:rPr>
        <w:t xml:space="preserve"> I</w:t>
      </w:r>
      <w:r>
        <w:rPr>
          <w:rFonts w:ascii="Arial" w:cs="Arial" w:eastAsia="Arial" w:hAnsi="Arial"/>
          <w:sz w:val="12"/>
          <w:szCs w:val="12"/>
          <w:color w:val="auto"/>
        </w:rPr>
        <w:t>RREVOCABLE</w:t>
      </w:r>
      <w:r>
        <w:rPr>
          <w:rFonts w:ascii="Arial" w:cs="Arial" w:eastAsia="Arial" w:hAnsi="Arial"/>
          <w:sz w:val="18"/>
          <w:szCs w:val="18"/>
          <w:color w:val="auto"/>
        </w:rPr>
        <w:t xml:space="preserve"> P</w:t>
      </w:r>
      <w:r>
        <w:rPr>
          <w:rFonts w:ascii="Arial" w:cs="Arial" w:eastAsia="Arial" w:hAnsi="Arial"/>
          <w:sz w:val="12"/>
          <w:szCs w:val="12"/>
          <w:color w:val="auto"/>
        </w:rPr>
        <w:t>ROXY</w:t>
      </w:r>
    </w:p>
    <w:p>
      <w:pPr>
        <w:spacing w:after="0" w:line="2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to Vote</w:t>
      </w:r>
      <w:r>
        <w:rPr>
          <w:rFonts w:ascii="Arial" w:cs="Arial" w:eastAsia="Arial" w:hAnsi="Arial"/>
          <w:sz w:val="16"/>
          <w:szCs w:val="16"/>
          <w:color w:val="auto"/>
        </w:rPr>
        <w:t>.</w:t>
      </w:r>
    </w:p>
    <w:p>
      <w:pPr>
        <w:spacing w:after="0" w:line="279" w:lineRule="exact"/>
        <w:rPr>
          <w:sz w:val="20"/>
          <w:szCs w:val="20"/>
          <w:color w:val="auto"/>
        </w:rPr>
      </w:pPr>
    </w:p>
    <w:p>
      <w:pPr>
        <w:ind w:firstLine="980"/>
        <w:spacing w:after="0" w:line="254" w:lineRule="auto"/>
        <w:tabs>
          <w:tab w:leader="none" w:pos="160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4" w:name="page105"/>
    <w:bookmarkEnd w:id="104"/>
    <w:p>
      <w:pPr>
        <w:ind w:firstLine="980"/>
        <w:spacing w:after="0" w:line="257" w:lineRule="auto"/>
        <w:tabs>
          <w:tab w:leader="none" w:pos="161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242" w:lineRule="exact"/>
        <w:rPr>
          <w:rFonts w:ascii="Arial" w:cs="Arial" w:eastAsia="Arial" w:hAnsi="Arial"/>
          <w:sz w:val="18"/>
          <w:szCs w:val="18"/>
          <w:color w:val="auto"/>
        </w:rPr>
      </w:pPr>
    </w:p>
    <w:p>
      <w:pPr>
        <w:ind w:left="660" w:right="280" w:firstLine="645"/>
        <w:spacing w:after="0" w:line="277" w:lineRule="auto"/>
        <w:tabs>
          <w:tab w:leader="none" w:pos="191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favor of the approval of the Parent Stock Issuance (other than in respect of the separate approval right of the holders of Parent Class B Common Stock that is the subject of Section 2.01(a));</w:t>
      </w:r>
    </w:p>
    <w:p>
      <w:pPr>
        <w:spacing w:after="0" w:line="224" w:lineRule="exact"/>
        <w:rPr>
          <w:rFonts w:ascii="Arial" w:cs="Arial" w:eastAsia="Arial" w:hAnsi="Arial"/>
          <w:sz w:val="18"/>
          <w:szCs w:val="18"/>
          <w:color w:val="auto"/>
        </w:rPr>
      </w:pPr>
    </w:p>
    <w:p>
      <w:pPr>
        <w:ind w:left="660" w:right="100" w:firstLine="645"/>
        <w:spacing w:after="0" w:line="286" w:lineRule="auto"/>
        <w:tabs>
          <w:tab w:leader="none" w:pos="19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219" w:lineRule="exact"/>
        <w:rPr>
          <w:rFonts w:ascii="Arial" w:cs="Arial" w:eastAsia="Arial" w:hAnsi="Arial"/>
          <w:sz w:val="17"/>
          <w:szCs w:val="17"/>
          <w:color w:val="auto"/>
        </w:rPr>
      </w:pPr>
    </w:p>
    <w:p>
      <w:pPr>
        <w:ind w:left="660" w:right="100" w:firstLine="645"/>
        <w:spacing w:after="0" w:line="277" w:lineRule="auto"/>
        <w:tabs>
          <w:tab w:leader="none" w:pos="201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against any corporate action the consummation of which would frustrate the purposes of, or prevent or impede the consummation of, the transactions contemplated by the Merger Agreement.</w:t>
      </w:r>
    </w:p>
    <w:p>
      <w:pPr>
        <w:spacing w:after="0" w:line="224" w:lineRule="exact"/>
        <w:rPr>
          <w:rFonts w:ascii="Arial" w:cs="Arial" w:eastAsia="Arial" w:hAnsi="Arial"/>
          <w:sz w:val="18"/>
          <w:szCs w:val="18"/>
          <w:color w:val="auto"/>
        </w:rPr>
      </w:pPr>
    </w:p>
    <w:p>
      <w:pPr>
        <w:ind w:right="40" w:firstLine="980"/>
        <w:spacing w:after="0" w:line="264" w:lineRule="auto"/>
        <w:tabs>
          <w:tab w:leader="none" w:pos="160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Certain Procedural Matters</w:t>
      </w:r>
      <w:r>
        <w:rPr>
          <w:rFonts w:ascii="Arial" w:cs="Arial" w:eastAsia="Arial" w:hAnsi="Arial"/>
          <w:sz w:val="18"/>
          <w:szCs w:val="18"/>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235" w:lineRule="exact"/>
        <w:rPr>
          <w:rFonts w:ascii="Arial" w:cs="Arial" w:eastAsia="Arial" w:hAnsi="Arial"/>
          <w:sz w:val="18"/>
          <w:szCs w:val="18"/>
          <w:color w:val="auto"/>
        </w:rPr>
      </w:pPr>
    </w:p>
    <w:p>
      <w:pPr>
        <w:ind w:right="40" w:firstLine="980"/>
        <w:spacing w:after="0" w:line="312" w:lineRule="auto"/>
        <w:tabs>
          <w:tab w:leader="none" w:pos="16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Options or Other Rights</w:t>
      </w:r>
      <w:r>
        <w:rPr>
          <w:rFonts w:ascii="Arial" w:cs="Arial" w:eastAsia="Arial" w:hAnsi="Arial"/>
          <w:sz w:val="16"/>
          <w:szCs w:val="16"/>
          <w:color w:val="auto"/>
        </w:rPr>
        <w:t>. Nothing contained in this Section 2.01 shall require any Stockholder (i) 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20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2.02 . </w:t>
      </w:r>
      <w:r>
        <w:rPr>
          <w:rFonts w:ascii="Arial" w:cs="Arial" w:eastAsia="Arial" w:hAnsi="Arial"/>
          <w:sz w:val="16"/>
          <w:szCs w:val="16"/>
          <w:i w:val="1"/>
          <w:iCs w:val="1"/>
          <w:color w:val="auto"/>
        </w:rPr>
        <w:t>Irrevocable Proxy</w:t>
      </w:r>
      <w:r>
        <w:rPr>
          <w:rFonts w:ascii="Arial" w:cs="Arial" w:eastAsia="Arial" w:hAnsi="Arial"/>
          <w:sz w:val="16"/>
          <w:szCs w:val="16"/>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5" w:name="page106"/>
    <w:bookmarkEnd w:id="105"/>
    <w:p>
      <w:pPr>
        <w:ind w:right="200"/>
        <w:spacing w:after="0" w:line="272" w:lineRule="auto"/>
        <w:rPr>
          <w:sz w:val="20"/>
          <w:szCs w:val="20"/>
          <w:color w:val="auto"/>
        </w:rPr>
      </w:pPr>
      <w:r>
        <w:rPr>
          <w:rFonts w:ascii="Arial" w:cs="Arial" w:eastAsia="Arial" w:hAnsi="Arial"/>
          <w:sz w:val="17"/>
          <w:szCs w:val="17"/>
          <w:color w:val="auto"/>
        </w:rPr>
        <w:t>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EACH</w:t>
      </w:r>
      <w:r>
        <w:rPr>
          <w:rFonts w:ascii="Arial" w:cs="Arial" w:eastAsia="Arial" w:hAnsi="Arial"/>
          <w:sz w:val="18"/>
          <w:szCs w:val="18"/>
          <w:color w:val="auto"/>
        </w:rPr>
        <w:t xml:space="preserve"> S</w:t>
      </w:r>
      <w:r>
        <w:rPr>
          <w:rFonts w:ascii="Arial" w:cs="Arial" w:eastAsia="Arial" w:hAnsi="Arial"/>
          <w:sz w:val="12"/>
          <w:szCs w:val="12"/>
          <w:color w:val="auto"/>
        </w:rPr>
        <w:t>TOCKHOLDER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Stockholder represents and warrants to the Company that:</w:t>
      </w:r>
    </w:p>
    <w:p>
      <w:pPr>
        <w:spacing w:after="0" w:line="2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 Organization.</w:t>
      </w:r>
      <w:r>
        <w:rPr>
          <w:rFonts w:ascii="Arial" w:cs="Arial" w:eastAsia="Arial" w:hAnsi="Arial"/>
          <w:sz w:val="18"/>
          <w:szCs w:val="18"/>
          <w:color w:val="auto"/>
        </w:rPr>
        <w:t xml:space="preserve"> Such Stockholder, if it is a corporation, partnership, limited liability company, trust or other entity, is duly organized and validly existing and in good standing under the laws of the jurisdiction of its organization.</w:t>
      </w:r>
    </w:p>
    <w:p>
      <w:pPr>
        <w:spacing w:after="0" w:line="2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 Authorization</w:t>
      </w:r>
      <w:r>
        <w:rPr>
          <w:rFonts w:ascii="Arial" w:cs="Arial" w:eastAsia="Arial" w:hAnsi="Arial"/>
          <w:sz w:val="18"/>
          <w:szCs w:val="18"/>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2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 No Conflict; Required Filings and Consents</w:t>
      </w:r>
      <w:r>
        <w:rPr>
          <w:rFonts w:ascii="Arial" w:cs="Arial" w:eastAsia="Arial" w:hAnsi="Arial"/>
          <w:sz w:val="16"/>
          <w:szCs w:val="16"/>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 (iii) require any consent or other action by any person under, constitute a default under, or give rise to any right of termination, cancellation or acceleration or to a loss of any benefit or right to which such Stockholder is entitled under, any provision of any agreement or other instrument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6" w:name="page107"/>
    <w:bookmarkEnd w:id="106"/>
    <w:p>
      <w:pPr>
        <w:spacing w:after="0" w:line="272" w:lineRule="auto"/>
        <w:rPr>
          <w:sz w:val="20"/>
          <w:szCs w:val="20"/>
          <w:color w:val="auto"/>
        </w:rPr>
      </w:pPr>
      <w:r>
        <w:rPr>
          <w:rFonts w:ascii="Arial" w:cs="Arial" w:eastAsia="Arial" w:hAnsi="Arial"/>
          <w:sz w:val="17"/>
          <w:szCs w:val="17"/>
          <w:color w:val="auto"/>
        </w:rPr>
        <w:t>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23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 Ownership of Shares</w:t>
      </w:r>
      <w:r>
        <w:rPr>
          <w:rFonts w:ascii="Arial" w:cs="Arial" w:eastAsia="Arial" w:hAnsi="Arial"/>
          <w:sz w:val="17"/>
          <w:szCs w:val="17"/>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 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23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 Total Shares</w:t>
      </w:r>
      <w:r>
        <w:rPr>
          <w:rFonts w:ascii="Arial" w:cs="Arial" w:eastAsia="Arial" w:hAnsi="Arial"/>
          <w:sz w:val="18"/>
          <w:szCs w:val="18"/>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24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 Opportunity to Review; Reliance.</w:t>
      </w:r>
      <w:r>
        <w:rPr>
          <w:rFonts w:ascii="Arial" w:cs="Arial" w:eastAsia="Arial" w:hAnsi="Arial"/>
          <w:sz w:val="17"/>
          <w:szCs w:val="17"/>
          <w:color w:val="auto"/>
        </w:rPr>
        <w:t xml:space="preserve">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each Stockholder that:</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 Authorization</w:t>
      </w:r>
      <w:r>
        <w:rPr>
          <w:rFonts w:ascii="Arial" w:cs="Arial" w:eastAsia="Arial" w:hAnsi="Arial"/>
          <w:sz w:val="18"/>
          <w:szCs w:val="18"/>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24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4.02 . No </w:t>
      </w:r>
      <w:r>
        <w:rPr>
          <w:rFonts w:ascii="Arial" w:cs="Arial" w:eastAsia="Arial" w:hAnsi="Arial"/>
          <w:sz w:val="17"/>
          <w:szCs w:val="17"/>
          <w:i w:val="1"/>
          <w:iCs w:val="1"/>
          <w:color w:val="auto"/>
        </w:rPr>
        <w:t>Conflict; Required Filings and Consents</w:t>
      </w:r>
      <w:r>
        <w:rPr>
          <w:rFonts w:ascii="Arial" w:cs="Arial" w:eastAsia="Arial" w:hAnsi="Arial"/>
          <w:sz w:val="17"/>
          <w:szCs w:val="17"/>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 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 (v) result in the 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OF EACH</w:t>
      </w:r>
      <w:r>
        <w:rPr>
          <w:rFonts w:ascii="Arial" w:cs="Arial" w:eastAsia="Arial" w:hAnsi="Arial"/>
          <w:sz w:val="18"/>
          <w:szCs w:val="18"/>
          <w:color w:val="auto"/>
        </w:rPr>
        <w:t xml:space="preserve"> S</w:t>
      </w:r>
      <w:r>
        <w:rPr>
          <w:rFonts w:ascii="Arial" w:cs="Arial" w:eastAsia="Arial" w:hAnsi="Arial"/>
          <w:sz w:val="12"/>
          <w:szCs w:val="12"/>
          <w:color w:val="auto"/>
        </w:rPr>
        <w:t>TOCKHOLDER</w:t>
      </w:r>
    </w:p>
    <w:p>
      <w:pPr>
        <w:spacing w:after="0" w:line="2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 Restrictions on Transfer</w:t>
      </w:r>
      <w:r>
        <w:rPr>
          <w:rFonts w:ascii="Arial" w:cs="Arial" w:eastAsia="Arial" w:hAnsi="Arial"/>
          <w:sz w:val="17"/>
          <w:szCs w:val="17"/>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7"/>
          <w:szCs w:val="17"/>
          <w:b w:val="1"/>
          <w:bCs w:val="1"/>
          <w:color w:val="auto"/>
        </w:rPr>
        <w:t>Transfer</w:t>
      </w:r>
      <w:r>
        <w:rPr>
          <w:rFonts w:ascii="Arial" w:cs="Arial" w:eastAsia="Arial" w:hAnsi="Arial"/>
          <w:sz w:val="17"/>
          <w:szCs w:val="17"/>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8" w:name="page109"/>
    <w:bookmarkEnd w:id="108"/>
    <w:p>
      <w:pPr>
        <w:ind w:right="220"/>
        <w:spacing w:after="0" w:line="277" w:lineRule="auto"/>
        <w:rPr>
          <w:sz w:val="20"/>
          <w:szCs w:val="20"/>
          <w:color w:val="auto"/>
        </w:rPr>
      </w:pPr>
      <w:r>
        <w:rPr>
          <w:rFonts w:ascii="Arial" w:cs="Arial" w:eastAsia="Arial" w:hAnsi="Arial"/>
          <w:sz w:val="18"/>
          <w:szCs w:val="18"/>
          <w:color w:val="auto"/>
        </w:rPr>
        <w:t>Stockholder of any shares of Parent Class A Common Stock or Parent Class A Special Common Stock or any voting rights with respect thereto or the entry into any contract, option or other arrangement or understanding with respect thereto.</w:t>
      </w:r>
    </w:p>
    <w:p>
      <w:pPr>
        <w:spacing w:after="0" w:line="224" w:lineRule="exact"/>
        <w:rPr>
          <w:sz w:val="20"/>
          <w:szCs w:val="20"/>
          <w:color w:val="auto"/>
        </w:rPr>
      </w:pPr>
    </w:p>
    <w:p>
      <w:pPr>
        <w:ind w:right="20" w:firstLine="980"/>
        <w:spacing w:after="0" w:line="291" w:lineRule="auto"/>
        <w:tabs>
          <w:tab w:leader="none" w:pos="139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Section 5.01(a) (but subject to the immediately succeeding sentence), each Stockholder may Transfer any or all of such Stockholder’s Parent Class B Common Stock (the “</w:t>
      </w:r>
      <w:r>
        <w:rPr>
          <w:rFonts w:ascii="Arial" w:cs="Arial" w:eastAsia="Arial" w:hAnsi="Arial"/>
          <w:sz w:val="16"/>
          <w:szCs w:val="16"/>
          <w:b w:val="1"/>
          <w:bCs w:val="1"/>
          <w:color w:val="auto"/>
        </w:rPr>
        <w:t>Permitted Transfer Securities</w:t>
      </w:r>
      <w:r>
        <w:rPr>
          <w:rFonts w:ascii="Arial" w:cs="Arial" w:eastAsia="Arial" w:hAnsi="Arial"/>
          <w:sz w:val="16"/>
          <w:szCs w:val="16"/>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 (i) and (ii) that is not already a “Stockholder” hereunder shall be deemed to be a “Stockholder” for purposes of this Agreement.</w:t>
      </w:r>
    </w:p>
    <w:p>
      <w:pPr>
        <w:spacing w:after="0" w:line="22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5.02 . </w:t>
      </w:r>
      <w:r>
        <w:rPr>
          <w:rFonts w:ascii="Arial" w:cs="Arial" w:eastAsia="Arial" w:hAnsi="Arial"/>
          <w:sz w:val="17"/>
          <w:szCs w:val="17"/>
          <w:i w:val="1"/>
          <w:iCs w:val="1"/>
          <w:color w:val="auto"/>
        </w:rPr>
        <w:t>No Conversion</w:t>
      </w:r>
      <w:r>
        <w:rPr>
          <w:rFonts w:ascii="Arial" w:cs="Arial" w:eastAsia="Arial" w:hAnsi="Arial"/>
          <w:sz w:val="17"/>
          <w:szCs w:val="17"/>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22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 No Proxies</w:t>
      </w:r>
      <w:r>
        <w:rPr>
          <w:rFonts w:ascii="Arial" w:cs="Arial" w:eastAsia="Arial" w:hAnsi="Arial"/>
          <w:sz w:val="18"/>
          <w:szCs w:val="18"/>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w:t>
      </w:r>
    </w:p>
    <w:p>
      <w:pPr>
        <w:spacing w:after="0" w:line="2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 Termination</w:t>
      </w:r>
      <w:r>
        <w:rPr>
          <w:rFonts w:ascii="Arial" w:cs="Arial" w:eastAsia="Arial" w:hAnsi="Arial"/>
          <w:sz w:val="16"/>
          <w:szCs w:val="16"/>
          <w:color w:val="auto"/>
        </w:rPr>
        <w:t>. This Agreement and all obligations of the parties hereunder shall automatically terminate upon the earliest to occur of</w:t>
      </w:r>
    </w:p>
    <w:p>
      <w:pPr>
        <w:spacing w:after="0" w:line="23" w:lineRule="exact"/>
        <w:rPr>
          <w:sz w:val="20"/>
          <w:szCs w:val="20"/>
          <w:color w:val="auto"/>
        </w:rPr>
      </w:pPr>
    </w:p>
    <w:p>
      <w:pPr>
        <w:ind w:right="40" w:firstLine="8"/>
        <w:spacing w:after="0" w:line="271" w:lineRule="auto"/>
        <w:tabs>
          <w:tab w:leader="none" w:pos="24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 (A) 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9" w:name="page110"/>
    <w:bookmarkEnd w:id="109"/>
    <w:p>
      <w:pPr>
        <w:spacing w:after="0" w:line="302" w:lineRule="auto"/>
        <w:rPr>
          <w:sz w:val="20"/>
          <w:szCs w:val="20"/>
          <w:color w:val="auto"/>
        </w:rPr>
      </w:pPr>
      <w:r>
        <w:rPr>
          <w:rFonts w:ascii="Arial" w:cs="Arial" w:eastAsia="Arial" w:hAnsi="Arial"/>
          <w:sz w:val="16"/>
          <w:szCs w:val="16"/>
          <w:color w:val="auto"/>
        </w:rPr>
        <w:t xml:space="preserve">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6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 Further Assurances</w:t>
      </w:r>
      <w:r>
        <w:rPr>
          <w:rFonts w:ascii="Arial" w:cs="Arial" w:eastAsia="Arial" w:hAnsi="Arial"/>
          <w:sz w:val="18"/>
          <w:szCs w:val="18"/>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23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and other communications to any party hereunder shall be in writing (including facsimile transmission) and shall be given, if to the Company, 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364-8459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Attention:</w:t>
        <w:tab/>
        <w:t>Robert B. Schumer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757-3990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a Stockholder, to such Stockholder and its counsel at their respective addresses or facsimile numbers set forth on the applicable signature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0" w:name="page111"/>
    <w:bookmarkEnd w:id="110"/>
    <w:p>
      <w:pPr>
        <w:ind w:right="200"/>
        <w:spacing w:after="0" w:line="277" w:lineRule="auto"/>
        <w:rPr>
          <w:sz w:val="20"/>
          <w:szCs w:val="20"/>
          <w:color w:val="auto"/>
        </w:rPr>
      </w:pPr>
      <w:r>
        <w:rPr>
          <w:rFonts w:ascii="Arial" w:cs="Arial" w:eastAsia="Arial" w:hAnsi="Arial"/>
          <w:sz w:val="18"/>
          <w:szCs w:val="18"/>
          <w:color w:val="auto"/>
        </w:rPr>
        <w:t>receipt. Otherwise, any such notice, request or communication shall be deemed to have been received on the next succeeding Business Day in the place of receipt.</w:t>
      </w:r>
    </w:p>
    <w:p>
      <w:pPr>
        <w:spacing w:after="0" w:line="22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 Covered Shares Held in Trust</w:t>
      </w:r>
      <w:r>
        <w:rPr>
          <w:rFonts w:ascii="Arial" w:cs="Arial" w:eastAsia="Arial" w:hAnsi="Arial"/>
          <w:sz w:val="18"/>
          <w:szCs w:val="18"/>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 Amendments and Waivers</w:t>
      </w:r>
      <w:r>
        <w:rPr>
          <w:rFonts w:ascii="Arial" w:cs="Arial" w:eastAsia="Arial" w:hAnsi="Arial"/>
          <w:sz w:val="18"/>
          <w:szCs w:val="18"/>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235" w:lineRule="exact"/>
        <w:rPr>
          <w:sz w:val="20"/>
          <w:szCs w:val="20"/>
          <w:color w:val="auto"/>
        </w:rPr>
      </w:pPr>
    </w:p>
    <w:p>
      <w:pPr>
        <w:ind w:right="120" w:firstLine="656"/>
        <w:spacing w:after="0" w:line="264" w:lineRule="auto"/>
        <w:tabs>
          <w:tab w:leader="none" w:pos="107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3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 Documentation and Information.</w:t>
      </w:r>
      <w:r>
        <w:rPr>
          <w:rFonts w:ascii="Arial" w:cs="Arial" w:eastAsia="Arial" w:hAnsi="Arial"/>
          <w:sz w:val="16"/>
          <w:szCs w:val="16"/>
          <w:color w:val="auto"/>
        </w:rPr>
        <w:t xml:space="preserve">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give such Stockholders and its legal counsel a reasonable opportunity to review and comment on such publications or disclosure prior to their being made public, and the Company shall consider in good faith all comments of such Stockholder in connection therewith.</w:t>
      </w:r>
    </w:p>
    <w:p>
      <w:pPr>
        <w:spacing w:after="0" w:line="22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 Other Capacities.</w:t>
      </w:r>
      <w:r>
        <w:rPr>
          <w:rFonts w:ascii="Arial" w:cs="Arial" w:eastAsia="Arial" w:hAnsi="Arial"/>
          <w:sz w:val="18"/>
          <w:szCs w:val="18"/>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1" w:name="page112"/>
    <w:bookmarkEnd w:id="111"/>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7.08 .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23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 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5.01(b), no party may assign, delegate or otherwise transfer any of its rights or obligations under this Agreement without the consent of the other parties hereto.</w:t>
      </w:r>
    </w:p>
    <w:p>
      <w:pPr>
        <w:spacing w:after="0" w:line="23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2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 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24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i w:val="1"/>
          <w:iCs w:val="1"/>
          <w:color w:val="auto"/>
        </w:rPr>
        <w:t>. 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i w:val="1"/>
          <w:iCs w:val="1"/>
          <w:color w:val="auto"/>
        </w:rPr>
        <w:t>. Jurisdiction</w:t>
      </w:r>
      <w:r>
        <w:rPr>
          <w:rFonts w:ascii="Arial" w:cs="Arial" w:eastAsia="Arial" w:hAnsi="Arial"/>
          <w:sz w:val="17"/>
          <w:szCs w:val="17"/>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2" w:name="page113"/>
    <w:bookmarkEnd w:id="112"/>
    <w:p>
      <w:pPr>
        <w:ind w:right="100"/>
        <w:spacing w:after="0" w:line="302" w:lineRule="auto"/>
        <w:rPr>
          <w:sz w:val="20"/>
          <w:szCs w:val="20"/>
          <w:color w:val="auto"/>
        </w:rPr>
      </w:pPr>
      <w:r>
        <w:rPr>
          <w:rFonts w:ascii="Arial" w:cs="Arial" w:eastAsia="Arial" w:hAnsi="Arial"/>
          <w:sz w:val="16"/>
          <w:szCs w:val="16"/>
          <w:color w:val="auto"/>
        </w:rPr>
        <w:t>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7.14 .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2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 Specific Performance.</w:t>
      </w:r>
      <w:r>
        <w:rPr>
          <w:rFonts w:ascii="Arial" w:cs="Arial" w:eastAsia="Arial" w:hAnsi="Arial"/>
          <w:sz w:val="18"/>
          <w:szCs w:val="18"/>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i w:val="1"/>
          <w:iCs w:val="1"/>
          <w:color w:val="auto"/>
        </w:rPr>
        <w:t>. No Ownership Interest.</w:t>
      </w:r>
      <w:r>
        <w:rPr>
          <w:rFonts w:ascii="Arial" w:cs="Arial" w:eastAsia="Arial" w:hAnsi="Arial"/>
          <w:sz w:val="18"/>
          <w:szCs w:val="18"/>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page is the signature page]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T. Minson, Jr.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T. Minson, Jr.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w w:val="94"/>
              </w:rPr>
              <w:t>Executive Vice President and Chief Financial</w:t>
            </w:r>
          </w:p>
        </w:tc>
      </w:tr>
      <w:tr>
        <w:trPr>
          <w:trHeight w:val="230"/>
        </w:trPr>
        <w:tc>
          <w:tcPr>
            <w:tcW w:w="56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760" w:right="1379" w:bottom="1440" w:gutter="0" w:footer="0" w:header="0"/>
        </w:sectPr>
      </w:pPr>
    </w:p>
    <w:bookmarkStart w:id="114" w:name="page115"/>
    <w:bookmarkEnd w:id="114"/>
    <w:p>
      <w:pPr>
        <w:ind w:left="49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Brian L. Roberts</w:t>
      </w:r>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 Comcast Corporation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15" w:name="page116"/>
    <w:bookmarkEnd w:id="115"/>
    <w:p>
      <w:pPr>
        <w:ind w:left="4520"/>
        <w:spacing w:after="0"/>
        <w:rPr>
          <w:sz w:val="20"/>
          <w:szCs w:val="20"/>
          <w:color w:val="auto"/>
        </w:rPr>
      </w:pPr>
      <w:r>
        <w:rPr>
          <w:rFonts w:ascii="Arial" w:cs="Arial" w:eastAsia="Arial" w:hAnsi="Arial"/>
          <w:sz w:val="18"/>
          <w:szCs w:val="18"/>
          <w:color w:val="auto"/>
        </w:rPr>
        <w:t>BRCC Holdings LLC</w:t>
      </w:r>
    </w:p>
    <w:p>
      <w:pPr>
        <w:spacing w:after="0" w:line="200" w:lineRule="exact"/>
        <w:rPr>
          <w:sz w:val="20"/>
          <w:szCs w:val="20"/>
          <w:color w:val="auto"/>
        </w:rPr>
      </w:pPr>
    </w:p>
    <w:p>
      <w:pPr>
        <w:spacing w:after="0" w:line="241" w:lineRule="exact"/>
        <w:rPr>
          <w:sz w:val="20"/>
          <w:szCs w:val="20"/>
          <w:color w:val="auto"/>
        </w:rPr>
      </w:pPr>
    </w:p>
    <w:p>
      <w:pPr>
        <w:jc w:val="both"/>
        <w:ind w:left="4520"/>
        <w:spacing w:after="0"/>
        <w:tabs>
          <w:tab w:leader="none" w:pos="4960" w:val="left"/>
        </w:tabs>
        <w:rPr>
          <w:sz w:val="20"/>
          <w:szCs w:val="20"/>
          <w:color w:val="auto"/>
        </w:rPr>
      </w:pPr>
      <w:r>
        <w:rPr>
          <w:rFonts w:ascii="Arial" w:cs="Arial" w:eastAsia="Arial" w:hAnsi="Arial"/>
          <w:sz w:val="18"/>
          <w:szCs w:val="18"/>
          <w:color w:val="auto"/>
        </w:rPr>
        <w:t>By:</w:t>
        <w:tab/>
        <w:t>/s/ Brian L. Roberts</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22"/>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Brian L. Roberts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1105 North Market Street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Suite 1300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 Box 8985</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Wilmington,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593725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80"/>
          </w:cols>
          <w:pgMar w:left="1440" w:top="517" w:right="1379" w:bottom="1440" w:gutter="0" w:footer="0" w:header="0"/>
        </w:sectPr>
      </w:pPr>
    </w:p>
    <w:bookmarkStart w:id="116" w:name="page117"/>
    <w:bookmarkEnd w:id="116"/>
    <w:p>
      <w:pPr>
        <w:ind w:left="4520"/>
        <w:spacing w:after="0" w:line="277" w:lineRule="auto"/>
        <w:rPr>
          <w:sz w:val="20"/>
          <w:szCs w:val="20"/>
          <w:color w:val="auto"/>
        </w:rPr>
      </w:pPr>
      <w:r>
        <w:rPr>
          <w:rFonts w:ascii="Arial" w:cs="Arial" w:eastAsia="Arial" w:hAnsi="Arial"/>
          <w:sz w:val="18"/>
          <w:szCs w:val="18"/>
          <w:color w:val="auto"/>
        </w:rPr>
        <w:t>Irrevocable Deed of Trust of Brian L. Roberts for Children and Other Issue dated June 10, 1998</w:t>
      </w:r>
    </w:p>
    <w:p>
      <w:pPr>
        <w:spacing w:after="0" w:line="38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Name:</w:t>
        <w:tab/>
        <w:t>Sheldon M. Bonovitz</w:t>
      </w:r>
    </w:p>
    <w:p>
      <w:pPr>
        <w:spacing w:after="0" w:line="23"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 Christiana Trust, Trustee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Greenville Center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3801 Kennett Pike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Suite C200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438785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60"/>
          </w:cols>
          <w:pgMar w:left="1440" w:top="760" w:right="1399" w:bottom="1440" w:gutter="0" w:footer="0" w:header="0"/>
        </w:sectPr>
      </w:pPr>
    </w:p>
    <w:bookmarkStart w:id="117" w:name="page118"/>
    <w:bookmarkEnd w:id="117"/>
    <w:p>
      <w:pPr>
        <w:ind w:left="4520"/>
        <w:spacing w:after="0"/>
        <w:rPr>
          <w:sz w:val="20"/>
          <w:szCs w:val="20"/>
          <w:color w:val="auto"/>
        </w:rPr>
      </w:pPr>
      <w:r>
        <w:rPr>
          <w:rFonts w:ascii="Arial" w:cs="Arial" w:eastAsia="Arial" w:hAnsi="Arial"/>
          <w:sz w:val="16"/>
          <w:szCs w:val="16"/>
          <w:color w:val="auto"/>
        </w:rPr>
        <w:t>Irrevocable Deed of Trust of Ralph J. Roberts for Brian L.</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Roberts and Other Beneficiaries dated May 11, 1993</w:t>
      </w:r>
    </w:p>
    <w:p>
      <w:pPr>
        <w:spacing w:after="0" w:line="200" w:lineRule="exact"/>
        <w:rPr>
          <w:sz w:val="20"/>
          <w:szCs w:val="20"/>
          <w:color w:val="auto"/>
        </w:rPr>
      </w:pPr>
    </w:p>
    <w:p>
      <w:pPr>
        <w:spacing w:after="0" w:line="238"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Name:</w:t>
        <w:tab/>
        <w:t>Brian L. Roberts</w:t>
      </w:r>
    </w:p>
    <w:p>
      <w:pPr>
        <w:spacing w:after="0" w:line="23"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26073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Name:</w:t>
        <w:tab/>
        <w:t>Sheldon M. Bonovitz</w:t>
      </w:r>
    </w:p>
    <w:p>
      <w:pPr>
        <w:spacing w:after="0" w:line="23"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 Sheldon M. Bonovitz, Trustee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Duane Morris LLP</w:t>
      </w:r>
    </w:p>
    <w:p>
      <w:pPr>
        <w:ind w:left="4520"/>
        <w:spacing w:after="0" w:line="189" w:lineRule="auto"/>
        <w:rPr>
          <w:sz w:val="20"/>
          <w:szCs w:val="20"/>
          <w:color w:val="auto"/>
        </w:rPr>
      </w:pPr>
      <w:r>
        <w:rPr>
          <w:rFonts w:ascii="Arial" w:cs="Arial" w:eastAsia="Arial" w:hAnsi="Arial"/>
          <w:sz w:val="18"/>
          <w:szCs w:val="18"/>
          <w:color w:val="auto"/>
        </w:rPr>
        <w:t>30 South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4520"/>
        <w:spacing w:after="0"/>
        <w:rPr>
          <w:sz w:val="20"/>
          <w:szCs w:val="20"/>
          <w:color w:val="auto"/>
        </w:rPr>
      </w:pPr>
      <w:r>
        <w:rPr>
          <w:rFonts w:ascii="Arial" w:cs="Arial" w:eastAsia="Arial" w:hAnsi="Arial"/>
          <w:sz w:val="18"/>
          <w:szCs w:val="18"/>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542290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1449070"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51435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320040</wp:posOffset>
            </wp:positionV>
            <wp:extent cx="1269365" cy="574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93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 TO MERGE WITH COMCAST CORPORATION TO CREATE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WORLD-CLASS TECHNOLOGY AND MEDIA COMPANY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Strategic Combination Will Accelerate Delivery of Comcast’s Technologically Advanced Products and Services to Time Warner Cable’s Customers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Creates Multiple Pro-Consumer and Pro-Competitive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Including for Small and Medium-Sized Businesses</w:t>
      </w:r>
    </w:p>
    <w:p>
      <w:pPr>
        <w:spacing w:after="0" w:line="2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PHILADELPHIA and NEW YORK – (February 13, 2014) -- </w:t>
      </w:r>
      <w:r>
        <w:rPr>
          <w:rFonts w:ascii="Arial" w:cs="Arial" w:eastAsia="Arial" w:hAnsi="Arial"/>
          <w:sz w:val="18"/>
          <w:szCs w:val="18"/>
          <w:color w:val="auto"/>
        </w:rPr>
        <w:t>Comcast Corporation (Nasdaq: CMCSA, CMCSK) and Time Warner Cable (NYSE: TWC)</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their Boards of Directors have approved a definitive agreement for Time Warner Cable to merge with Comcast. The agreement is a friendly, stock-for-stock transaction in which Comcast will acquire 100 percent of Time Warner Cable’s 284.9 million shares outstanding for shares of CMCSA amounting to approximately $45.2 billion in equity value. Each Time Warner Cable share will be exchanged for 2.875 shares of CMCSA, equal to Time Warner Cable shareholders owning approximately 23 percent of Comcast’s common stock, with a value to Time Warner Cable shareholders of approximately $158.82 per share based on the last closing price of Comcast shares. The transaction will generate approximately $1.5 billion in operating efficiencies and will be accretive to Comcast’s free cash flow per share while preserving balance sheet strength. The merger will also be tax free to Time Warner Cable shareholders.</w:t>
      </w:r>
    </w:p>
    <w:p>
      <w:pPr>
        <w:spacing w:after="0" w:line="2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transaction will create a leading technology and innovation company, differentiated by its ability to deliver ground-breaking products on a superior network while leveraging a national platform to create operating efficiencies and economies of scale.</w:t>
      </w:r>
    </w:p>
    <w:p>
      <w:pPr>
        <w:spacing w:after="0" w:line="1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combination of Time Warner Cable and Comcast creates an exciting opportunity for our company, for our customers, and for our shareholders,” said Brian L. Roberts, Chairman and Chief Executive Officer, Comcast Corporation. “In addition to creating a world-class company, this is a compelling financial and strategic transaction for our shareholders. Also, it is our intention to expand our buyback program by an additional $10 billion at the close of the transaction. We believe there are meaningful operational efficiencies and the adjusted purchase multiple is approximately 6.7x Operating Cash Flow. This transaction will be accretive and will yield many synergies and benefits in the years ahead. Rob Marcus and his team have created a pure-play cable company that, combined with Comcast, has the foundation for future growth. We are looking forward to working with his team as we bring our companies together to deliver the most innovative products and services and a superior customer experience within the highly competitive and dynamic marketplace in which we operate.”</w:t>
      </w:r>
    </w:p>
    <w:p>
      <w:pPr>
        <w:spacing w:after="0" w:line="21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combination creates a company that delivers maximum value for our shareholders, enormous opportunities for our employees and a superior experience for our customers,” said Robert D. Marcus, Chairman and CEO of Time Warner Cable. “Comcast and Time Warner Cable have been the leaders in all of the industry’s most important innovations of the last 25 years and this merger will accelerate the pace of that innovation. Brian Roberts, Neil Smit, Michael Angelakis and the Comcast management team have built an industry-leading platform and innovative products and services, and we’re excited to be part of delivering all of the possibilities of cable’s superior broadband networks to more American consumers.”</w:t>
      </w:r>
    </w:p>
    <w:p>
      <w:pPr>
        <w:spacing w:after="0" w:line="2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new cable company, which will be led by President and CEO Neil Smit, will generate multiple pro-consumer and pro-competitive benefits, including an accelerated deployment of existing and new innovative products and services for millions of customers. Comcast’s subscribers today have access to the most comprehensive video experience, including the cloud-based X1 Entertainment Operating System, plus 50,000 video on demand choices on television, 300,000 plus streaming choices on XfinityTV.com, Xfinity TV mobile apps that offer 35 live streaming channels plus the ability to download to watch offline later, and the newly launched X1 cloud DVR. Comcast is also a technology leader in broadband and has increased Internet speeds 12 times in the past 12 years across its entire footprint.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9" w:name="page120"/>
    <w:bookmarkEnd w:id="119"/>
    <w:p>
      <w:pPr>
        <w:ind w:right="40"/>
        <w:spacing w:after="0" w:line="276" w:lineRule="auto"/>
        <w:rPr>
          <w:sz w:val="20"/>
          <w:szCs w:val="20"/>
          <w:color w:val="auto"/>
        </w:rPr>
      </w:pPr>
      <w:r>
        <w:rPr>
          <w:rFonts w:ascii="Arial" w:cs="Arial" w:eastAsia="Arial" w:hAnsi="Arial"/>
          <w:sz w:val="17"/>
          <w:szCs w:val="17"/>
          <w:color w:val="auto"/>
        </w:rPr>
        <w:t>Time Warner Cable owns cable systems located in key geographic areas, including New York City, Southern California, Texas, the Carolinas, Ohio, and Wisconsin. Time Warner Cable will combine its unique products and services with Comcast’s, including StartOver, which allows customers to restart a live program in progress to the beginning, and LookBack, which allows customers to watch programs up to three days after they air live, all without a DVR. Time Warner Cable also has been a leader in the deployment of community Wi-Fi, and will combine its more than 30,000 hotspots, primarily in Los Angeles and New York City, and its in-home management system, IntelligentHome, with Comcast’s offerings.</w:t>
      </w:r>
    </w:p>
    <w:p>
      <w:pPr>
        <w:spacing w:after="0" w:line="2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Through this merger, more American consumers will benefit from technological innovations, including a superior video experience, higher broadband speeds, and the fastest in-home Wi-Fi. The transaction also will generate significant cost savings and other efficiencies. American businesses will benefit from a broader platform, and the Company will be better able to offer advanced services like high-performance point-to-point and multi-point Ethernet services and cloud-based managed services to enterprises. Additionally, the transaction will combine complementary advertising platforms and channels and allow Comcast to offer broader and more valuable packages to national advertisers.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the merger, Comcast will acquire Time Warner Cable’s approximately 11 million managed subscribers. In order to reduce competitive concerns, Comcast is prepared to divest systems serving approximately 3 million managed subscribers. As such, Comcast will, through the acquisition and management of Time Warner Cable systems, net approximately 8 million managed subscribers in this transaction. This will bring Comcast’s managed subscriber total to approximately 30 million. Following the transaction, Comcast’s share of managed subscribers will remain below 30 percent of the total number of MVPD subscribers in the U.S. and will be essentially equivalent to Comcast Cable’s subscriber share after its completion of both the 2002 AT&amp;T Broadband transaction and the 2006 Adelphia transaction.</w:t>
      </w:r>
    </w:p>
    <w:p>
      <w:pPr>
        <w:spacing w:after="0" w:line="200" w:lineRule="exact"/>
        <w:rPr>
          <w:sz w:val="20"/>
          <w:szCs w:val="20"/>
          <w:color w:val="auto"/>
        </w:rPr>
      </w:pPr>
    </w:p>
    <w:p>
      <w:pPr>
        <w:spacing w:after="0" w:line="2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111111"/>
        </w:rPr>
        <w:t>The companies said the merger agreement between Comcast and Time Warner Cable is subject to shareholder approval at both companies and regulatory review and other customary conditions and is expected to close by the end of 2014.</w:t>
      </w:r>
    </w:p>
    <w:p>
      <w:pPr>
        <w:spacing w:after="0" w:line="19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111111"/>
        </w:rPr>
        <w:t xml:space="preserve">J.P. Morgan, Paul J. Taubman, and Barclays Plc acted as financial advisors to Comcast and Davis Polk &amp; Wardwell LLP and </w:t>
      </w:r>
      <w:r>
        <w:rPr>
          <w:rFonts w:ascii="Arial" w:cs="Arial" w:eastAsia="Arial" w:hAnsi="Arial"/>
          <w:sz w:val="16"/>
          <w:szCs w:val="16"/>
          <w:color w:val="000000"/>
        </w:rPr>
        <w:t>Willkie Farr &amp; Gallagher LLP</w:t>
      </w:r>
      <w:r>
        <w:rPr>
          <w:rFonts w:ascii="Arial" w:cs="Arial" w:eastAsia="Arial" w:hAnsi="Arial"/>
          <w:sz w:val="16"/>
          <w:szCs w:val="16"/>
          <w:color w:val="111111"/>
        </w:rPr>
        <w:t xml:space="preserve"> </w:t>
      </w:r>
      <w:r>
        <w:rPr>
          <w:rFonts w:ascii="Arial" w:cs="Arial" w:eastAsia="Arial" w:hAnsi="Arial"/>
          <w:sz w:val="16"/>
          <w:szCs w:val="16"/>
          <w:color w:val="000000"/>
        </w:rPr>
        <w:t xml:space="preserve">are its legal </w:t>
      </w:r>
      <w:r>
        <w:rPr>
          <w:rFonts w:ascii="Arial" w:cs="Arial" w:eastAsia="Arial" w:hAnsi="Arial"/>
          <w:sz w:val="16"/>
          <w:szCs w:val="16"/>
          <w:color w:val="111111"/>
        </w:rPr>
        <w:t>advisors.</w:t>
      </w:r>
      <w:r>
        <w:rPr>
          <w:rFonts w:ascii="Arial" w:cs="Arial" w:eastAsia="Arial" w:hAnsi="Arial"/>
          <w:sz w:val="16"/>
          <w:szCs w:val="16"/>
          <w:color w:val="000000"/>
        </w:rPr>
        <w:t xml:space="preserve"> Morgan Stanley, Allen &amp; Company, Citigroup and Centerview Partners are financial advisors to Time Warner Cable and its Board of Directors, and Paul, Weiss, Rifkind, Wharton &amp; Garrison LLP and Skadden, Arps, Slate, Meagher &amp; Flom LLP are legal advisors.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 for Financial Community</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Comcast and Time Warner Cable will host a conference call with the financial community on Thursday, February 13, 2014, at 8:30 a.m. Eastern Time (ET) to discuss this announcement. The conference call will be broadcast live via the companies’ Investor Relations websites at </w:t>
      </w:r>
      <w:r>
        <w:rPr>
          <w:rFonts w:ascii="Arial" w:cs="Arial" w:eastAsia="Arial" w:hAnsi="Arial"/>
          <w:sz w:val="18"/>
          <w:szCs w:val="18"/>
          <w:u w:val="single" w:color="auto"/>
          <w:color w:val="0000FF"/>
        </w:rPr>
        <w:t>www.cmcsa.com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www.twc.com/investors</w:t>
      </w:r>
      <w:r>
        <w:rPr>
          <w:rFonts w:ascii="Arial" w:cs="Arial" w:eastAsia="Arial" w:hAnsi="Arial"/>
          <w:sz w:val="18"/>
          <w:szCs w:val="18"/>
          <w:color w:val="000000"/>
        </w:rPr>
        <w:t>. Those interested in participating via telephone should dial (800) 263-8495 with the conference ID number 22627319. A replay of</w:t>
      </w:r>
      <w:r>
        <w:rPr>
          <w:rFonts w:ascii="Arial" w:cs="Arial" w:eastAsia="Arial" w:hAnsi="Arial"/>
          <w:sz w:val="18"/>
          <w:szCs w:val="18"/>
          <w:color w:val="0000FF"/>
        </w:rPr>
        <w:t xml:space="preserve"> </w:t>
      </w:r>
      <w:r>
        <w:rPr>
          <w:rFonts w:ascii="Arial" w:cs="Arial" w:eastAsia="Arial" w:hAnsi="Arial"/>
          <w:sz w:val="18"/>
          <w:szCs w:val="18"/>
          <w:color w:val="000000"/>
        </w:rPr>
        <w:t>the call will be available starting at 12:30 p.m. ET on February 13, 2014, on the companies’ Investor Relations websites or by telephone. To access the telephone replay, dial (855) 859-2056 with the conference ID number 22627319.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-445135</wp:posOffset>
            </wp:positionV>
            <wp:extent cx="285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-307975</wp:posOffset>
            </wp:positionV>
            <wp:extent cx="28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-307975</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for Journalists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Comcast and Time Warner Cable will also host a conference call with journalists on Thursday, February 13, 2014, at 9:45 a.m. Eastern Time (ET) to discuss this announcement. Journalists interested in participating in the call should dial (888) 290-8622 with the conference ID number 29882449</w:t>
      </w:r>
      <w:r>
        <w:rPr>
          <w:rFonts w:ascii="Arial" w:cs="Arial" w:eastAsia="Arial" w:hAnsi="Arial"/>
          <w:sz w:val="18"/>
          <w:szCs w:val="18"/>
          <w:b w:val="1"/>
          <w:bCs w:val="1"/>
          <w:color w:val="auto"/>
        </w:rPr>
        <w:t>.</w:t>
      </w:r>
      <w:r>
        <w:rPr>
          <w:rFonts w:ascii="Arial" w:cs="Arial" w:eastAsia="Arial" w:hAnsi="Arial"/>
          <w:sz w:val="18"/>
          <w:szCs w:val="18"/>
          <w:color w:val="auto"/>
        </w:rPr>
        <w:t xml:space="preserve"> A replay of the call will be available starting at 1:30 PM (ET) on February 13, 2014. To access the telephone replay, dial (800) 585-8367 with the conference ID number 29882449.</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111111"/>
        </w:rPr>
        <w:t>About Comcast Corporation</w:t>
      </w:r>
    </w:p>
    <w:p>
      <w:pPr>
        <w:spacing w:after="0" w:line="256"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Visit </w:t>
      </w:r>
      <w:r>
        <w:rPr>
          <w:rFonts w:ascii="Arial" w:cs="Arial" w:eastAsia="Arial" w:hAnsi="Arial"/>
          <w:sz w:val="18"/>
          <w:szCs w:val="18"/>
          <w:u w:val="single" w:color="auto"/>
          <w:color w:val="0000FF"/>
        </w:rPr>
        <w:t>www.comcastcorporation.com</w:t>
      </w:r>
      <w:r>
        <w:rPr>
          <w:rFonts w:ascii="Arial" w:cs="Arial" w:eastAsia="Arial" w:hAnsi="Arial"/>
          <w:sz w:val="18"/>
          <w:szCs w:val="18"/>
          <w:color w:val="333333"/>
        </w:rPr>
        <w:t xml:space="preserve"> </w:t>
      </w:r>
      <w:r>
        <w:rPr>
          <w:rFonts w:ascii="Arial" w:cs="Arial" w:eastAsia="Arial" w:hAnsi="Arial"/>
          <w:sz w:val="18"/>
          <w:szCs w:val="18"/>
          <w:color w:val="000000"/>
        </w:rPr>
        <w:t>for more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Cable</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Time Warner Cable Inc. (NYSE:TWC) is among the largest providers of video, high-speed data and voice services in the United States, connecting 15 million customers to entertainment, information and each other. Time Warner Cable Business Class offers data, video and voice services to businesses of all sizes, cell tower backhaul services to wireless carriers and enterprise-class, cloud- enabled hosting, managed applications and services. Time Warner Cable Media, the advertising arm of Time Warner Cable, offers national, regional and local companies innovative advertising solutions. More information about the services of Time Warner Cable is available at </w:t>
      </w:r>
      <w:r>
        <w:rPr>
          <w:rFonts w:ascii="Arial" w:cs="Arial" w:eastAsia="Arial" w:hAnsi="Arial"/>
          <w:sz w:val="17"/>
          <w:szCs w:val="17"/>
          <w:u w:val="single" w:color="auto"/>
          <w:color w:val="0000FF"/>
        </w:rPr>
        <w:t>www.twc.com</w:t>
      </w:r>
      <w:r>
        <w:rPr>
          <w:rFonts w:ascii="Arial" w:cs="Arial" w:eastAsia="Arial" w:hAnsi="Arial"/>
          <w:sz w:val="17"/>
          <w:szCs w:val="17"/>
          <w:color w:val="333333"/>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www.twcbc.com</w:t>
      </w:r>
      <w:r>
        <w:rPr>
          <w:rFonts w:ascii="Arial" w:cs="Arial" w:eastAsia="Arial" w:hAnsi="Arial"/>
          <w:sz w:val="17"/>
          <w:szCs w:val="17"/>
          <w:color w:val="auto"/>
        </w:rPr>
        <w:t xml:space="preserve"> </w:t>
      </w:r>
      <w:r>
        <w:rPr>
          <w:rFonts w:ascii="Arial" w:cs="Arial" w:eastAsia="Arial" w:hAnsi="Arial"/>
          <w:sz w:val="17"/>
          <w:szCs w:val="17"/>
          <w:color w:val="333333"/>
        </w:rPr>
        <w:t>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www.twcmedia.com</w:t>
      </w:r>
      <w:r>
        <w:rPr>
          <w:rFonts w:ascii="Arial" w:cs="Arial" w:eastAsia="Arial" w:hAnsi="Arial"/>
          <w:sz w:val="17"/>
          <w:szCs w:val="17"/>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-43815</wp:posOffset>
            </wp:positionV>
            <wp:extent cx="285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D’Arcy Rudnay, (215) 286-8582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Demming, (215) 286-8011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Ellen East, (212) 364-8228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Susan Leepson, (212) 364-8281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111111"/>
        </w:rPr>
        <w:t>Bobby Amirshahi, (212) 364-8292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11111"/>
        </w:rPr>
        <w:t>Investor 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Jason S. Armstrong, (215) 286-7972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Jane B. Kearns, </w:t>
      </w:r>
      <w:r>
        <w:rPr>
          <w:rFonts w:ascii="Arial" w:cs="Arial" w:eastAsia="Arial" w:hAnsi="Arial"/>
          <w:sz w:val="18"/>
          <w:szCs w:val="18"/>
          <w:color w:val="111111"/>
        </w:rPr>
        <w:t>(215) 286-4794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Tom Robey, (212) 364-8218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Laraine Mancini, (212) 364-8202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1" w:name="page122"/>
    <w:bookmarkEnd w:id="121"/>
    <w:p>
      <w:pPr>
        <w:ind w:right="40"/>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 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 -looking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1)"/>
      <w:numFmt w:val="lowerRoman"/>
      <w:start w:val="1"/>
    </w:lvl>
  </w:abstractNum>
  <w:abstractNum w:abstractNumId="4">
    <w:nsid w:val="235BA861"/>
    <w:multiLevelType w:val="hybridMultilevel"/>
    <w:lvl w:ilvl="0">
      <w:lvlJc w:val="left"/>
      <w:lvlText w:val="(%1)"/>
      <w:numFmt w:val="lowerRoman"/>
      <w:start w:val="8"/>
    </w:lvl>
  </w:abstractNum>
  <w:abstractNum w:abstractNumId="5">
    <w:nsid w:val="47398C89"/>
    <w:multiLevelType w:val="hybridMultilevel"/>
    <w:lvl w:ilvl="0">
      <w:lvlJc w:val="left"/>
      <w:lvlText w:val="&amp;"/>
      <w:numFmt w:val="bullet"/>
      <w:start w:val="1"/>
    </w:lvl>
  </w:abstractNum>
  <w:abstractNum w:abstractNumId="6">
    <w:nsid w:val="354FE9F9"/>
    <w:multiLevelType w:val="hybridMultilevel"/>
    <w:lvl w:ilvl="0">
      <w:lvlJc w:val="left"/>
      <w:lvlText w:val="(%1)"/>
      <w:numFmt w:val="lowerLetter"/>
      <w:start w:val="2"/>
    </w:lvl>
  </w:abstractNum>
  <w:abstractNum w:abstractNumId="7">
    <w:nsid w:val="15B5AF5C"/>
    <w:multiLevelType w:val="hybridMultilevel"/>
    <w:lvl w:ilvl="0">
      <w:lvlJc w:val="left"/>
      <w:lvlText w:val="(%1)"/>
      <w:numFmt w:val="lowerLetter"/>
      <w:start w:val="1"/>
    </w:lvl>
  </w:abstractNum>
  <w:abstractNum w:abstractNumId="8">
    <w:nsid w:val="741226BB"/>
    <w:multiLevelType w:val="hybridMultilevel"/>
    <w:lvl w:ilvl="0">
      <w:lvlJc w:val="left"/>
      <w:lvlText w:val="(%1)"/>
      <w:numFmt w:val="lowerLetter"/>
      <w:start w:val="2"/>
    </w:lvl>
  </w:abstractNum>
  <w:abstractNum w:abstractNumId="9">
    <w:nsid w:val="D34B6A8"/>
    <w:multiLevelType w:val="hybridMultilevel"/>
    <w:lvl w:ilvl="0">
      <w:lvlJc w:val="left"/>
      <w:lvlText w:val="(%1)"/>
      <w:numFmt w:val="lowerLetter"/>
      <w:start w:val="2"/>
    </w:lvl>
  </w:abstractNum>
  <w:abstractNum w:abstractNumId="10">
    <w:nsid w:val="10233C99"/>
    <w:multiLevelType w:val="hybridMultilevel"/>
    <w:lvl w:ilvl="0">
      <w:lvlJc w:val="left"/>
      <w:lvlText w:val="(%1)"/>
      <w:numFmt w:val="lowerLetter"/>
      <w:start w:val="3"/>
    </w:lvl>
  </w:abstractNum>
  <w:abstractNum w:abstractNumId="11">
    <w:nsid w:val="3F6AB60F"/>
    <w:multiLevelType w:val="hybridMultilevel"/>
    <w:lvl w:ilvl="0">
      <w:lvlJc w:val="left"/>
      <w:lvlText w:val="(%1)"/>
      <w:numFmt w:val="lowerLetter"/>
      <w:start w:val="7"/>
    </w:lvl>
  </w:abstractNum>
  <w:abstractNum w:abstractNumId="12">
    <w:nsid w:val="61574095"/>
    <w:multiLevelType w:val="hybridMultilevel"/>
    <w:lvl w:ilvl="0">
      <w:lvlJc w:val="left"/>
      <w:lvlText w:val="(%1)"/>
      <w:numFmt w:val="lowerLetter"/>
      <w:start w:val="2"/>
    </w:lvl>
  </w:abstractNum>
  <w:abstractNum w:abstractNumId="13">
    <w:nsid w:val="7E0C57B1"/>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4">
    <w:nsid w:val="77AE35E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5">
    <w:nsid w:val="579BE4F1"/>
    <w:multiLevelType w:val="hybridMultilevel"/>
    <w:lvl w:ilvl="0">
      <w:lvlJc w:val="left"/>
      <w:lvlText w:val="(%1)"/>
      <w:numFmt w:val="lowerLetter"/>
      <w:start w:val="5"/>
    </w:lvl>
  </w:abstractNum>
  <w:abstractNum w:abstractNumId="16">
    <w:nsid w:val="310C50B3"/>
    <w:multiLevelType w:val="hybridMultilevel"/>
    <w:lvl w:ilvl="0">
      <w:lvlJc w:val="left"/>
      <w:lvlText w:val="(%1)"/>
      <w:numFmt w:val="lowerLetter"/>
      <w:start w:val="2"/>
    </w:lvl>
  </w:abstractNum>
  <w:abstractNum w:abstractNumId="17">
    <w:nsid w:val="5FF87E05"/>
    <w:multiLevelType w:val="hybridMultilevel"/>
    <w:lvl w:ilvl="0">
      <w:lvlJc w:val="left"/>
      <w:lvlText w:val="(%1)"/>
      <w:numFmt w:val="lowerLetter"/>
      <w:start w:val="2"/>
    </w:lvl>
  </w:abstractNum>
  <w:abstractNum w:abstractNumId="18">
    <w:nsid w:val="2F305DEF"/>
    <w:multiLevelType w:val="hybridMultilevel"/>
    <w:lvl w:ilvl="0">
      <w:lvlJc w:val="left"/>
      <w:lvlText w:val="(%1)"/>
      <w:numFmt w:val="lowerLetter"/>
      <w:start w:val="2"/>
    </w:lvl>
  </w:abstractNum>
  <w:abstractNum w:abstractNumId="19">
    <w:nsid w:val="25A70BF7"/>
    <w:multiLevelType w:val="hybridMultilevel"/>
    <w:lvl w:ilvl="0">
      <w:lvlJc w:val="left"/>
      <w:lvlText w:val="%1"/>
      <w:numFmt w:val="lowerLetter"/>
      <w:start w:val="1"/>
    </w:lvl>
    <w:lvl w:ilvl="1">
      <w:lvlJc w:val="left"/>
      <w:lvlText w:val="(%2)"/>
      <w:numFmt w:val="lowerLetter"/>
      <w:start w:val="3"/>
    </w:lvl>
  </w:abstractNum>
  <w:abstractNum w:abstractNumId="20">
    <w:nsid w:val="1DBABF00"/>
    <w:multiLevelType w:val="hybridMultilevel"/>
    <w:lvl w:ilvl="0">
      <w:lvlJc w:val="left"/>
      <w:lvlText w:val="(%1)"/>
      <w:numFmt w:val="lowerLetter"/>
      <w:start w:val="9"/>
    </w:lvl>
    <w:lvl w:ilvl="1">
      <w:lvlJc w:val="left"/>
      <w:lvlText w:val="%2"/>
      <w:numFmt w:val="lowerLetter"/>
      <w:start w:val="1"/>
    </w:lvl>
  </w:abstractNum>
  <w:abstractNum w:abstractNumId="21">
    <w:nsid w:val="4AD084E9"/>
    <w:multiLevelType w:val="hybridMultilevel"/>
    <w:lvl w:ilvl="0">
      <w:lvlJc w:val="left"/>
      <w:lvlText w:val="(%1)"/>
      <w:numFmt w:val="lowerLetter"/>
      <w:start w:val="2"/>
    </w:lvl>
  </w:abstractNum>
  <w:abstractNum w:abstractNumId="22">
    <w:nsid w:val="1F48EAA1"/>
    <w:multiLevelType w:val="hybridMultilevel"/>
    <w:lvl w:ilvl="0">
      <w:lvlJc w:val="left"/>
      <w:lvlText w:val="(%1)"/>
      <w:numFmt w:val="lowerLetter"/>
      <w:start w:val="4"/>
    </w:lvl>
  </w:abstractNum>
  <w:abstractNum w:abstractNumId="23">
    <w:nsid w:val="1381823A"/>
    <w:multiLevelType w:val="hybridMultilevel"/>
    <w:lvl w:ilvl="0">
      <w:lvlJc w:val="left"/>
      <w:lvlText w:val="(%1)"/>
      <w:numFmt w:val="lowerLetter"/>
      <w:start w:val="8"/>
    </w:lvl>
  </w:abstractNum>
  <w:abstractNum w:abstractNumId="24">
    <w:nsid w:val="5DB70AE5"/>
    <w:multiLevelType w:val="hybridMultilevel"/>
    <w:lvl w:ilvl="0">
      <w:lvlJc w:val="left"/>
      <w:lvlText w:val="(%1)"/>
      <w:numFmt w:val="lowerLetter"/>
      <w:start w:val="2"/>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2"/>
    </w:lvl>
  </w:abstractNum>
  <w:abstractNum w:abstractNumId="27">
    <w:nsid w:val="15014ACB"/>
    <w:multiLevelType w:val="hybridMultilevel"/>
    <w:lvl w:ilvl="0">
      <w:lvlJc w:val="left"/>
      <w:lvlText w:val="(%1)"/>
      <w:numFmt w:val="lowerLetter"/>
      <w:start w:val="3"/>
    </w:lvl>
  </w:abstractNum>
  <w:abstractNum w:abstractNumId="28">
    <w:nsid w:val="5F5E7FD0"/>
    <w:multiLevelType w:val="hybridMultilevel"/>
    <w:lvl w:ilvl="0">
      <w:lvlJc w:val="left"/>
      <w:lvlText w:val="(%1)"/>
      <w:numFmt w:val="lowerLetter"/>
      <w:start w:val="2"/>
    </w:lvl>
  </w:abstractNum>
  <w:abstractNum w:abstractNumId="29">
    <w:nsid w:val="98A3148"/>
    <w:multiLevelType w:val="hybridMultilevel"/>
    <w:lvl w:ilvl="0">
      <w:lvlJc w:val="left"/>
      <w:lvlText w:val="(%1)"/>
      <w:numFmt w:val="lowerLetter"/>
      <w:start w:val="2"/>
    </w:lvl>
  </w:abstractNum>
  <w:abstractNum w:abstractNumId="30">
    <w:nsid w:val="799D0247"/>
    <w:multiLevelType w:val="hybridMultilevel"/>
    <w:lvl w:ilvl="0">
      <w:lvlJc w:val="left"/>
      <w:lvlText w:val="(%1)"/>
      <w:numFmt w:val="lowerLetter"/>
      <w:start w:val="2"/>
    </w:lvl>
  </w:abstractNum>
  <w:abstractNum w:abstractNumId="31">
    <w:nsid w:val="6B94764"/>
    <w:multiLevelType w:val="hybridMultilevel"/>
    <w:lvl w:ilvl="0">
      <w:lvlJc w:val="left"/>
      <w:lvlText w:val="(%1)"/>
      <w:numFmt w:val="lowerLetter"/>
      <w:start w:val="3"/>
    </w:lvl>
  </w:abstractNum>
  <w:abstractNum w:abstractNumId="32">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3">
    <w:nsid w:val="168E121F"/>
    <w:multiLevelType w:val="hybridMultilevel"/>
    <w:lvl w:ilvl="0">
      <w:lvlJc w:val="left"/>
      <w:lvlText w:val="(%1)"/>
      <w:numFmt w:val="lowerLetter"/>
      <w:start w:val="5"/>
    </w:lvl>
  </w:abstractNum>
  <w:abstractNum w:abstractNumId="34">
    <w:nsid w:val="1EBA5D23"/>
    <w:multiLevelType w:val="hybridMultilevel"/>
    <w:lvl w:ilvl="0">
      <w:lvlJc w:val="left"/>
      <w:lvlText w:val="%1)"/>
      <w:numFmt w:val="decimal"/>
      <w:start w:val="990"/>
    </w:lvl>
    <w:lvl w:ilvl="1">
      <w:lvlJc w:val="left"/>
      <w:lvlText w:val="(%2)"/>
      <w:numFmt w:val="lowerLetter"/>
      <w:start w:val="2"/>
    </w:lvl>
  </w:abstractNum>
  <w:abstractNum w:abstractNumId="35">
    <w:nsid w:val="661E3F1E"/>
    <w:multiLevelType w:val="hybridMultilevel"/>
    <w:lvl w:ilvl="0">
      <w:lvlJc w:val="left"/>
      <w:lvlText w:val="%1"/>
      <w:numFmt w:val="lowerLetter"/>
      <w:start w:val="1"/>
    </w:lvl>
    <w:lvl w:ilvl="1">
      <w:lvlJc w:val="left"/>
      <w:lvlText w:val="(%2)"/>
      <w:numFmt w:val="lowerLetter"/>
      <w:start w:val="3"/>
    </w:lvl>
  </w:abstractNum>
  <w:abstractNum w:abstractNumId="36">
    <w:nsid w:val="5DC79EA8"/>
    <w:multiLevelType w:val="hybridMultilevel"/>
    <w:lvl w:ilvl="0">
      <w:lvlJc w:val="left"/>
      <w:lvlText w:val="(%1)"/>
      <w:numFmt w:val="lowerLetter"/>
      <w:start w:val="9"/>
    </w:lvl>
    <w:lvl w:ilvl="1">
      <w:lvlJc w:val="left"/>
      <w:lvlText w:val="(%2)"/>
      <w:numFmt w:val="lowerLetter"/>
      <w:start w:val="4"/>
    </w:lvl>
  </w:abstractNum>
  <w:abstractNum w:abstractNumId="37">
    <w:nsid w:val="540A471C"/>
    <w:multiLevelType w:val="hybridMultilevel"/>
    <w:lvl w:ilvl="0">
      <w:lvlJc w:val="left"/>
      <w:lvlText w:val="(%1)"/>
      <w:numFmt w:val="lowerLetter"/>
      <w:start w:val="7"/>
    </w:lvl>
  </w:abstractNum>
  <w:abstractNum w:abstractNumId="38">
    <w:nsid w:val="7BD3EE7B"/>
    <w:multiLevelType w:val="hybridMultilevel"/>
    <w:lvl w:ilvl="0">
      <w:lvlJc w:val="left"/>
      <w:lvlText w:val="(%1)"/>
      <w:numFmt w:val="lowerLetter"/>
      <w:start w:val="12"/>
    </w:lvl>
  </w:abstractNum>
  <w:abstractNum w:abstractNumId="39">
    <w:nsid w:val="51D9C564"/>
    <w:multiLevelType w:val="hybridMultilevel"/>
    <w:lvl w:ilvl="0">
      <w:lvlJc w:val="left"/>
      <w:lvlText w:val="(%1)"/>
      <w:numFmt w:val="lowerLetter"/>
      <w:start w:val="2"/>
    </w:lvl>
  </w:abstractNum>
  <w:abstractNum w:abstractNumId="40">
    <w:nsid w:val="613EFDC5"/>
    <w:multiLevelType w:val="hybridMultilevel"/>
    <w:lvl w:ilvl="0">
      <w:lvlJc w:val="left"/>
      <w:lvlText w:val="(%1)"/>
      <w:numFmt w:val="lowerRoman"/>
      <w:start w:val="1"/>
    </w:lvl>
  </w:abstractNum>
  <w:abstractNum w:abstractNumId="41">
    <w:nsid w:val="BF72B14"/>
    <w:multiLevelType w:val="hybridMultilevel"/>
    <w:lvl w:ilvl="0">
      <w:lvlJc w:val="left"/>
      <w:lvlText w:val="(%1)"/>
      <w:numFmt w:val="decimal"/>
      <w:start w:val="2"/>
    </w:lvl>
    <w:lvl w:ilvl="1">
      <w:lvlJc w:val="left"/>
      <w:lvlText w:val="(%2)"/>
      <w:numFmt w:val="lowerRoman"/>
      <w:start w:val="2"/>
    </w:lvl>
  </w:abstractNum>
  <w:abstractNum w:abstractNumId="42">
    <w:nsid w:val="11447B73"/>
    <w:multiLevelType w:val="hybridMultilevel"/>
    <w:lvl w:ilvl="0">
      <w:lvlJc w:val="left"/>
      <w:lvlText w:val="(%1)"/>
      <w:numFmt w:val="lowerRoman"/>
      <w:start w:val="7"/>
    </w:lvl>
  </w:abstractNum>
  <w:abstractNum w:abstractNumId="43">
    <w:nsid w:val="42963E5A"/>
    <w:multiLevelType w:val="hybridMultilevel"/>
    <w:lvl w:ilvl="0">
      <w:lvlJc w:val="left"/>
      <w:lvlText w:val="(%1)"/>
      <w:numFmt w:val="lowerLetter"/>
      <w:start w:val="2"/>
    </w:lvl>
  </w:abstractNum>
  <w:abstractNum w:abstractNumId="44">
    <w:nsid w:val="A0382C5"/>
    <w:multiLevelType w:val="hybridMultilevel"/>
    <w:lvl w:ilvl="0">
      <w:lvlJc w:val="left"/>
      <w:lvlText w:val="(%1)"/>
      <w:numFmt w:val="lowerLetter"/>
      <w:start w:val="2"/>
    </w:lvl>
  </w:abstractNum>
  <w:abstractNum w:abstractNumId="45">
    <w:nsid w:val="8F2B15E"/>
    <w:multiLevelType w:val="hybridMultilevel"/>
    <w:lvl w:ilvl="0">
      <w:lvlJc w:val="left"/>
      <w:lvlText w:val="(%1)"/>
      <w:numFmt w:val="lowerLetter"/>
      <w:start w:val="2"/>
    </w:lvl>
  </w:abstractNum>
  <w:abstractNum w:abstractNumId="46">
    <w:nsid w:val="1A32234B"/>
    <w:multiLevelType w:val="hybridMultilevel"/>
    <w:lvl w:ilvl="0">
      <w:lvlJc w:val="left"/>
      <w:lvlText w:val="(%1)"/>
      <w:numFmt w:val="lowerLetter"/>
      <w:start w:val="3"/>
    </w:lvl>
  </w:abstractNum>
  <w:abstractNum w:abstractNumId="47">
    <w:nsid w:val="3B0FD379"/>
    <w:multiLevelType w:val="hybridMultilevel"/>
    <w:lvl w:ilvl="0">
      <w:lvlJc w:val="left"/>
      <w:lvlText w:val="(%1)"/>
      <w:numFmt w:val="lowerLetter"/>
      <w:start w:val="2"/>
    </w:lvl>
  </w:abstractNum>
  <w:abstractNum w:abstractNumId="48">
    <w:nsid w:val="68EB2F63"/>
    <w:multiLevelType w:val="hybridMultilevel"/>
    <w:lvl w:ilvl="0">
      <w:lvlJc w:val="left"/>
      <w:lvlText w:val="(%1)"/>
      <w:numFmt w:val="lowerRoman"/>
      <w:start w:val="3"/>
    </w:lvl>
  </w:abstractNum>
  <w:abstractNum w:abstractNumId="49">
    <w:nsid w:val="4962813B"/>
    <w:multiLevelType w:val="hybridMultilevel"/>
    <w:lvl w:ilvl="0">
      <w:lvlJc w:val="left"/>
      <w:lvlText w:val="(%1)"/>
      <w:numFmt w:val="lowerLetter"/>
      <w:start w:val="2"/>
    </w:lvl>
  </w:abstractNum>
  <w:abstractNum w:abstractNumId="50">
    <w:nsid w:val="60B6DF70"/>
    <w:multiLevelType w:val="hybridMultilevel"/>
    <w:lvl w:ilvl="0">
      <w:lvlJc w:val="left"/>
      <w:lvlText w:val="(%1)"/>
      <w:numFmt w:val="lowerLetter"/>
      <w:start w:val="2"/>
    </w:lvl>
  </w:abstractNum>
  <w:abstractNum w:abstractNumId="51">
    <w:nsid w:val="6A5EE64"/>
    <w:multiLevelType w:val="hybridMultilevel"/>
    <w:lvl w:ilvl="0">
      <w:lvlJc w:val="left"/>
      <w:lvlText w:val="(%1)"/>
      <w:numFmt w:val="lowerLetter"/>
      <w:start w:val="2"/>
    </w:lvl>
  </w:abstractNum>
  <w:abstractNum w:abstractNumId="52">
    <w:nsid w:val="14330624"/>
    <w:multiLevelType w:val="hybridMultilevel"/>
    <w:lvl w:ilvl="0">
      <w:lvlJc w:val="left"/>
      <w:lvlText w:val="(%1)"/>
      <w:numFmt w:val="lowerLetter"/>
      <w:start w:val="3"/>
    </w:lvl>
  </w:abstractNum>
  <w:abstractNum w:abstractNumId="53">
    <w:nsid w:val="7FFFCA11"/>
    <w:multiLevelType w:val="hybridMultilevel"/>
    <w:lvl w:ilvl="0">
      <w:lvlJc w:val="left"/>
      <w:lvlText w:val="(%1)"/>
      <w:numFmt w:val="lowerLetter"/>
      <w:start w:val="8"/>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2"/>
    </w:lvl>
  </w:abstractNum>
  <w:abstractNum w:abstractNumId="56">
    <w:nsid w:val="100F59DC"/>
    <w:multiLevelType w:val="hybridMultilevel"/>
    <w:lvl w:ilvl="0">
      <w:lvlJc w:val="left"/>
      <w:lvlText w:val="(%1)"/>
      <w:numFmt w:val="lowerLetter"/>
      <w:start w:val="3"/>
    </w:lvl>
  </w:abstractNum>
  <w:abstractNum w:abstractNumId="57">
    <w:nsid w:val="7FB7E0AA"/>
    <w:multiLevelType w:val="hybridMultilevel"/>
    <w:lvl w:ilvl="0">
      <w:lvlJc w:val="left"/>
      <w:lvlText w:val="(%1)"/>
      <w:numFmt w:val="lowerLetter"/>
      <w:start w:val="2"/>
    </w:lvl>
  </w:abstractNum>
  <w:abstractNum w:abstractNumId="58">
    <w:nsid w:val="6EB5BD4"/>
    <w:multiLevelType w:val="hybridMultilevel"/>
    <w:lvl w:ilvl="0">
      <w:lvlJc w:val="left"/>
      <w:lvlText w:val="(%1)"/>
      <w:numFmt w:val="lowerLetter"/>
      <w:start w:val="1"/>
    </w:lvl>
    <w:lvl w:ilvl="1">
      <w:lvlJc w:val="left"/>
      <w:lvlText w:val="(%2)"/>
      <w:numFmt w:val="lowerRoman"/>
      <w:start w:val="2"/>
    </w:lvl>
  </w:abstractNum>
  <w:abstractNum w:abstractNumId="59">
    <w:nsid w:val="6F6DD9AC"/>
    <w:multiLevelType w:val="hybridMultilevel"/>
    <w:lvl w:ilvl="0">
      <w:lvlJc w:val="left"/>
      <w:lvlText w:val="%1"/>
      <w:numFmt w:val="lowerLetter"/>
      <w:start w:val="1"/>
    </w:lvl>
    <w:lvl w:ilvl="1">
      <w:lvlJc w:val="left"/>
      <w:lvlText w:val="(%2)"/>
      <w:numFmt w:val="lowerRoman"/>
      <w:start w:val="6"/>
    </w:lvl>
  </w:abstractNum>
  <w:abstractNum w:abstractNumId="60">
    <w:nsid w:val="94211F2"/>
    <w:multiLevelType w:val="hybridMultilevel"/>
    <w:lvl w:ilvl="0">
      <w:lvlJc w:val="left"/>
      <w:lvlText w:val="(%1)"/>
      <w:numFmt w:val="lowerLetter"/>
      <w:start w:val="2"/>
    </w:lvl>
    <w:lvl w:ilvl="1">
      <w:lvlJc w:val="left"/>
      <w:lvlText w:val="%2"/>
      <w:numFmt w:val="lowerRoman"/>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2"/>
    </w:lvl>
  </w:abstractNum>
  <w:abstractNum w:abstractNumId="63">
    <w:nsid w:val="4C04A8AF"/>
    <w:multiLevelType w:val="hybridMultilevel"/>
    <w:lvl w:ilvl="0">
      <w:lvlJc w:val="left"/>
      <w:lvlText w:val="(%1)"/>
      <w:numFmt w:val="lowerLetter"/>
      <w:start w:val="61"/>
    </w:lvl>
    <w:lvl w:ilvl="1">
      <w:lvlJc w:val="left"/>
      <w:lvlText w:val="(%2)"/>
      <w:numFmt w:val="lowerLetter"/>
      <w:start w:val="1"/>
    </w:lvl>
  </w:abstractNum>
  <w:abstractNum w:abstractNumId="64">
    <w:nsid w:val="1716703B"/>
    <w:multiLevelType w:val="hybridMultilevel"/>
    <w:lvl w:ilvl="0">
      <w:lvlJc w:val="left"/>
      <w:lvlText w:val="(%1)"/>
      <w:numFmt w:val="lowerLetter"/>
      <w:start w:val="3"/>
    </w:lvl>
  </w:abstractNum>
  <w:abstractNum w:abstractNumId="65">
    <w:nsid w:val="14E17E33"/>
    <w:multiLevelType w:val="hybridMultilevel"/>
    <w:lvl w:ilvl="0">
      <w:lvlJc w:val="left"/>
      <w:lvlText w:val="(%1)"/>
      <w:numFmt w:val="lowerLetter"/>
      <w:start w:val="7"/>
    </w:lvl>
  </w:abstractNum>
  <w:abstractNum w:abstractNumId="66">
    <w:nsid w:val="3222E7CD"/>
    <w:multiLevelType w:val="hybridMultilevel"/>
    <w:lvl w:ilvl="0">
      <w:lvlJc w:val="left"/>
      <w:lvlText w:val="(%1)"/>
      <w:numFmt w:val="lowerLetter"/>
      <w:start w:val="13"/>
    </w:lvl>
  </w:abstractNum>
  <w:abstractNum w:abstractNumId="67">
    <w:nsid w:val="74DE0EE3"/>
    <w:multiLevelType w:val="hybridMultilevel"/>
    <w:lvl w:ilvl="0">
      <w:lvlJc w:val="left"/>
      <w:lvlText w:val="(%1)"/>
      <w:numFmt w:val="lowerLetter"/>
      <w:start w:val="17"/>
    </w:lvl>
  </w:abstractNum>
  <w:abstractNum w:abstractNumId="68">
    <w:nsid w:val="68EBC550"/>
    <w:multiLevelType w:val="hybridMultilevel"/>
    <w:lvl w:ilvl="0">
      <w:lvlJc w:val="left"/>
      <w:lvlText w:val="(%1)"/>
      <w:numFmt w:val="lowerLetter"/>
      <w:start w:val="2"/>
    </w:lvl>
    <w:lvl w:ilvl="1">
      <w:lvlJc w:val="left"/>
      <w:lvlText w:val="(%2)"/>
      <w:numFmt w:val="lowerLetter"/>
      <w:start w:val="9"/>
    </w:lvl>
  </w:abstractNum>
  <w:abstractNum w:abstractNumId="69">
    <w:nsid w:val="2DF6D648"/>
    <w:multiLevelType w:val="hybridMultilevel"/>
    <w:lvl w:ilvl="0">
      <w:lvlJc w:val="left"/>
      <w:lvlText w:val="(%1)"/>
      <w:numFmt w:val="lowerRoman"/>
      <w:start w:val="2"/>
    </w:lvl>
  </w:abstractNum>
  <w:abstractNum w:abstractNumId="70">
    <w:nsid w:val="46B7D447"/>
    <w:multiLevelType w:val="hybridMultilevel"/>
    <w:lvl w:ilvl="0">
      <w:lvlJc w:val="left"/>
      <w:lvlText w:val="(%1)"/>
      <w:numFmt w:val="lowerLetter"/>
      <w:start w:val="3"/>
    </w:lvl>
  </w:abstractNum>
  <w:abstractNum w:abstractNumId="71">
    <w:nsid w:val="4A2AC315"/>
    <w:multiLevelType w:val="hybridMultilevel"/>
    <w:lvl w:ilvl="0">
      <w:lvlJc w:val="left"/>
      <w:lvlText w:val="(%1)"/>
      <w:numFmt w:val="lowerLetter"/>
      <w:start w:val="4"/>
    </w:lvl>
  </w:abstractNum>
  <w:abstractNum w:abstractNumId="72">
    <w:nsid w:val="39EE015C"/>
    <w:multiLevelType w:val="hybridMultilevel"/>
    <w:lvl w:ilvl="0">
      <w:lvlJc w:val="left"/>
      <w:lvlText w:val="(%1)"/>
      <w:numFmt w:val="lowerLetter"/>
      <w:start w:val="5"/>
    </w:lvl>
  </w:abstractNum>
  <w:abstractNum w:abstractNumId="73">
    <w:nsid w:val="57FC4FBB"/>
    <w:multiLevelType w:val="hybridMultilevel"/>
    <w:lvl w:ilvl="0">
      <w:lvlJc w:val="left"/>
      <w:lvlText w:val="(%1)"/>
      <w:numFmt w:val="lowerLetter"/>
      <w:start w:val="2"/>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2"/>
    </w:lvl>
  </w:abstractNum>
  <w:abstractNum w:abstractNumId="76">
    <w:nsid w:val="60EF0119"/>
    <w:multiLevelType w:val="hybridMultilevel"/>
    <w:lvl w:ilvl="0">
      <w:lvlJc w:val="left"/>
      <w:lvlText w:val="(%1)"/>
      <w:numFmt w:val="lowerLetter"/>
      <w:start w:val="3"/>
    </w:lvl>
  </w:abstractNum>
  <w:abstractNum w:abstractNumId="77">
    <w:nsid w:val="26F324BA"/>
    <w:multiLevelType w:val="hybridMultilevel"/>
    <w:lvl w:ilvl="0">
      <w:lvlJc w:val="left"/>
      <w:lvlText w:val="(%1)"/>
      <w:numFmt w:val="lowerLetter"/>
      <w:start w:val="2"/>
    </w:lvl>
  </w:abstractNum>
  <w:abstractNum w:abstractNumId="78">
    <w:nsid w:val="7F01579B"/>
    <w:multiLevelType w:val="hybridMultilevel"/>
    <w:lvl w:ilvl="0">
      <w:lvlJc w:val="left"/>
      <w:lvlText w:val="%1"/>
      <w:numFmt w:val="lowerLetter"/>
      <w:start w:val="1"/>
    </w:lvl>
    <w:lvl w:ilvl="1">
      <w:lvlJc w:val="left"/>
      <w:lvlText w:val="(%2)"/>
      <w:numFmt w:val="lowerLetter"/>
      <w:start w:val="3"/>
    </w:lvl>
  </w:abstractNum>
  <w:abstractNum w:abstractNumId="79">
    <w:nsid w:val="49DA307D"/>
    <w:multiLevelType w:val="hybridMultilevel"/>
    <w:lvl w:ilvl="0">
      <w:lvlJc w:val="left"/>
      <w:lvlText w:val="(%1)"/>
      <w:numFmt w:val="lowerLetter"/>
      <w:start w:val="24"/>
    </w:lvl>
    <w:lvl w:ilvl="1">
      <w:lvlJc w:val="left"/>
      <w:lvlText w:val="(%2)"/>
      <w:numFmt w:val="lowerLetter"/>
      <w:start w:val="4"/>
    </w:lvl>
  </w:abstractNum>
  <w:abstractNum w:abstractNumId="80">
    <w:nsid w:val="7055A5F5"/>
    <w:multiLevelType w:val="hybridMultilevel"/>
    <w:lvl w:ilvl="0">
      <w:lvlJc w:val="left"/>
      <w:lvlText w:val="(%1)"/>
      <w:numFmt w:val="lowerLetter"/>
      <w:start w:val="2"/>
    </w:lvl>
  </w:abstractNum>
  <w:abstractNum w:abstractNumId="81">
    <w:nsid w:val="5FB8370B"/>
    <w:multiLevelType w:val="hybridMultilevel"/>
    <w:lvl w:ilvl="0">
      <w:lvlJc w:val="left"/>
      <w:lvlText w:val="(%1)"/>
      <w:numFmt w:val="lowerLetter"/>
      <w:start w:val="3"/>
    </w:lvl>
  </w:abstractNum>
  <w:abstractNum w:abstractNumId="82">
    <w:nsid w:val="50801EE1"/>
    <w:multiLevelType w:val="hybridMultilevel"/>
    <w:lvl w:ilvl="0">
      <w:lvlJc w:val="left"/>
      <w:lvlText w:val="(%1)"/>
      <w:numFmt w:val="lowerLetter"/>
      <w:start w:val="6"/>
    </w:lvl>
  </w:abstractNum>
  <w:abstractNum w:abstractNumId="83">
    <w:nsid w:val="488AC1A"/>
    <w:multiLevelType w:val="hybridMultilevel"/>
    <w:lvl w:ilvl="0">
      <w:lvlJc w:val="left"/>
      <w:lvlText w:val="(%1)"/>
      <w:numFmt w:val="lowerLetter"/>
      <w:start w:val="7"/>
    </w:lvl>
  </w:abstractNum>
  <w:abstractNum w:abstractNumId="84">
    <w:nsid w:val="5FB8011C"/>
    <w:multiLevelType w:val="hybridMultilevel"/>
    <w:lvl w:ilvl="0">
      <w:lvlJc w:val="left"/>
      <w:lvlText w:val="(%1)"/>
      <w:numFmt w:val="lowerLetter"/>
      <w:start w:val="2"/>
    </w:lvl>
  </w:abstractNum>
  <w:abstractNum w:abstractNumId="85">
    <w:nsid w:val="6AA78F7F"/>
    <w:multiLevelType w:val="hybridMultilevel"/>
    <w:lvl w:ilvl="0">
      <w:lvlJc w:val="left"/>
      <w:lvlText w:val="(%1)"/>
      <w:numFmt w:val="lowerLetter"/>
      <w:start w:val="2"/>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Letter"/>
      <w:start w:val="2"/>
    </w:lvl>
  </w:abstractNum>
  <w:abstractNum w:abstractNumId="88">
    <w:nsid w:val="6A5F7029"/>
    <w:multiLevelType w:val="hybridMultilevel"/>
    <w:lvl w:ilvl="0">
      <w:lvlJc w:val="left"/>
      <w:lvlText w:val="(%1)"/>
      <w:numFmt w:val="lowerRoman"/>
      <w:start w:val="3"/>
    </w:lvl>
  </w:abstractNum>
  <w:abstractNum w:abstractNumId="89">
    <w:nsid w:val="7D5E18F8"/>
    <w:multiLevelType w:val="hybridMultilevel"/>
    <w:lvl w:ilvl="0">
      <w:lvlJc w:val="left"/>
      <w:lvlText w:val="(%1)"/>
      <w:numFmt w:val="lowerLetter"/>
      <w:start w:val="2"/>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3"/>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2"/>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1"/>
    </w:lvl>
    <w:lvl w:ilvl="1">
      <w:lvlJc w:val="left"/>
      <w:lvlText w:val="(%2)"/>
      <w:numFmt w:val="lowerRoman"/>
      <w:start w:val="1"/>
    </w:lvl>
  </w:abstractNum>
  <w:abstractNum w:abstractNumId="96">
    <w:nsid w:val="6A3DD3E8"/>
    <w:multiLevelType w:val="hybridMultilevel"/>
    <w:lvl w:ilvl="0">
      <w:lvlJc w:val="left"/>
      <w:lvlText w:val="(%1)"/>
      <w:numFmt w:val="lowerLetter"/>
      <w:start w:val="3"/>
    </w:lvl>
    <w:lvl w:ilvl="1">
      <w:lvlJc w:val="left"/>
      <w:lvlText w:val="(%2)"/>
      <w:numFmt w:val="lowerRoman"/>
      <w:start w:val="1"/>
    </w:lvl>
  </w:abstractNum>
  <w:abstractNum w:abstractNumId="97">
    <w:nsid w:val="71C91298"/>
    <w:multiLevelType w:val="hybridMultilevel"/>
    <w:lvl w:ilvl="0">
      <w:lvlJc w:val="left"/>
      <w:lvlText w:val="(%1)"/>
      <w:numFmt w:val="lowerLetter"/>
      <w:start w:val="9"/>
    </w:lvl>
    <w:lvl w:ilvl="1">
      <w:lvlJc w:val="left"/>
      <w:lvlText w:val="(%2)"/>
      <w:numFmt w:val="lowerRoman"/>
      <w:start w:val="2"/>
    </w:lvl>
  </w:abstractNum>
  <w:abstractNum w:abstractNumId="98">
    <w:nsid w:val="9DAF632"/>
    <w:multiLevelType w:val="hybridMultilevel"/>
    <w:lvl w:ilvl="0">
      <w:lvlJc w:val="left"/>
      <w:lvlText w:val="(%1)"/>
      <w:numFmt w:val="lowerLetter"/>
      <w:start w:val="4"/>
    </w:lvl>
    <w:lvl w:ilvl="1">
      <w:lvlJc w:val="left"/>
      <w:lvlText w:val="(%2)"/>
      <w:numFmt w:val="lowerRoman"/>
      <w:start w:val="1"/>
    </w:lvl>
  </w:abstractNum>
  <w:abstractNum w:abstractNumId="99">
    <w:nsid w:val="53299938"/>
    <w:multiLevelType w:val="hybridMultilevel"/>
    <w:lvl w:ilvl="0">
      <w:lvlJc w:val="left"/>
      <w:lvlText w:val="(%1)"/>
      <w:numFmt w:val="lowerRoman"/>
      <w:start w:val="2"/>
    </w:lvl>
  </w:abstractNum>
  <w:abstractNum w:abstractNumId="100">
    <w:nsid w:val="1FBFE8E0"/>
    <w:multiLevelType w:val="hybridMultilevel"/>
    <w:lvl w:ilvl="0">
      <w:lvlJc w:val="left"/>
      <w:lvlText w:val="(%1)"/>
      <w:numFmt w:val="lowerLetter"/>
      <w:start w:val="2"/>
    </w:lvl>
  </w:abstractNum>
  <w:abstractNum w:abstractNumId="101">
    <w:nsid w:val="5092CA79"/>
    <w:multiLevelType w:val="hybridMultilevel"/>
    <w:lvl w:ilvl="0">
      <w:lvlJc w:val="left"/>
      <w:lvlText w:val="(%1)"/>
      <w:numFmt w:val="lowerLetter"/>
      <w:start w:val="2"/>
    </w:lvl>
  </w:abstractNum>
  <w:abstractNum w:abstractNumId="102">
    <w:nsid w:val="1D545C4D"/>
    <w:multiLevelType w:val="hybridMultilevel"/>
    <w:lvl w:ilvl="0">
      <w:lvlJc w:val="left"/>
      <w:lvlText w:val="(%1)"/>
      <w:numFmt w:val="lowerLetter"/>
      <w:start w:val="2"/>
    </w:lvl>
  </w:abstractNum>
  <w:abstractNum w:abstractNumId="103">
    <w:nsid w:val="59ADEA3D"/>
    <w:multiLevelType w:val="hybridMultilevel"/>
    <w:lvl w:ilvl="0">
      <w:lvlJc w:val="left"/>
      <w:lvlText w:val="(%1)"/>
      <w:numFmt w:val="lowerRoman"/>
      <w:start w:val="1"/>
    </w:lvl>
  </w:abstractNum>
  <w:abstractNum w:abstractNumId="104">
    <w:nsid w:val="288F1A34"/>
    <w:multiLevelType w:val="hybridMultilevel"/>
    <w:lvl w:ilvl="0">
      <w:lvlJc w:val="left"/>
      <w:lvlText w:val="%1"/>
      <w:numFmt w:val="lowerRoman"/>
      <w:start w:val="1"/>
    </w:lvl>
    <w:lvl w:ilvl="1">
      <w:lvlJc w:val="left"/>
      <w:lvlText w:val="(%2)"/>
      <w:numFmt w:val="lowerRoman"/>
      <w:start w:val="3"/>
    </w:lvl>
  </w:abstractNum>
  <w:abstractNum w:abstractNumId="105">
    <w:nsid w:val="2A155DBC"/>
    <w:multiLevelType w:val="hybridMultilevel"/>
    <w:lvl w:ilvl="0">
      <w:lvlJc w:val="left"/>
      <w:lvlText w:val="(%1)"/>
      <w:numFmt w:val="lowerRoman"/>
      <w:start w:val="3"/>
    </w:lvl>
    <w:lvl w:ilvl="1">
      <w:lvlJc w:val="left"/>
      <w:lvlText w:val="%2"/>
      <w:numFmt w:val="lowerRoman"/>
      <w:start w:val="1"/>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lowerLetter"/>
      <w:start w:val="2"/>
    </w:lvl>
    <w:lvl w:ilvl="1">
      <w:lvlJc w:val="left"/>
      <w:lvlText w:val="(%2)"/>
      <w:numFmt w:val="lowerRoman"/>
      <w:start w:val="1"/>
    </w:lvl>
  </w:abstractNum>
  <w:abstractNum w:abstractNumId="108">
    <w:nsid w:val="51088277"/>
    <w:multiLevelType w:val="hybridMultilevel"/>
    <w:lvl w:ilvl="0">
      <w:lvlJc w:val="left"/>
      <w:lvlText w:val="(%1)"/>
      <w:numFmt w:val="lowerLetter"/>
      <w:start w:val="2"/>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2019-12-07T03:03:20Z</dcterms:created>
  <dcterms:modified xsi:type="dcterms:W3CDTF">2019-12-07T03:03:20Z</dcterms:modified>
</cp:coreProperties>
</file>