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0" w:lineRule="exact"/>
        <w:rPr>
          <w:sz w:val="24"/>
          <w:szCs w:val="24"/>
          <w:color w:val="auto"/>
        </w:rPr>
      </w:pPr>
    </w:p>
    <w:p>
      <w:pPr>
        <w:spacing w:after="0" w:line="29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120" w:type="dxa"/>
            <w:vAlign w:val="bottom"/>
            <w:tcBorders>
              <w:top w:val="single" w:sz="8" w:color="auto"/>
              <w:bottom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720" w:type="dxa"/>
            <w:vAlign w:val="bottom"/>
            <w:tcBorders>
              <w:right w:val="single" w:sz="8" w:color="auto"/>
            </w:tcBorders>
          </w:tcPr>
          <w:p>
            <w:pPr>
              <w:jc w:val="center"/>
              <w:ind w:left="6"/>
              <w:spacing w:after="0" w:line="106" w:lineRule="exact"/>
              <w:rPr>
                <w:sz w:val="20"/>
                <w:szCs w:val="20"/>
                <w:color w:val="auto"/>
              </w:rPr>
            </w:pPr>
            <w:r>
              <w:rPr>
                <w:rFonts w:ascii="Arial" w:cs="Arial" w:eastAsia="Arial" w:hAnsi="Arial"/>
                <w:sz w:val="12"/>
                <w:szCs w:val="12"/>
                <w:b w:val="1"/>
                <w:bCs w:val="1"/>
                <w:color w:val="auto"/>
              </w:rPr>
              <w:t>Proposed 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2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tcPr>
          <w:p>
            <w:pPr>
              <w:jc w:val="center"/>
              <w:ind w:left="6"/>
              <w:spacing w:after="0" w:line="145"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72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8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4.60% Notes due 2046</w:t>
            </w:r>
          </w:p>
        </w:tc>
        <w:tc>
          <w:tcPr>
            <w:tcW w:w="172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w w:val="89"/>
              </w:rPr>
              <w:t>$1,490,000,000</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8"/>
                <w:szCs w:val="18"/>
                <w:color w:val="auto"/>
                <w:w w:val="89"/>
              </w:rPr>
              <w:t>$150,043.00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(1)</w:t>
        <w:tab/>
        <w:t>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8880"/>
        <w:spacing w:after="0"/>
        <w:rPr>
          <w:sz w:val="20"/>
          <w:szCs w:val="20"/>
          <w:color w:val="auto"/>
        </w:rPr>
      </w:pPr>
      <w:r>
        <w:rPr>
          <w:rFonts w:ascii="Arial" w:cs="Arial" w:eastAsia="Arial" w:hAnsi="Arial"/>
          <w:sz w:val="16"/>
          <w:szCs w:val="16"/>
          <w:b w:val="1"/>
          <w:bCs w:val="1"/>
          <w:color w:val="auto"/>
        </w:rPr>
        <w:t>Filed Pursuant to Rule 424(b)(2)</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333-191239</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(To prospectus dated November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73660</wp:posOffset>
            </wp:positionV>
            <wp:extent cx="1397635"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$1,490,000,000 4.60%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4" w:lineRule="exact"/>
        <w:rPr>
          <w:sz w:val="20"/>
          <w:szCs w:val="20"/>
          <w:color w:val="auto"/>
        </w:rPr>
      </w:pPr>
    </w:p>
    <w:p>
      <w:pPr>
        <w:ind w:right="560" w:firstLine="342"/>
        <w:spacing w:after="0" w:line="253" w:lineRule="auto"/>
        <w:rPr>
          <w:sz w:val="20"/>
          <w:szCs w:val="20"/>
          <w:color w:val="auto"/>
        </w:rPr>
      </w:pPr>
      <w:r>
        <w:rPr>
          <w:rFonts w:ascii="Arial" w:cs="Arial" w:eastAsia="Arial" w:hAnsi="Arial"/>
          <w:sz w:val="14"/>
          <w:szCs w:val="14"/>
          <w:color w:val="auto"/>
        </w:rPr>
        <w:t>We are offering U.S. $1,490,000,000 of 4.60% notes due 2046 (the “notes”). The notes will bear interest at a rate of 4.60% per year and will mature on February 1, 2046 unless earlier redeemed. We will pay interest on the notes on February 1 and August 1 of each year, beginning on February 1, 2016 (short first coupon).</w:t>
      </w:r>
    </w:p>
    <w:p>
      <w:pPr>
        <w:spacing w:after="0" w:line="66" w:lineRule="exact"/>
        <w:rPr>
          <w:sz w:val="20"/>
          <w:szCs w:val="20"/>
          <w:color w:val="auto"/>
        </w:rPr>
      </w:pPr>
    </w:p>
    <w:p>
      <w:pPr>
        <w:ind w:right="20" w:firstLine="342"/>
        <w:spacing w:after="0" w:line="264" w:lineRule="auto"/>
        <w:rPr>
          <w:sz w:val="20"/>
          <w:szCs w:val="20"/>
          <w:color w:val="auto"/>
        </w:rPr>
      </w:pPr>
      <w:r>
        <w:rPr>
          <w:rFonts w:ascii="Arial" w:cs="Arial" w:eastAsia="Arial" w:hAnsi="Arial"/>
          <w:sz w:val="13"/>
          <w:szCs w:val="13"/>
          <w:color w:val="auto"/>
        </w:rPr>
        <w:t>We may redeem the notes, in whole but not in part, on each February 1 on or after February 1, 2018 at a redemption price equal to 100% of the principal amount of the notes being redeemed plus accrued and unpaid interest to, but not including, the redemption date. See “Description of Notes—Optional Redemption” on page S-9 of this prospectus supplement. In addition, we may redeem the notes, in whole but not in part, at any time at our option, in the event of certain developments affecting United States taxation. See “Description of Notes—Redemption for Tax Reasons.”</w:t>
      </w:r>
    </w:p>
    <w:p>
      <w:pPr>
        <w:spacing w:after="0" w:line="60" w:lineRule="exact"/>
        <w:rPr>
          <w:sz w:val="20"/>
          <w:szCs w:val="20"/>
          <w:color w:val="auto"/>
        </w:rPr>
      </w:pPr>
    </w:p>
    <w:p>
      <w:pPr>
        <w:ind w:right="220" w:firstLine="342"/>
        <w:spacing w:after="0" w:line="253" w:lineRule="auto"/>
        <w:rPr>
          <w:sz w:val="20"/>
          <w:szCs w:val="20"/>
          <w:color w:val="auto"/>
        </w:rPr>
      </w:pPr>
      <w:r>
        <w:rPr>
          <w:rFonts w:ascii="Arial" w:cs="Arial" w:eastAsia="Arial" w:hAnsi="Arial"/>
          <w:sz w:val="14"/>
          <w:szCs w:val="14"/>
          <w:color w:val="auto"/>
        </w:rPr>
        <w:t>The notes will be unsecured and will rank equally with all of our and the guarantors’ unsecured and unsubordinated indebtedness. The notes will be fully and unconditionally guaranteed by our wholly-owned subsidiaries named in this prospectus supplement and in the accompanying prospectus.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There is no sinking fund for the notes. The notes will be issued in minimum denominations of U.S. $100,000 and multiples of U.S.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149860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9" w:lineRule="exact"/>
        <w:rPr>
          <w:sz w:val="20"/>
          <w:szCs w:val="20"/>
          <w:color w:val="auto"/>
        </w:rPr>
      </w:pPr>
    </w:p>
    <w:p>
      <w:pPr>
        <w:jc w:val="both"/>
        <w:ind w:right="300" w:firstLine="456"/>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these securities involves certain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of this prospectus supplement and “Item 1A— Risk Factors” beginning on page 30 of Comcast Corporation’s (“Comcast”) Annual Report on Form 10-K for the year ended December 31, 2014, which is incorporated by reference herein.</w:t>
      </w:r>
    </w:p>
    <w:p>
      <w:pPr>
        <w:spacing w:after="0" w:line="68" w:lineRule="exact"/>
        <w:rPr>
          <w:sz w:val="20"/>
          <w:szCs w:val="20"/>
          <w:color w:val="auto"/>
        </w:rPr>
      </w:pPr>
    </w:p>
    <w:p>
      <w:pPr>
        <w:ind w:firstLine="342"/>
        <w:spacing w:after="0" w:line="249" w:lineRule="auto"/>
        <w:rPr>
          <w:sz w:val="20"/>
          <w:szCs w:val="20"/>
          <w:color w:val="auto"/>
        </w:rPr>
      </w:pPr>
      <w:r>
        <w:rPr>
          <w:rFonts w:ascii="Arial" w:cs="Arial" w:eastAsia="Arial" w:hAnsi="Arial"/>
          <w:sz w:val="13"/>
          <w:szCs w:val="13"/>
          <w:color w:val="auto"/>
        </w:rPr>
        <w:t>Application will be made to the Taipei Exchange (the “TPEx”) for the listing of, and permission to deal in, the notes by way of debt issues only to “professional institutional investors” as defined under Item 1 of Proviso to Paragraph 1 of Article 4 of the Financial Consumer Protection Act of the Republic of China (the “ROC”), and such permission is expected to become effective on or about December 9, 2015. The TPEx is not responsible for the content of this prospectus supplement or the accompanying prospectus, and no representation is made by the TPEx as to the accuracy or completeness of this prospectus supplement or the accompanying prospectus. The TPEx expressly disclaims any and all liability for any losses arising from, or as a result of the reliance on, all or part of the contents of this prospectus supplement or the accompanying prospectus. Admission to the listing and trading of the notes on the TPEx shall not be taken as an indication of the merits of us or the notes. No assurance can be given that such application will be approved, or that the TPEx listing will be maintained.</w:t>
      </w:r>
    </w:p>
    <w:p>
      <w:pPr>
        <w:spacing w:after="0" w:line="69" w:lineRule="exact"/>
        <w:rPr>
          <w:sz w:val="20"/>
          <w:szCs w:val="20"/>
          <w:color w:val="auto"/>
        </w:rPr>
      </w:pPr>
    </w:p>
    <w:p>
      <w:pPr>
        <w:ind w:right="20" w:firstLine="342"/>
        <w:spacing w:after="0" w:line="228" w:lineRule="auto"/>
        <w:rPr>
          <w:sz w:val="20"/>
          <w:szCs w:val="20"/>
          <w:color w:val="auto"/>
        </w:rPr>
      </w:pPr>
      <w:r>
        <w:rPr>
          <w:rFonts w:ascii="Arial" w:cs="Arial" w:eastAsia="Arial" w:hAnsi="Arial"/>
          <w:sz w:val="14"/>
          <w:szCs w:val="14"/>
          <w:color w:val="auto"/>
        </w:rPr>
        <w:t>The notes have not been, and shall not be, offered, sold or re-sold, directly or indirectly, to investors other than “professional institutional investors” as defined under Item 1 of Proviso to Paragraph 1 of Article 4 of the Financial Consumer Protection Act, which currently include: overseas or domestic (i) banks, securities firms, futures firms and insurance companies (excluding insurance agencies, insurance brokers and insurance notaries), the foregoing as further defined in more details in Paragraph 3 of Article 2 of the Organic Act of the Financial Supervisory Commission, (ii) fund management companies, government investment institutions, government funds, pension funds, mutual funds, unit trusts, and funds managed by financial service enterprises pursuant to the Securities Investment Trust and Consulting Act, the Future Trading Act or the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7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Price to Investors</w:t>
            </w:r>
          </w:p>
        </w:tc>
        <w:tc>
          <w:tcPr>
            <w:tcW w:w="760" w:type="dxa"/>
            <w:vAlign w:val="bottom"/>
            <w:vMerge w:val="restart"/>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Selling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Proceeds to Us</w:t>
            </w:r>
          </w:p>
        </w:tc>
        <w:tc>
          <w:tcPr>
            <w:tcW w:w="0" w:type="dxa"/>
            <w:vAlign w:val="bottom"/>
          </w:tcPr>
          <w:p>
            <w:pPr>
              <w:spacing w:after="0"/>
              <w:rPr>
                <w:sz w:val="1"/>
                <w:szCs w:val="1"/>
                <w:color w:val="auto"/>
              </w:rPr>
            </w:pPr>
          </w:p>
        </w:tc>
      </w:tr>
      <w:tr>
        <w:trPr>
          <w:trHeight w:val="171"/>
        </w:trPr>
        <w:tc>
          <w:tcPr>
            <w:tcW w:w="4980" w:type="dxa"/>
            <w:vAlign w:val="bottom"/>
            <w:vMerge w:val="restart"/>
          </w:tcPr>
          <w:p>
            <w:pPr>
              <w:spacing w:after="0"/>
              <w:rPr>
                <w:sz w:val="20"/>
                <w:szCs w:val="20"/>
                <w:color w:val="auto"/>
              </w:rPr>
            </w:pPr>
            <w:r>
              <w:rPr>
                <w:rFonts w:ascii="Arial" w:cs="Arial" w:eastAsia="Arial" w:hAnsi="Arial"/>
                <w:sz w:val="14"/>
                <w:szCs w:val="14"/>
                <w:color w:val="auto"/>
              </w:rPr>
              <w:t>Per note due 2046</w:t>
            </w:r>
            <w:r>
              <w:rPr>
                <w:rFonts w:ascii="Arial" w:cs="Arial" w:eastAsia="Arial" w:hAnsi="Arial"/>
                <w:sz w:val="12"/>
                <w:szCs w:val="12"/>
                <w:color w:val="auto"/>
              </w:rPr>
              <w:t>(1)</w:t>
            </w:r>
          </w:p>
        </w:tc>
        <w:tc>
          <w:tcPr>
            <w:tcW w:w="1080" w:type="dxa"/>
            <w:vAlign w:val="bottom"/>
            <w:tcBorders>
              <w:bottom w:val="single" w:sz="8" w:color="auto"/>
            </w:tcBorders>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Discount</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8"/>
              </w:rPr>
              <w:t>Before Expenses</w:t>
            </w:r>
            <w:r>
              <w:rPr>
                <w:rFonts w:ascii="Arial" w:cs="Arial" w:eastAsia="Arial" w:hAnsi="Arial"/>
                <w:sz w:val="12"/>
                <w:szCs w:val="12"/>
                <w:b w:val="1"/>
                <w:bCs w:val="1"/>
                <w:color w:val="auto"/>
                <w:w w:val="88"/>
              </w:rPr>
              <w:t>(2)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980" w:type="dxa"/>
            <w:vAlign w:val="bottom"/>
            <w:vMerge w:val="continue"/>
          </w:tcPr>
          <w:p>
            <w:pPr>
              <w:spacing w:after="0"/>
              <w:rPr>
                <w:sz w:val="10"/>
                <w:szCs w:val="10"/>
                <w:color w:val="auto"/>
              </w:rPr>
            </w:pPr>
          </w:p>
        </w:tc>
        <w:tc>
          <w:tcPr>
            <w:tcW w:w="1840" w:type="dxa"/>
            <w:vAlign w:val="bottom"/>
            <w:gridSpan w:val="2"/>
          </w:tcPr>
          <w:p>
            <w:pPr>
              <w:jc w:val="right"/>
              <w:ind w:right="640"/>
              <w:spacing w:after="0" w:line="123" w:lineRule="exact"/>
              <w:rPr>
                <w:sz w:val="20"/>
                <w:szCs w:val="20"/>
                <w:color w:val="auto"/>
              </w:rPr>
            </w:pPr>
            <w:r>
              <w:rPr>
                <w:rFonts w:ascii="Arial" w:cs="Arial" w:eastAsia="Arial" w:hAnsi="Arial"/>
                <w:sz w:val="14"/>
                <w:szCs w:val="14"/>
                <w:color w:val="auto"/>
              </w:rPr>
              <w:t>100.000%</w:t>
            </w:r>
          </w:p>
        </w:tc>
        <w:tc>
          <w:tcPr>
            <w:tcW w:w="1120" w:type="dxa"/>
            <w:vAlign w:val="bottom"/>
            <w:gridSpan w:val="2"/>
          </w:tcPr>
          <w:p>
            <w:pPr>
              <w:jc w:val="right"/>
              <w:ind w:right="340"/>
              <w:spacing w:after="0" w:line="123" w:lineRule="exact"/>
              <w:rPr>
                <w:sz w:val="20"/>
                <w:szCs w:val="20"/>
                <w:color w:val="auto"/>
              </w:rPr>
            </w:pPr>
            <w:r>
              <w:rPr>
                <w:rFonts w:ascii="Arial" w:cs="Arial" w:eastAsia="Arial" w:hAnsi="Arial"/>
                <w:sz w:val="14"/>
                <w:szCs w:val="14"/>
                <w:color w:val="auto"/>
              </w:rPr>
              <w:t>0.100%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99.250%</w:t>
            </w:r>
          </w:p>
        </w:tc>
        <w:tc>
          <w:tcPr>
            <w:tcW w:w="0" w:type="dxa"/>
            <w:vAlign w:val="bottom"/>
          </w:tcPr>
          <w:p>
            <w:pPr>
              <w:spacing w:after="0"/>
              <w:rPr>
                <w:sz w:val="1"/>
                <w:szCs w:val="1"/>
                <w:color w:val="auto"/>
              </w:rPr>
            </w:pPr>
          </w:p>
        </w:tc>
      </w:tr>
      <w:tr>
        <w:trPr>
          <w:trHeight w:val="182"/>
        </w:trPr>
        <w:tc>
          <w:tcPr>
            <w:tcW w:w="4980" w:type="dxa"/>
            <w:vAlign w:val="bottom"/>
          </w:tcPr>
          <w:p>
            <w:pPr>
              <w:spacing w:after="0"/>
              <w:rPr>
                <w:sz w:val="20"/>
                <w:szCs w:val="20"/>
                <w:color w:val="auto"/>
              </w:rPr>
            </w:pPr>
            <w:r>
              <w:rPr>
                <w:rFonts w:ascii="Arial" w:cs="Arial" w:eastAsia="Arial" w:hAnsi="Arial"/>
                <w:sz w:val="14"/>
                <w:szCs w:val="14"/>
                <w:color w:val="auto"/>
              </w:rPr>
              <w:t>Total</w:t>
            </w:r>
          </w:p>
        </w:tc>
        <w:tc>
          <w:tcPr>
            <w:tcW w:w="1840" w:type="dxa"/>
            <w:vAlign w:val="bottom"/>
            <w:gridSpan w:val="2"/>
          </w:tcPr>
          <w:p>
            <w:pPr>
              <w:jc w:val="right"/>
              <w:ind w:right="760"/>
              <w:spacing w:after="0"/>
              <w:rPr>
                <w:sz w:val="20"/>
                <w:szCs w:val="20"/>
                <w:color w:val="auto"/>
              </w:rPr>
            </w:pPr>
            <w:r>
              <w:rPr>
                <w:rFonts w:ascii="Arial" w:cs="Arial" w:eastAsia="Arial" w:hAnsi="Arial"/>
                <w:sz w:val="14"/>
                <w:szCs w:val="14"/>
                <w:color w:val="auto"/>
                <w:w w:val="97"/>
              </w:rPr>
              <w:t>$   1,490,000,000</w:t>
            </w:r>
          </w:p>
        </w:tc>
        <w:tc>
          <w:tcPr>
            <w:tcW w:w="1120" w:type="dxa"/>
            <w:vAlign w:val="bottom"/>
            <w:gridSpan w:val="2"/>
          </w:tcPr>
          <w:p>
            <w:pPr>
              <w:jc w:val="right"/>
              <w:ind w:right="460"/>
              <w:spacing w:after="0"/>
              <w:rPr>
                <w:sz w:val="20"/>
                <w:szCs w:val="20"/>
                <w:color w:val="auto"/>
              </w:rPr>
            </w:pPr>
            <w:r>
              <w:rPr>
                <w:rFonts w:ascii="Arial" w:cs="Arial" w:eastAsia="Arial" w:hAnsi="Arial"/>
                <w:sz w:val="14"/>
                <w:szCs w:val="14"/>
                <w:color w:val="auto"/>
                <w:w w:val="86"/>
              </w:rPr>
              <w:t>$ 1,490,000</w:t>
            </w:r>
          </w:p>
        </w:tc>
        <w:tc>
          <w:tcPr>
            <w:tcW w:w="4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1,478,825,000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Plus accrued interest, if any, from December 9, 2015, if settlement occurs after that date.</w:t>
      </w:r>
    </w:p>
    <w:p>
      <w:pPr>
        <w:ind w:left="340" w:right="120" w:hanging="332"/>
        <w:spacing w:after="0" w:line="22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net proceeds to us reflect the initial price to investors set forth above as reduced by (a) the selling discount set forth above and (b) an aggregate fee of $9,685,000 that we will pay to J.P. Morgan Securities LLC, Morgan Stanley &amp; Co. LLC, BNP Paribas Securities Corp., Mitsubishi UFJ Securities (USA), Inc., Academy Securities, Inc., CAVU Securities, LLC, Drexel Hamilton, LLC, Mischler Financial Group, Inc. and Multi-Bank Securities, Inc. (together, the “structuring agents”) in connection with structuring services that they provided in connection with the notes. J.P. Morgan and Morgan Stanley have agreed to reimburse us for certain of our expenses. The structuring agents, each as an entity not licensed in the ROC, have not offered or sold, and will not subscribe for or sell or underwrite, any notes offered hereby. See “Selling.”</w:t>
      </w:r>
    </w:p>
    <w:p>
      <w:pPr>
        <w:spacing w:after="0" w:line="73" w:lineRule="exact"/>
        <w:rPr>
          <w:sz w:val="20"/>
          <w:szCs w:val="20"/>
          <w:color w:val="auto"/>
        </w:rPr>
      </w:pPr>
    </w:p>
    <w:p>
      <w:pPr>
        <w:ind w:right="160" w:firstLine="342"/>
        <w:spacing w:after="0" w:line="259"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62" w:lineRule="exact"/>
        <w:rPr>
          <w:sz w:val="20"/>
          <w:szCs w:val="20"/>
          <w:color w:val="auto"/>
        </w:rPr>
      </w:pPr>
    </w:p>
    <w:p>
      <w:pPr>
        <w:ind w:right="280" w:firstLine="342"/>
        <w:spacing w:after="0" w:line="291" w:lineRule="auto"/>
        <w:rPr>
          <w:sz w:val="20"/>
          <w:szCs w:val="20"/>
          <w:color w:val="auto"/>
        </w:rPr>
      </w:pPr>
      <w:r>
        <w:rPr>
          <w:rFonts w:ascii="Arial" w:cs="Arial" w:eastAsia="Arial" w:hAnsi="Arial"/>
          <w:sz w:val="13"/>
          <w:szCs w:val="13"/>
          <w:color w:val="auto"/>
        </w:rPr>
        <w:t>The managers expect to deliver the notes to investors in book-entry delivery only form through the facilities of Clearstream Banking, société anonyme (“Clearstream”) and Euroclear Bank S.A./N.V. as operator of the Euroclear System (“Euroclear”), on or about December 9, 2015, which is the eleventh business day following the date of this prospectus supplement. See “Selling.”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116205</wp:posOffset>
            </wp:positionV>
            <wp:extent cx="20326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Joint Book-Running Managers</w:t>
      </w:r>
    </w:p>
    <w:p>
      <w:pPr>
        <w:spacing w:after="0" w:line="109" w:lineRule="exact"/>
        <w:rPr>
          <w:sz w:val="20"/>
          <w:szCs w:val="20"/>
          <w:color w:val="auto"/>
        </w:rPr>
      </w:pPr>
    </w:p>
    <w:tbl>
      <w:tblPr>
        <w:tblLayout w:type="fixed"/>
        <w:tblInd w:w="1220" w:type="dxa"/>
        <w:tblCellMar>
          <w:top w:w="0" w:type="dxa"/>
          <w:left w:w="0" w:type="dxa"/>
          <w:bottom w:w="0" w:type="dxa"/>
          <w:right w:w="0" w:type="dxa"/>
        </w:tblCellMar>
      </w:tblPr>
      <w:tr>
        <w:trPr>
          <w:trHeight w:val="216"/>
        </w:trPr>
        <w:tc>
          <w:tcPr>
            <w:tcW w:w="2020" w:type="dxa"/>
            <w:vAlign w:val="bottom"/>
          </w:tcPr>
          <w:p>
            <w:pPr>
              <w:jc w:val="center"/>
              <w:ind w:right="470"/>
              <w:spacing w:after="0"/>
              <w:rPr>
                <w:sz w:val="20"/>
                <w:szCs w:val="20"/>
                <w:color w:val="auto"/>
              </w:rPr>
            </w:pPr>
            <w:r>
              <w:rPr>
                <w:rFonts w:ascii="Arial" w:cs="Arial" w:eastAsia="Arial" w:hAnsi="Arial"/>
                <w:sz w:val="18"/>
                <w:szCs w:val="18"/>
                <w:b w:val="1"/>
                <w:bCs w:val="1"/>
                <w:color w:val="auto"/>
                <w:w w:val="91"/>
              </w:rPr>
              <w:t>E.Sun Commercial</w:t>
            </w:r>
          </w:p>
        </w:tc>
        <w:tc>
          <w:tcPr>
            <w:tcW w:w="880" w:type="dxa"/>
            <w:vAlign w:val="bottom"/>
          </w:tcPr>
          <w:p>
            <w:pPr>
              <w:spacing w:after="0"/>
              <w:rPr>
                <w:sz w:val="18"/>
                <w:szCs w:val="18"/>
                <w:color w:val="auto"/>
              </w:rPr>
            </w:pPr>
          </w:p>
        </w:tc>
        <w:tc>
          <w:tcPr>
            <w:tcW w:w="4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2"/>
              </w:rPr>
              <w:t>MasterLink Securities</w:t>
            </w:r>
          </w:p>
        </w:tc>
        <w:tc>
          <w:tcPr>
            <w:tcW w:w="2060" w:type="dxa"/>
            <w:vAlign w:val="bottom"/>
          </w:tcPr>
          <w:p>
            <w:pPr>
              <w:jc w:val="center"/>
              <w:ind w:left="550"/>
              <w:spacing w:after="0"/>
              <w:rPr>
                <w:sz w:val="20"/>
                <w:szCs w:val="20"/>
                <w:color w:val="auto"/>
              </w:rPr>
            </w:pPr>
            <w:r>
              <w:rPr>
                <w:rFonts w:ascii="Arial" w:cs="Arial" w:eastAsia="Arial" w:hAnsi="Arial"/>
                <w:sz w:val="18"/>
                <w:szCs w:val="18"/>
                <w:b w:val="1"/>
                <w:bCs w:val="1"/>
                <w:color w:val="auto"/>
                <w:w w:val="87"/>
              </w:rPr>
              <w:t>SinoPac Securities</w:t>
            </w:r>
          </w:p>
        </w:tc>
      </w:tr>
      <w:tr>
        <w:trPr>
          <w:trHeight w:val="234"/>
        </w:trPr>
        <w:tc>
          <w:tcPr>
            <w:tcW w:w="2020" w:type="dxa"/>
            <w:vAlign w:val="bottom"/>
          </w:tcPr>
          <w:p>
            <w:pPr>
              <w:jc w:val="center"/>
              <w:ind w:right="470"/>
              <w:spacing w:after="0"/>
              <w:rPr>
                <w:sz w:val="20"/>
                <w:szCs w:val="20"/>
                <w:color w:val="auto"/>
              </w:rPr>
            </w:pPr>
            <w:r>
              <w:rPr>
                <w:rFonts w:ascii="Arial" w:cs="Arial" w:eastAsia="Arial" w:hAnsi="Arial"/>
                <w:sz w:val="18"/>
                <w:szCs w:val="18"/>
                <w:b w:val="1"/>
                <w:bCs w:val="1"/>
                <w:color w:val="auto"/>
                <w:w w:val="94"/>
              </w:rPr>
              <w:t>Bank, Ltd.</w:t>
            </w:r>
          </w:p>
        </w:tc>
        <w:tc>
          <w:tcPr>
            <w:tcW w:w="880" w:type="dxa"/>
            <w:vAlign w:val="bottom"/>
          </w:tcPr>
          <w:p>
            <w:pPr>
              <w:spacing w:after="0"/>
              <w:rPr>
                <w:sz w:val="20"/>
                <w:szCs w:val="20"/>
                <w:color w:val="auto"/>
              </w:rPr>
            </w:pPr>
          </w:p>
        </w:tc>
        <w:tc>
          <w:tcPr>
            <w:tcW w:w="4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3"/>
              </w:rPr>
              <w:t>Corporation</w:t>
            </w:r>
          </w:p>
        </w:tc>
        <w:tc>
          <w:tcPr>
            <w:tcW w:w="2060" w:type="dxa"/>
            <w:vAlign w:val="bottom"/>
          </w:tcPr>
          <w:p>
            <w:pPr>
              <w:jc w:val="center"/>
              <w:ind w:left="570"/>
              <w:spacing w:after="0"/>
              <w:rPr>
                <w:sz w:val="20"/>
                <w:szCs w:val="20"/>
                <w:color w:val="auto"/>
              </w:rPr>
            </w:pPr>
            <w:r>
              <w:rPr>
                <w:rFonts w:ascii="Arial" w:cs="Arial" w:eastAsia="Arial" w:hAnsi="Arial"/>
                <w:sz w:val="18"/>
                <w:szCs w:val="18"/>
                <w:b w:val="1"/>
                <w:bCs w:val="1"/>
                <w:color w:val="auto"/>
                <w:w w:val="93"/>
              </w:rPr>
              <w:t>Corporation</w:t>
            </w:r>
          </w:p>
        </w:tc>
      </w:tr>
      <w:tr>
        <w:trPr>
          <w:trHeight w:val="243"/>
        </w:trPr>
        <w:tc>
          <w:tcPr>
            <w:tcW w:w="2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0" w:type="dxa"/>
            <w:vAlign w:val="bottom"/>
            <w:tcBorders>
              <w:bottom w:val="single" w:sz="8" w:color="auto"/>
            </w:tcBorders>
          </w:tcPr>
          <w:p>
            <w:pPr>
              <w:spacing w:after="0"/>
              <w:rPr>
                <w:sz w:val="21"/>
                <w:szCs w:val="21"/>
                <w:color w:val="auto"/>
              </w:rPr>
            </w:pPr>
          </w:p>
        </w:tc>
        <w:tc>
          <w:tcPr>
            <w:tcW w:w="9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65"/>
        </w:trPr>
        <w:tc>
          <w:tcPr>
            <w:tcW w:w="2020" w:type="dxa"/>
            <w:vAlign w:val="bottom"/>
          </w:tcPr>
          <w:p>
            <w:pPr>
              <w:spacing w:after="0"/>
              <w:rPr>
                <w:sz w:val="23"/>
                <w:szCs w:val="23"/>
                <w:color w:val="auto"/>
              </w:rPr>
            </w:pPr>
          </w:p>
        </w:tc>
        <w:tc>
          <w:tcPr>
            <w:tcW w:w="5000" w:type="dxa"/>
            <w:vAlign w:val="bottom"/>
            <w:gridSpan w:val="3"/>
          </w:tcPr>
          <w:p>
            <w:pPr>
              <w:ind w:left="580"/>
              <w:spacing w:after="0"/>
              <w:rPr>
                <w:sz w:val="20"/>
                <w:szCs w:val="20"/>
                <w:color w:val="auto"/>
              </w:rPr>
            </w:pPr>
            <w:r>
              <w:rPr>
                <w:rFonts w:ascii="Arial" w:cs="Arial" w:eastAsia="Arial" w:hAnsi="Arial"/>
                <w:sz w:val="14"/>
                <w:szCs w:val="14"/>
                <w:b w:val="1"/>
                <w:bCs w:val="1"/>
                <w:color w:val="auto"/>
              </w:rPr>
              <w:t>The date of this prospectus supplement is November 23, 2015.</w:t>
            </w:r>
          </w:p>
        </w:tc>
        <w:tc>
          <w:tcPr>
            <w:tcW w:w="2060" w:type="dxa"/>
            <w:vAlign w:val="bottom"/>
          </w:tcPr>
          <w:p>
            <w:pPr>
              <w:spacing w:after="0"/>
              <w:rPr>
                <w:sz w:val="23"/>
                <w:szCs w:val="23"/>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400" w:type="dxa"/>
            <w:vAlign w:val="bottom"/>
            <w:gridSpan w:val="4"/>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400" w:type="dxa"/>
            <w:vAlign w:val="bottom"/>
            <w:gridSpan w:val="4"/>
          </w:tcPr>
          <w:p>
            <w:pPr>
              <w:jc w:val="center"/>
              <w:ind w:right="4000"/>
              <w:spacing w:after="0"/>
              <w:rPr>
                <w:sz w:val="20"/>
                <w:szCs w:val="20"/>
                <w:color w:val="auto"/>
              </w:rPr>
            </w:pPr>
            <w:r>
              <w:rPr>
                <w:rFonts w:ascii="Arial" w:cs="Arial" w:eastAsia="Arial" w:hAnsi="Arial"/>
                <w:sz w:val="18"/>
                <w:szCs w:val="18"/>
                <w:b w:val="1"/>
                <w:bCs w:val="1"/>
                <w:color w:val="auto"/>
                <w:w w:val="87"/>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80" w:type="dxa"/>
            <w:vAlign w:val="bottom"/>
            <w:gridSpan w:val="11"/>
            <w:vMerge w:val="restart"/>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Where You Can Find More Information</w:t>
              </w:r>
            </w:hyperlink>
          </w:p>
        </w:tc>
        <w:tc>
          <w:tcPr>
            <w:tcW w:w="8040" w:type="dxa"/>
            <w:vAlign w:val="bottom"/>
            <w:gridSpan w:val="5"/>
            <w:vMerge w:val="restart"/>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0000EE"/>
            </w:tcBorders>
            <w:gridSpan w:val="11"/>
            <w:vMerge w:val="continue"/>
          </w:tcPr>
          <w:p>
            <w:pPr>
              <w:spacing w:after="0"/>
              <w:rPr>
                <w:sz w:val="13"/>
                <w:szCs w:val="13"/>
                <w:color w:val="auto"/>
              </w:rPr>
            </w:pPr>
          </w:p>
        </w:tc>
        <w:tc>
          <w:tcPr>
            <w:tcW w:w="8040" w:type="dxa"/>
            <w:vAlign w:val="bottom"/>
            <w:gridSpan w:val="5"/>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Information Incorporated by Reference</w:t>
              </w:r>
            </w:hyperlink>
          </w:p>
        </w:tc>
        <w:tc>
          <w:tcPr>
            <w:tcW w:w="8080" w:type="dxa"/>
            <w:vAlign w:val="bottom"/>
            <w:gridSpan w:val="6"/>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Supplement Summary</w:t>
              </w:r>
            </w:hyperlink>
          </w:p>
        </w:tc>
        <w:tc>
          <w:tcPr>
            <w:tcW w:w="848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1000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974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69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Ratios of Earnings to Fixed Charges and of Earnings to Combined Fixed Charges and Preferred</w:t>
              </w:r>
            </w:hyperlink>
          </w:p>
        </w:tc>
        <w:tc>
          <w:tcPr>
            <w:tcW w:w="402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740" w:type="dxa"/>
            <w:vAlign w:val="bottom"/>
            <w:gridSpan w:val="15"/>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Dividends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Notes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57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Material U.S. Federal Income Tax Consequences for Non-U.S. Holders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S-16</w:t>
            </w:r>
          </w:p>
        </w:tc>
        <w:tc>
          <w:tcPr>
            <w:tcW w:w="0" w:type="dxa"/>
            <w:vAlign w:val="bottom"/>
          </w:tcPr>
          <w:p>
            <w:pPr>
              <w:spacing w:after="0"/>
              <w:rPr>
                <w:sz w:val="1"/>
                <w:szCs w:val="1"/>
                <w:color w:val="auto"/>
              </w:rPr>
            </w:pPr>
          </w:p>
        </w:tc>
      </w:tr>
      <w:tr>
        <w:trPr>
          <w:trHeight w:val="196"/>
        </w:trPr>
        <w:tc>
          <w:tcPr>
            <w:tcW w:w="1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ROC Taxation</w:t>
              </w:r>
            </w:hyperlink>
          </w:p>
        </w:tc>
        <w:tc>
          <w:tcPr>
            <w:tcW w:w="4080" w:type="dxa"/>
            <w:vAlign w:val="bottom"/>
            <w:tcBorders>
              <w:top w:val="single" w:sz="8" w:color="0000EE"/>
            </w:tcBorders>
            <w:gridSpan w:val="7"/>
          </w:tcPr>
          <w:p>
            <w:pPr>
              <w:spacing w:after="0"/>
              <w:rPr>
                <w:sz w:val="17"/>
                <w:szCs w:val="17"/>
                <w:color w:val="auto"/>
              </w:rPr>
            </w:pPr>
          </w:p>
        </w:tc>
        <w:tc>
          <w:tcPr>
            <w:tcW w:w="578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Selling</w:t>
              </w:r>
            </w:hyperlink>
          </w:p>
        </w:tc>
        <w:tc>
          <w:tcPr>
            <w:tcW w:w="1040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Legal Matters</w:t>
              </w:r>
            </w:hyperlink>
          </w:p>
        </w:tc>
        <w:tc>
          <w:tcPr>
            <w:tcW w:w="990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S-24</w:t>
            </w:r>
          </w:p>
        </w:tc>
        <w:tc>
          <w:tcPr>
            <w:tcW w:w="0" w:type="dxa"/>
            <w:vAlign w:val="bottom"/>
          </w:tcPr>
          <w:p>
            <w:pPr>
              <w:spacing w:after="0"/>
              <w:rPr>
                <w:sz w:val="1"/>
                <w:szCs w:val="1"/>
                <w:color w:val="auto"/>
              </w:rPr>
            </w:pPr>
          </w:p>
        </w:tc>
      </w:tr>
      <w:tr>
        <w:trPr>
          <w:trHeight w:val="196"/>
        </w:trPr>
        <w:tc>
          <w:tcPr>
            <w:tcW w:w="10920" w:type="dxa"/>
            <w:vAlign w:val="bottom"/>
            <w:gridSpan w:val="1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S-25</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80" w:type="dxa"/>
            <w:vAlign w:val="bottom"/>
            <w:gridSpan w:val="3"/>
          </w:tcPr>
          <w:p>
            <w:pPr>
              <w:jc w:val="center"/>
              <w:ind w:right="4620"/>
              <w:spacing w:after="0"/>
              <w:rPr>
                <w:sz w:val="20"/>
                <w:szCs w:val="20"/>
                <w:color w:val="auto"/>
              </w:rPr>
            </w:pPr>
            <w:r>
              <w:rPr>
                <w:rFonts w:ascii="Arial" w:cs="Arial" w:eastAsia="Arial" w:hAnsi="Arial"/>
                <w:sz w:val="18"/>
                <w:szCs w:val="18"/>
                <w:b w:val="1"/>
                <w:bCs w:val="1"/>
                <w:color w:val="auto"/>
                <w:w w:val="85"/>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920" w:type="dxa"/>
            <w:vAlign w:val="bottom"/>
            <w:gridSpan w:val="16"/>
          </w:tcPr>
          <w:p>
            <w:pPr>
              <w:spacing w:after="0"/>
              <w:rPr>
                <w:sz w:val="20"/>
                <w:szCs w:val="20"/>
                <w:color w:val="auto"/>
              </w:rPr>
            </w:pPr>
            <w:r>
              <w:rPr>
                <w:rFonts w:ascii="Arial" w:cs="Arial" w:eastAsia="Arial" w:hAnsi="Arial"/>
                <w:sz w:val="18"/>
                <w:szCs w:val="18"/>
                <w:color w:val="auto"/>
              </w:rPr>
              <w:t>The Companies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Caution Concerning Forward-Looking Statements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Use of Proceeds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Dividend Policy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Ratios of Earnings to Fixed Charges and of Earnings to Combined Fixed Charges and Preferred Dividends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Description of Debt Securities and Guarantees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Global Securities</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Description of Capital Stock</w:t>
            </w: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Plan of Distribution</w:t>
            </w: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Legal Matters</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Experts</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920" w:type="dxa"/>
            <w:vAlign w:val="bottom"/>
            <w:gridSpan w:val="16"/>
          </w:tcPr>
          <w:p>
            <w:pPr>
              <w:spacing w:after="0"/>
              <w:rPr>
                <w:sz w:val="20"/>
                <w:szCs w:val="20"/>
                <w:color w:val="auto"/>
              </w:rPr>
            </w:pPr>
            <w:r>
              <w:rPr>
                <w:rFonts w:ascii="Arial" w:cs="Arial" w:eastAsia="Arial" w:hAnsi="Arial"/>
                <w:sz w:val="18"/>
                <w:szCs w:val="18"/>
                <w:color w:val="auto"/>
              </w:rPr>
              <w:t>Available Information</w:t>
            </w: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920" w:type="dxa"/>
            <w:vAlign w:val="bottom"/>
            <w:gridSpan w:val="16"/>
          </w:tcPr>
          <w:p>
            <w:pPr>
              <w:spacing w:after="0"/>
              <w:rPr>
                <w:sz w:val="20"/>
                <w:szCs w:val="20"/>
                <w:color w:val="auto"/>
              </w:rPr>
            </w:pPr>
            <w:r>
              <w:rPr>
                <w:rFonts w:ascii="Arial" w:cs="Arial" w:eastAsia="Arial" w:hAnsi="Arial"/>
                <w:sz w:val="18"/>
                <w:szCs w:val="18"/>
                <w:color w:val="auto"/>
              </w:rPr>
              <w:t>Incorporation of Certain Documents by Reference</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have not, and the managers have not, authorized anyone to provide you any information other than that contained or incorporated by reference in this prospectus supplement, the accompanying prospectus or in any free writing prospectus prepared by or on behalf of us or to which we have referred you. Neither we nor the managers take any responsibility for, or can provide any assurance as to the reliability of, any other information that others may give you. If information in this prospectus supplement is inconsistent with the accompanying prospectus, you should rely on this prospectus supplement. We are not, and the managers are not, making an offer of these securities in any jurisdiction where the offer or sale is not permitted. You should not assume that the information provided in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w:t>
      </w:r>
    </w:p>
    <w:p>
      <w:pPr>
        <w:spacing w:after="0" w:line="179"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References herein to “U.S. $”, “$” and “dollars” are to the currency of the United States. The financial information presented in this prospectus supplement and the accompanying prospectus has been prepared in accordance with Generally Accepted Accounting Principles in the United States.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proxy statements and information statements and amendments to reports filed or furnished pursuant to the Securities Exchange Act of 1934, as amended (the “Exchange Act”), with the Securities and Exchange Commission (the “SEC”). You may read and copy any materials we file at the SEC’s Public Reference Room at 100 F Street, N.E., Washington, D.C. 20549. Please call the SEC at 1-888-SEC-0330 for further information about the Public Reference Room. The SEC also maintains an internet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periodic and current reports, proxy and information statements, and other information regarding registrants that file electronically with the SEC.</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supplement is part of a registration statement that we filed with the SEC, using a “shelf” registration process under the Securities Act of 1933, as amended (the “Securities Act”), relating to the securities to be offered. This prospectus supplement does not contain all of the information set forth in the registration statement, certain parts of which are omitted in accordance with the rules and regulations of the SEC. For further information with respect to Comcast and the notes offered by this prospectus supplement, reference is hereby made to the registration statement. The registration statement, including the exhibits thereto, may be inspected at the Public Reference Room maintained by the SEC at the address set forth above or may be obtained at the SEC’s website set forth above. Statements contained herein concerning any document filed as an exhibit are not necessarily complete, and, in each instance, reference is made to the copy of such document filed as an exhibit to the registration statement. Each such statement is qualified in its entirety by such reference.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2014, filed on February 27, 2015.</w:t>
      </w:r>
    </w:p>
    <w:p>
      <w:pPr>
        <w:spacing w:after="0" w:line="142" w:lineRule="exact"/>
        <w:rPr>
          <w:rFonts w:ascii="Arial" w:cs="Arial" w:eastAsia="Arial" w:hAnsi="Arial"/>
          <w:sz w:val="17"/>
          <w:szCs w:val="17"/>
          <w:color w:val="auto"/>
        </w:rPr>
      </w:pPr>
    </w:p>
    <w:p>
      <w:pPr>
        <w:ind w:left="900" w:right="8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2015, June 30, 2015 and September 30, 2015 filed on May 4, 2015, July 23, 2015 and October 27, 2015, respectively.</w:t>
      </w:r>
    </w:p>
    <w:p>
      <w:pPr>
        <w:spacing w:after="0" w:line="75"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29, 2015, March 31, 2015, April 24, 2015, May 11, 2015, May 22, 2015, May 27, 2015, June 18, 2015, July 1, 2015 and July 7, 2015.</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NBCUniversal’s Current Reports on Form 8-K and amendments thereto filed on March 31, 2015, May 11, 2015 and July 1, 2015.</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2015 annual meeting of shareholders incorporated by reference in Comcast’s Annual Report on Form 10-K for the year ended December 31, 2014.</w:t>
      </w:r>
    </w:p>
    <w:p>
      <w:pPr>
        <w:spacing w:after="0" w:line="17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53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67532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Companies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jc w:val="both"/>
        <w:ind w:left="1060" w:right="240" w:hanging="431"/>
        <w:spacing w:after="0" w:line="266"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and we also provide these and other services to businesses and sell advertising.</w:t>
      </w:r>
    </w:p>
    <w:p>
      <w:pPr>
        <w:spacing w:after="0" w:line="81" w:lineRule="exact"/>
        <w:rPr>
          <w:rFonts w:ascii="Arial" w:cs="Arial" w:eastAsia="Arial" w:hAnsi="Arial"/>
          <w:sz w:val="18"/>
          <w:szCs w:val="18"/>
          <w:color w:val="auto"/>
        </w:rPr>
      </w:pPr>
    </w:p>
    <w:p>
      <w:pPr>
        <w:ind w:left="1060" w:right="2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production operations.</w:t>
      </w:r>
    </w:p>
    <w:p>
      <w:pPr>
        <w:spacing w:after="0" w:line="67" w:lineRule="exact"/>
        <w:rPr>
          <w:rFonts w:ascii="Arial" w:cs="Arial" w:eastAsia="Arial" w:hAnsi="Arial"/>
          <w:sz w:val="18"/>
          <w:szCs w:val="18"/>
          <w:color w:val="auto"/>
        </w:rPr>
      </w:pPr>
    </w:p>
    <w:p>
      <w:pPr>
        <w:ind w:left="1060" w:right="160" w:hanging="431"/>
        <w:spacing w:after="0" w:line="313"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Broadcast Television: </w:t>
      </w:r>
      <w:r>
        <w:rPr>
          <w:rFonts w:ascii="Arial" w:cs="Arial" w:eastAsia="Arial" w:hAnsi="Arial"/>
          <w:sz w:val="17"/>
          <w:szCs w:val="17"/>
          <w:color w:val="auto"/>
        </w:rPr>
        <w:t>Consists primarily of the NBC and Telemundo broadcast networks, our NBC and Telemundo owned local broadcast</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stations, the NBC Universo national cable network, and our broadcast television production operations.</w:t>
      </w:r>
    </w:p>
    <w:p>
      <w:pPr>
        <w:spacing w:after="0" w:line="43" w:lineRule="exact"/>
        <w:rPr>
          <w:rFonts w:ascii="Arial" w:cs="Arial" w:eastAsia="Arial" w:hAnsi="Arial"/>
          <w:sz w:val="17"/>
          <w:szCs w:val="17"/>
          <w:color w:val="auto"/>
        </w:rPr>
      </w:pPr>
    </w:p>
    <w:p>
      <w:pPr>
        <w:ind w:left="1060" w:right="80" w:hanging="431"/>
        <w:spacing w:after="0" w:line="282"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studio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worldwide.</w:t>
      </w:r>
    </w:p>
    <w:p>
      <w:pPr>
        <w:spacing w:after="0" w:line="67" w:lineRule="exact"/>
        <w:rPr>
          <w:rFonts w:ascii="Arial" w:cs="Arial" w:eastAsia="Arial" w:hAnsi="Arial"/>
          <w:sz w:val="18"/>
          <w:szCs w:val="18"/>
          <w:color w:val="auto"/>
        </w:rPr>
      </w:pPr>
    </w:p>
    <w:p>
      <w:pPr>
        <w:ind w:left="1060" w:hanging="431"/>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and Hollywood.</w:t>
      </w:r>
    </w:p>
    <w:p>
      <w:pPr>
        <w:spacing w:after="0" w:line="229"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70" w:lineRule="exact"/>
        <w:rPr>
          <w:sz w:val="20"/>
          <w:szCs w:val="20"/>
          <w:color w:val="auto"/>
        </w:rPr>
      </w:pPr>
    </w:p>
    <w:p>
      <w:pPr>
        <w:ind w:left="200" w:right="200" w:firstLine="443"/>
        <w:spacing w:after="0" w:line="277" w:lineRule="auto"/>
        <w:rPr>
          <w:sz w:val="20"/>
          <w:szCs w:val="20"/>
          <w:color w:val="auto"/>
        </w:rPr>
      </w:pPr>
      <w:r>
        <w:rPr>
          <w:rFonts w:ascii="Arial" w:cs="Arial" w:eastAsia="Arial" w:hAnsi="Arial"/>
          <w:sz w:val="18"/>
          <w:szCs w:val="18"/>
          <w:color w:val="auto"/>
        </w:rPr>
        <w:t>During the nine months ended September 30, 2015, our Cable Communications segment generated 63% of our consolidated revenue and 77% of our operating income before depreciation and amortization.</w:t>
      </w:r>
    </w:p>
    <w:p>
      <w:pPr>
        <w:spacing w:after="0" w:line="170" w:lineRule="exact"/>
        <w:rPr>
          <w:sz w:val="20"/>
          <w:szCs w:val="20"/>
          <w:color w:val="auto"/>
        </w:rPr>
      </w:pPr>
    </w:p>
    <w:p>
      <w:pPr>
        <w:ind w:left="200" w:right="2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200" w:right="200" w:hanging="3"/>
        <w:spacing w:after="0" w:line="261"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200" w:firstLine="443"/>
        <w:spacing w:after="0" w:line="279" w:lineRule="auto"/>
        <w:rPr>
          <w:sz w:val="20"/>
          <w:szCs w:val="20"/>
          <w:color w:val="auto"/>
        </w:rPr>
      </w:pPr>
      <w:r>
        <w:rPr>
          <w:rFonts w:ascii="Arial" w:cs="Arial" w:eastAsia="Arial" w:hAnsi="Arial"/>
          <w:sz w:val="17"/>
          <w:szCs w:val="17"/>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 Effective October 1, 2015, three former guarantors, Comcast Cable Holdings, LLC, Comcast MO of Delaware, LLC and Comcast MO Group, LLC, merged with and into Comcast Cable Communications.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131" w:lineRule="exact"/>
        <w:rPr>
          <w:sz w:val="20"/>
          <w:szCs w:val="20"/>
          <w:color w:val="auto"/>
        </w:rPr>
      </w:pPr>
    </w:p>
    <w:p>
      <w:pPr>
        <w:ind w:left="1060" w:right="20" w:hanging="431"/>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39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9391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hanging="431"/>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237"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NY 10112-0015.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240" w:top="459" w:right="6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94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69418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240"/>
          </w:cols>
          <w:pgMar w:left="240" w:top="459" w:right="419" w:bottom="1440" w:gutter="0" w:footer="0" w:header="0"/>
        </w:sect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Comcast Corporation.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Offered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$1,490,000,000 aggregate principal amount of 4.60% Notes due 2046.</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Maturity</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February 1, 2046.</w:t>
      </w:r>
    </w:p>
    <w:p>
      <w:pPr>
        <w:spacing w:after="0" w:line="211"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Interest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notes will bear interest from December 9, 2015 at the rate of 4.60% per annum, payable semiannually in cash in arrears on February 1 and August 1, beginning on February 1, 2016 (short first coupon).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740"/>
        <w:spacing w:after="0" w:line="277" w:lineRule="auto"/>
        <w:rPr>
          <w:sz w:val="20"/>
          <w:szCs w:val="20"/>
          <w:color w:val="auto"/>
        </w:rPr>
      </w:pPr>
      <w:r>
        <w:rPr>
          <w:rFonts w:ascii="Arial" w:cs="Arial" w:eastAsia="Arial" w:hAnsi="Arial"/>
          <w:sz w:val="18"/>
          <w:szCs w:val="18"/>
          <w:color w:val="auto"/>
        </w:rPr>
        <w:t>The notes will be unsecured and will rank equally with all of our and the guarantors’ unsecured and unsubordinated indebtedness.</w:t>
      </w:r>
    </w:p>
    <w:p>
      <w:pPr>
        <w:spacing w:after="0" w:line="19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Currency of Payments</w:t>
      </w:r>
    </w:p>
    <w:p>
      <w:pPr>
        <w:spacing w:after="0" w:line="20" w:lineRule="exact"/>
        <w:rPr>
          <w:sz w:val="20"/>
          <w:szCs w:val="20"/>
          <w:color w:val="auto"/>
        </w:rPr>
      </w:pPr>
      <w:r>
        <w:rPr>
          <w:sz w:val="20"/>
          <w:szCs w:val="20"/>
          <w:color w:val="auto"/>
        </w:rPr>
        <w:br w:type="column"/>
      </w:r>
    </w:p>
    <w:p>
      <w:pPr>
        <w:ind w:right="440"/>
        <w:spacing w:after="0" w:line="277" w:lineRule="auto"/>
        <w:rPr>
          <w:sz w:val="20"/>
          <w:szCs w:val="20"/>
          <w:color w:val="auto"/>
        </w:rPr>
      </w:pPr>
      <w:r>
        <w:rPr>
          <w:rFonts w:ascii="Arial" w:cs="Arial" w:eastAsia="Arial" w:hAnsi="Arial"/>
          <w:sz w:val="18"/>
          <w:szCs w:val="18"/>
          <w:color w:val="auto"/>
        </w:rPr>
        <w:t>The notes will be denominated in U.S. dollars and we will pay principal, interest and any premium in U.S. dollars.</w:t>
      </w:r>
    </w:p>
    <w:p>
      <w:pPr>
        <w:spacing w:after="0" w:line="19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Additional Amounts</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Subject to certain exceptions and limitations set forth herein, we will pay additional amounts as may be necessary to ensure that every net payment on a note to a holder who is not a United States person, after deduction or withholding by us or our paying agent for or on account of any present or future tax, assessment or other governmental charge imposed upon or as a result of such payment by the United States or any political subdivision or taxing authority of the United States, will not be less than the amount provided in such note to be then due and payable. See “Description of Notes—Payment of Additional Amounts.”</w:t>
      </w:r>
    </w:p>
    <w:p>
      <w:pPr>
        <w:spacing w:after="0" w:line="194"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Guarantors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Comcast Cable Communications and NBCUniversal.</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Guarantees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guarantors will fully and unconditionally guarantee the notes, including the payment of principal, premium, if any, and interest. The guarantees will rank equally with all other general unsecured and unsubordinated obligations of the guarantors.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ind w:right="200"/>
        <w:spacing w:after="0" w:line="276" w:lineRule="auto"/>
        <w:rPr>
          <w:sz w:val="20"/>
          <w:szCs w:val="20"/>
          <w:color w:val="auto"/>
        </w:rPr>
      </w:pPr>
      <w:r>
        <w:rPr>
          <w:rFonts w:ascii="Arial" w:cs="Arial" w:eastAsia="Arial" w:hAnsi="Arial"/>
          <w:sz w:val="17"/>
          <w:szCs w:val="17"/>
          <w:color w:val="auto"/>
        </w:rPr>
        <w:t>We may, at our option, redeem the notes, in whole but not in part, on each February 1 on or after February 1, 2018. Any redemption described in this paragraph must be on not less than 30 nor more than 60 days’ notice and will be at a redemption price equal to 100% of the principal amount of the notes being redeemed plus accrued and unpaid interest to, but not including, the redemption date.</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Redemption for Tax Reasons</w:t>
      </w:r>
    </w:p>
    <w:p>
      <w:pPr>
        <w:spacing w:after="0" w:line="20" w:lineRule="exact"/>
        <w:rPr>
          <w:sz w:val="20"/>
          <w:szCs w:val="20"/>
          <w:color w:val="auto"/>
        </w:rPr>
      </w:pPr>
      <w:r>
        <w:rPr>
          <w:sz w:val="20"/>
          <w:szCs w:val="20"/>
          <w:color w:val="auto"/>
        </w:rPr>
        <w:br w:type="column"/>
      </w:r>
    </w:p>
    <w:p>
      <w:pPr>
        <w:spacing w:after="0" w:line="297" w:lineRule="auto"/>
        <w:rPr>
          <w:sz w:val="20"/>
          <w:szCs w:val="20"/>
          <w:color w:val="auto"/>
        </w:rPr>
      </w:pPr>
      <w:r>
        <w:rPr>
          <w:rFonts w:ascii="Arial" w:cs="Arial" w:eastAsia="Arial" w:hAnsi="Arial"/>
          <w:sz w:val="16"/>
          <w:szCs w:val="16"/>
          <w:color w:val="auto"/>
        </w:rPr>
        <w:t>We may redeem the notes, in whole but not in part, in the event of certain changes in the tax laws of the United States (or any taxing authority in the United States). This redemption would be at 100% of the principal amount of the notes to be redeemed (plus any accrued interest and additional amounts then payable with respect to the notes to, but not including, the redemption date). See “Description of Notes—Redemption for Tax Reasons.”</w:t>
      </w:r>
    </w:p>
    <w:p>
      <w:pPr>
        <w:spacing w:after="0" w:line="185"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220"/>
        <w:spacing w:after="0" w:line="277" w:lineRule="auto"/>
        <w:rPr>
          <w:sz w:val="20"/>
          <w:szCs w:val="20"/>
          <w:color w:val="auto"/>
        </w:rPr>
      </w:pPr>
      <w:r>
        <w:rPr>
          <w:rFonts w:ascii="Arial" w:cs="Arial" w:eastAsia="Arial" w:hAnsi="Arial"/>
          <w:sz w:val="18"/>
          <w:szCs w:val="18"/>
          <w:color w:val="auto"/>
        </w:rPr>
        <w:t>We intend to use the net proceeds from the offering, after deducting the selling discount and structuring fee, for working capital and</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spacing w:after="0" w:line="312" w:lineRule="auto"/>
        <w:rPr>
          <w:sz w:val="20"/>
          <w:szCs w:val="20"/>
          <w:color w:val="auto"/>
        </w:rPr>
      </w:pPr>
      <w:r>
        <w:rPr>
          <w:rFonts w:ascii="Arial" w:cs="Arial" w:eastAsia="Arial" w:hAnsi="Arial"/>
          <w:sz w:val="16"/>
          <w:szCs w:val="16"/>
          <w:color w:val="auto"/>
        </w:rPr>
        <w:t>general corporate purposes and repayment of a portion of our outstanding commercial paper. As of November 20, 2015, our commercial paper had a weighted average annual interest rate of approximately 0.44% and a weighted average remaining maturity of approximately 24 days.</w:t>
      </w:r>
    </w:p>
    <w:p>
      <w:pPr>
        <w:sectPr>
          <w:pgSz w:w="11900" w:h="16838" w:orient="portrait"/>
          <w:cols w:equalWidth="0" w:num="1">
            <w:col w:w="11240"/>
          </w:cols>
          <w:pgMar w:left="240" w:top="459" w:right="419" w:bottom="1440" w:gutter="0" w:footer="0" w:header="0"/>
        </w:sectPr>
      </w:pP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notes will be issued in book-entry form and will be represented by global notes deposited with, or on behalf of, a common depositary on behalf of Euroclear and Clearstream and registered in the name of the common depositary or its nominee. Beneficial interests in any of the notes will be shown on, and transfers will be effected only through, records maintained by Euroclear and Clearstream and their participants, and these beneficial interests may not be exchanged for certificated notes, except in limited circumstances. See “Description of Notes— Book-Entry System” in this prospectus supplement.</w:t>
      </w:r>
    </w:p>
    <w:p>
      <w:pPr>
        <w:spacing w:after="0" w:line="194"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ind w:right="40"/>
        <w:spacing w:after="0" w:line="270" w:lineRule="auto"/>
        <w:rPr>
          <w:sz w:val="20"/>
          <w:szCs w:val="20"/>
          <w:color w:val="auto"/>
        </w:rPr>
      </w:pPr>
      <w:r>
        <w:rPr>
          <w:rFonts w:ascii="Arial" w:cs="Arial" w:eastAsia="Arial" w:hAnsi="Arial"/>
          <w:sz w:val="17"/>
          <w:szCs w:val="17"/>
          <w:color w:val="auto"/>
        </w:rPr>
        <w:t>To the extent permitted by applicable authorities in the ROC and subject to the receipt of all necessary regulatory and listing approvals from such authorities, including but not limited to the TPEx and the Taiwan Securities Association (the “TSA”), we may from time to time, without notice to or the consent of the holders of notes, create and issue further notes ranking equally and ratably with such notes in all respects, or in all respects except for the payment of interest accruing prior to the issue date or except for the first payment of interest following the issue date of those further notes; provided, that if such additional notes are not fungible with the notes offered hereby for U.S. federal income tax purposes, such additional notes will have one or more separate ISIN numbers. Any further notes will have the same terms as to status, redemption or otherwise as the notes.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Markets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notes are offered for sale in those jurisdictions in the United States, Europe and Asia where it is legal to make such offers. See “Selling.”</w:t>
      </w:r>
    </w:p>
    <w:p>
      <w:pPr>
        <w:spacing w:after="0" w:line="197"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ind w:right="80"/>
        <w:spacing w:after="0" w:line="264" w:lineRule="auto"/>
        <w:rPr>
          <w:sz w:val="20"/>
          <w:szCs w:val="20"/>
          <w:color w:val="auto"/>
        </w:rPr>
      </w:pPr>
      <w:r>
        <w:rPr>
          <w:rFonts w:ascii="Arial" w:cs="Arial" w:eastAsia="Arial" w:hAnsi="Arial"/>
          <w:sz w:val="18"/>
          <w:szCs w:val="18"/>
          <w:color w:val="auto"/>
        </w:rPr>
        <w:t>Application will be made for the notes to be admitted to listing on the Taipei Exchange. No assurance can be given that such application will be approved, or that the TPEx listing will be maintained.</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80"/>
        <w:spacing w:after="0" w:line="293" w:lineRule="auto"/>
        <w:rPr>
          <w:sz w:val="20"/>
          <w:szCs w:val="20"/>
          <w:color w:val="auto"/>
        </w:rPr>
      </w:pPr>
      <w:r>
        <w:rPr>
          <w:rFonts w:ascii="Arial" w:cs="Arial" w:eastAsia="Arial" w:hAnsi="Arial"/>
          <w:sz w:val="16"/>
          <w:szCs w:val="16"/>
          <w:color w:val="auto"/>
        </w:rPr>
        <w:t>You should consider carefully all the information set forth and incorporated by reference in this prospectus supplement and the accompanying prospectus and, in particular, you should evaluate the specific factors set forth under the heading “Risk Factors” beginning on page S-5 of this prospectus supplement and described under “Risk Factors” in our Annual Report on Form 10-K for the year ended December 31, 2014, as well as the other information contained or incorporated herein by reference, before investing in any of the notes offered hereby.</w:t>
      </w:r>
    </w:p>
    <w:p>
      <w:pPr>
        <w:spacing w:after="0" w:line="192"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ind w:right="380"/>
        <w:spacing w:after="0" w:line="277" w:lineRule="auto"/>
        <w:rPr>
          <w:sz w:val="20"/>
          <w:szCs w:val="20"/>
          <w:color w:val="auto"/>
        </w:rPr>
      </w:pPr>
      <w:r>
        <w:rPr>
          <w:rFonts w:ascii="Arial" w:cs="Arial" w:eastAsia="Arial" w:hAnsi="Arial"/>
          <w:sz w:val="18"/>
          <w:szCs w:val="18"/>
          <w:color w:val="auto"/>
        </w:rPr>
        <w:t>The indenture governing the notes is, and the notes will be, governed by, and construed in accordance with, the laws of the State of New York.</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240"/>
          </w:cols>
          <w:pgMar w:left="240" w:top="459" w:right="4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An investment in the notes involves certain risks. You should carefully consider the risk factors described under “Risk Factors” in our Annual Report on Form 10-K for the year ended December 31, 2014, as well as the other information included or incorporated by reference in this prospectus supplement and the accompanying prospectus, before making an investment decision. Additional risks and uncertainties not now known to us or that we now deem immaterial may also adversely affect our business or financial performance. Our business, financial condition, results of operations or cash flows could be materially adversely affected by any of these risks. The market or trading price of the notes could decline due to any of these risks or other factors, and you may lose all or part of your investment.</w:t>
      </w:r>
    </w:p>
    <w:p>
      <w:pPr>
        <w:spacing w:after="0" w:line="19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addition to the risks relating to us described in our reports described above and any subsequent filings, the following are additional risks relating to an investment in the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trading markets for the notes may not develop.</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 public market exists for the notes. Application will be made for the listing of the notes on the TPEx. No assurances can be given as to whether the notes will be, or will remain, listed on the TPEx or whether a trading market for the notes will develop or as to the liquidity of any such trading market. If the notes fail to or cease to be listed on the TPEx, certain investors may not invest in, or continue to hold or invest in, the notes. If any of the notes are traded after their initial issue, they may trade at a discount or premium from their initial offering price, depending on prevailing interest rates, the market for similar securities and the market for the notes and other factors, including general economic conditions and our financial condition, performance and prospects. No assurance can be given as to the future price level of the notes after their initial issue. The notes may be sold to a limited number of investors, and liquidity of the notes may be adversely affected if a significant portion of the notes are bought by a limited number of investors.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the clearing systems is subject to minimum denomination requirements.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terms of the notes provide that notes will be issued with a minimum denomination of $100,000 and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may adversely affect your return on the notes.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We have the right to redeem the notes, in whole but not in part, prior to maturity on each February 1 on or after February 1, 2018. We may also redeem the notes, in whole but not in part, prior to maturity if certain events occur involving U.S. taxation. The redemption price in each case will not include a premium. We may redeem the notes at times when prevailing interest rates may be relatively low. Accordingly, you may not be able to reinvest the amount received upon a redemption in a comparable security at an effective interest rate as high as that of the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intend to use the net proceeds from the offering, after deducting the selling discount and structuring fee, for working capital and general corporate purposes and repayment of a portion of our outstanding commercial paper. As of November 20, 2015, our commercial paper had a weighted average annual interest rate of approximately 0.44% and a weighted average remaining maturity of approximately 24 days.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7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For the Nine Months</w:t>
            </w: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5"/>
        </w:trPr>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Ended September 30,</w:t>
            </w: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700" w:type="dxa"/>
            <w:vAlign w:val="bottom"/>
            <w:gridSpan w:val="3"/>
          </w:tcPr>
          <w:p>
            <w:pPr>
              <w:ind w:left="420"/>
              <w:spacing w:after="0"/>
              <w:rPr>
                <w:sz w:val="20"/>
                <w:szCs w:val="20"/>
                <w:color w:val="auto"/>
              </w:rPr>
            </w:pPr>
            <w:r>
              <w:rPr>
                <w:rFonts w:ascii="Arial" w:cs="Arial" w:eastAsia="Arial" w:hAnsi="Arial"/>
                <w:sz w:val="14"/>
                <w:szCs w:val="14"/>
                <w:b w:val="1"/>
                <w:bCs w:val="1"/>
                <w:color w:val="auto"/>
                <w:w w:val="97"/>
              </w:rPr>
              <w:t>For the Years Ended December 31,</w:t>
            </w: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42"/>
        </w:trPr>
        <w:tc>
          <w:tcPr>
            <w:tcW w:w="20" w:type="dxa"/>
            <w:vAlign w:val="bottom"/>
          </w:tcPr>
          <w:p>
            <w:pPr>
              <w:spacing w:after="0"/>
              <w:rPr>
                <w:sz w:val="12"/>
                <w:szCs w:val="12"/>
                <w:color w:val="auto"/>
              </w:rPr>
            </w:pPr>
          </w:p>
        </w:tc>
        <w:tc>
          <w:tcPr>
            <w:tcW w:w="1300" w:type="dxa"/>
            <w:vAlign w:val="bottom"/>
            <w:tcBorders>
              <w:top w:val="single" w:sz="8" w:color="auto"/>
            </w:tcBorders>
          </w:tcPr>
          <w:p>
            <w:pPr>
              <w:jc w:val="right"/>
              <w:ind w:right="442"/>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Pr>
          <w:p>
            <w:pPr>
              <w:spacing w:after="0"/>
              <w:rPr>
                <w:sz w:val="12"/>
                <w:szCs w:val="12"/>
                <w:color w:val="auto"/>
              </w:rPr>
            </w:pPr>
          </w:p>
        </w:tc>
        <w:tc>
          <w:tcPr>
            <w:tcW w:w="1180" w:type="dxa"/>
            <w:vAlign w:val="bottom"/>
            <w:tcBorders>
              <w:top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2014</w:t>
            </w:r>
          </w:p>
        </w:tc>
        <w:tc>
          <w:tcPr>
            <w:tcW w:w="7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2013</w:t>
            </w:r>
          </w:p>
        </w:tc>
        <w:tc>
          <w:tcPr>
            <w:tcW w:w="1940" w:type="dxa"/>
            <w:vAlign w:val="bottom"/>
            <w:tcBorders>
              <w:top w:val="single" w:sz="8" w:color="auto"/>
            </w:tcBorders>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2012</w:t>
            </w:r>
          </w:p>
        </w:tc>
        <w:tc>
          <w:tcPr>
            <w:tcW w:w="7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2011</w:t>
            </w:r>
          </w:p>
        </w:tc>
        <w:tc>
          <w:tcPr>
            <w:tcW w:w="7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2010</w:t>
            </w:r>
          </w:p>
        </w:tc>
      </w:tr>
      <w:tr>
        <w:trPr>
          <w:trHeight w:val="224"/>
        </w:trPr>
        <w:tc>
          <w:tcPr>
            <w:tcW w:w="20" w:type="dxa"/>
            <w:vAlign w:val="bottom"/>
          </w:tcPr>
          <w:p>
            <w:pPr>
              <w:spacing w:after="0"/>
              <w:rPr>
                <w:sz w:val="19"/>
                <w:szCs w:val="19"/>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5.51x</w:t>
            </w:r>
          </w:p>
        </w:tc>
        <w:tc>
          <w:tcPr>
            <w:tcW w:w="1040" w:type="dxa"/>
            <w:vAlign w:val="bottom"/>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5.22x</w:t>
            </w:r>
          </w:p>
        </w:tc>
        <w:tc>
          <w:tcPr>
            <w:tcW w:w="7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4.85x</w:t>
            </w:r>
          </w:p>
        </w:tc>
        <w:tc>
          <w:tcPr>
            <w:tcW w:w="78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4.82x</w:t>
            </w:r>
          </w:p>
        </w:tc>
        <w:tc>
          <w:tcPr>
            <w:tcW w:w="7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4.04x</w:t>
            </w:r>
          </w:p>
        </w:tc>
        <w:tc>
          <w:tcPr>
            <w:tcW w:w="760" w:type="dxa"/>
            <w:vAlign w:val="bottom"/>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3.57x</w:t>
            </w:r>
          </w:p>
        </w:tc>
      </w:tr>
    </w:tbl>
    <w:p>
      <w:pPr>
        <w:spacing w:after="0" w:line="187"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5" w:lineRule="exact"/>
        <w:rPr>
          <w:sz w:val="20"/>
          <w:szCs w:val="20"/>
          <w:color w:val="auto"/>
        </w:rPr>
      </w:pPr>
    </w:p>
    <w:p>
      <w:pPr>
        <w:ind w:right="240" w:firstLine="8"/>
        <w:spacing w:after="0" w:line="254"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offering $1,490,000,000 aggregate principal amount of our 4.60% Notes due 2046. The notes will be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Copies of the indenture and the form of notes are available from us upon request.</w:t>
      </w:r>
    </w:p>
    <w:p>
      <w:pPr>
        <w:spacing w:after="0" w:line="178"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will initially issue a total of $1,490,000,000 aggregate principal amount of 4.60% Senior Notes that will mature on February 1, 2046 (the “notes”), unless earlier redeemed. We may issue additional notes as described under “—Further Issuances.”</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may redeem the notes, in whole but not in part, on each February 1 on or after February 1, 2018 as described under “—Optional Redemption” below.</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may also redeem the notes, in whole but not in part, prior to maturity if certain events occur involving U.S. taxation. If any of these special tax events do occur, the notes will be redeemed at a redemption price of 100% of their principal amount plus any accrued interest and additional amounts payable with respect to the notes to, but not including, the redemption date. See “—Redemption for Tax Reasons.”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registered form in denominations of $100,000 and multiples of $1,000 in excess thereof.</w:t>
      </w:r>
    </w:p>
    <w:p>
      <w:pPr>
        <w:spacing w:after="0" w:line="225"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term “business day” when used with respect to any note means any day, other than a Saturday or Sunday, which is not a day on which banking institutions in the City of New York, London or Taipei, are authorized or required by law, regulation or executive order to close.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subject to any sinking fund.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subject to compliance with applicable law, at any time purchase notes in the open market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Interest on the notes will accrue from December 9, 2015 at the rate of 4.60% per annum, payable semi-annually in arrears on February 1 and August 1 of each year, beginning on February 1, 2016 (short first coupon). Interest on the notes will be paid to the person in whose name that note is registered at the close of business on January 15 or July 15, as the case may be, immediately preceding the relevant interest payment date. Interest on the notes will be computed on the basis of a 360-day year composed of twelve 30-day months. 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as the case may be, to the date of that payment on the next succeeding business day. Unless we default on a payment, no interest will accrue for that period from and after the applicable interest payment date, maturity date or redemption date. All payment dates with respect to the notes, whether at maturity, upon earlier redemption or on any interest payment date, shall be determined in accordance with the time-zone applicable to The City of New York. Because of time zone differences, the interest payment date on which we make payment may not be the same business day in the applicable jurisdiction of the relevant holder of notes. In addition, deliveries, payments and other communications involving the notes are likely to be carried out through Euroclear and Clearstream, which means such transaction can only be carried out on days when those systems are open for business. Those systems may not be open for business on days when banks, brokers and other institutions are open for business in the United States or Taiwan. See also “—Book-Entry System— Clearance and Settlement Procedures”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 or Exchange</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Principal of and premium, if any, and interest on the notes will be payable at the office of the paying agent in London, United Kingdom and any other location we designate. The notes may be registered for transfer or exchanged without payment of any charge (other than any tax or other governmental charge payable in connection therewith) at the office of the registrar in New York, New York. Initially, the paying agent’s office in London, United Kingdom and the registrar’s office in New York, New York will serve as our office and agency for these respective purposes. We may elect that payment of interest on notes be made by wire transfer or by check mailed to the address of the appropriate person as it appears on the security register. So long as the registered owner of the notes is a common depositary of Euroclear and Clearstream or their nominee, payment of principal and interest shall be made in accordance with the requirements of Euroclear and Clearstream. See “—Book-Entry System” below.</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are not required to transfer or exchange any note selected for redemption during a period of 15 days before the electronic delivery or mailing of a notice of redemption of notes to be redeemed.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that note for all purposes.</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Subject to applicable escheat laws, all amounts of principal and of premium, if any, and interest on the notes paid by us that remain unclaimed two years after such payment was due and payable will be repaid to us upon our request, and the holders of such notes will thereafter look solely to us for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have the option to redeem the notes then outstanding, in whole but not in part, on each February 1 on or after February 1, 2018. Any redemption described in this paragraph will be at a redemption price equal to 100% of the principal amount of the notes being redeemed plus accrued and unpaid interest to, but not including, the redemption date. We will calculate the redemption price in connection with any redemption hereunder. Unless we default in payment of the redemption price, on and after the redemption date, interest will cease to accrue on the notes called for redemption.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Notice of any redemption will be electronically delivered or mailed at least 30 days but not more than 60 days before the redemption date to each holder of the notes to be redeemed.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addition, the notes are subject to redemption prior to maturity if certain events occur involving U.S. taxation. If any of these special tax events do occur, the notes will be redeemed at a redemption price of 100% of their principal amount plus any accrued and unpaid interest and additional amounts then payable with respect to the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To the extent permitted by applicable authorities in the ROC and subject to the receipt of all necessary regulatory and listing approvals from such authorities, including but not limited to the TPEx and the TSA, we may from time to time, without notice to or the consent of the holders of the notes, create and issue additional notes having the same terms as, and ranking equally and ratably with, the notes in all respects (except for the issue date, the offering price and, if applicable, the payment of interest accruing prior to the issue date of such additional notes and the first payment of interest following the issue date of such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additional notes are not fungible with the notes offered hereby for U.S. federal income tax purposes, such additional notes will have one or more separate ISIN numbers. Such additional notes may be consolidated and form a single series with, and will have the same terms as to ranking, redemption, waivers, amendments or otherwise, as the notes, and will vote together as one class on all matters with respect to such notes.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by us or our paying agent of the principal of and interest on the notes to a holder who is not a United States person (as defined below), after withholding or deduction for any present or future tax, assessment or other governmental charge (“Tax”)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94" w:lineRule="exact"/>
        <w:rPr>
          <w:sz w:val="20"/>
          <w:szCs w:val="20"/>
          <w:color w:val="auto"/>
        </w:rPr>
      </w:pPr>
    </w:p>
    <w:p>
      <w:pPr>
        <w:jc w:val="both"/>
        <w:ind w:left="900" w:right="14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notes), or a fiduciary, settlor, beneficiary, member or shareholder of the holder if the holder is an estate, trust, partnership or corporation, or a person holding a power over an estate or trust administered by a fiduciary holder, being considered as:</w:t>
      </w:r>
    </w:p>
    <w:p>
      <w:pPr>
        <w:spacing w:after="0" w:line="86"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ind w:left="1480" w:right="100" w:hanging="567"/>
        <w:spacing w:after="0" w:line="264"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ind w:left="1480" w:right="340" w:hanging="567"/>
        <w:spacing w:after="0" w:line="308" w:lineRule="auto"/>
        <w:tabs>
          <w:tab w:leader="none" w:pos="1480" w:val="left"/>
        </w:tabs>
        <w:numPr>
          <w:ilvl w:val="1"/>
          <w:numId w:val="8"/>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51" w:lineRule="exact"/>
        <w:rPr>
          <w:rFonts w:ascii="Arial" w:cs="Arial" w:eastAsia="Arial" w:hAnsi="Arial"/>
          <w:sz w:val="17"/>
          <w:szCs w:val="17"/>
          <w:color w:val="auto"/>
        </w:rPr>
      </w:pPr>
    </w:p>
    <w:p>
      <w:pPr>
        <w:ind w:left="1480" w:right="28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“Code”);</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446"/>
        <w:spacing w:after="0" w:line="27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76" w:lineRule="exact"/>
        <w:rPr>
          <w:rFonts w:ascii="Arial" w:cs="Arial" w:eastAsia="Arial" w:hAnsi="Arial"/>
          <w:sz w:val="17"/>
          <w:szCs w:val="17"/>
          <w:color w:val="auto"/>
        </w:rPr>
      </w:pPr>
    </w:p>
    <w:p>
      <w:pPr>
        <w:ind w:left="900" w:right="40" w:hanging="446"/>
        <w:spacing w:after="0" w:line="279"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30"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00" w:right="22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withholding or deduction that is imposed on a payment to an individual and that is required to be made pursuant to European Council Directive 2003/48/EC on the taxing of savings income or any law implementing or complying with, or introduced in order to conform to, such European Council Directive on the taxation of savings (the “EC Directive”);</w:t>
      </w:r>
    </w:p>
    <w:p>
      <w:pPr>
        <w:spacing w:after="0" w:line="86"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Note, if such payment can be made without such withholding by at least one other paying agent;</w:t>
      </w:r>
    </w:p>
    <w:p>
      <w:pPr>
        <w:spacing w:after="0" w:line="75" w:lineRule="exact"/>
        <w:rPr>
          <w:rFonts w:ascii="Arial" w:cs="Arial" w:eastAsia="Arial" w:hAnsi="Arial"/>
          <w:sz w:val="18"/>
          <w:szCs w:val="18"/>
          <w:color w:val="auto"/>
        </w:rPr>
      </w:pPr>
    </w:p>
    <w:p>
      <w:pPr>
        <w:ind w:left="900" w:right="2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any combination of items (1)-(10) above.</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imposed by any government or a political subdivision or taxing authority of or in any government or political subdivision. As used under this heading “—Payment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and when the additional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8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To the extent permitted by law, we will maintain a paying agent in a jurisdiction that will not require withholding or deduction of Tax pursuant to the EC Directive.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additional amounts paid on the notes will be in U.S.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then we may at any time at our option redeem, in whole but not in part, the notes on not less than 10 nor more than 60 days prior notice, at a redemption price equal to 100% of their principal amount, together with accrued and unpaid interest on those notes to, but not including, the date fixed for redemption.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notes will be issued in registered, global form, in minimum denominations of $100,000 and multiples of $1,000 above that amount. Initially, the notes will be represented by one or more permanent global certificates (the “global notes”) (which may be subdivided) in definitive, fully registered form without interest coupons.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such global note will be deposited with, or on behalf of, a common depositary, and registered in the name of the common depositary or its nominee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 entry interests in the notes and all transfers relating to the notes will be reflected in the book entry records of Clearstream and Euroclear.</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 entry interests in the notes will take place through Clearstream and Euroclear participants and will settle in same day funds. Owners of book entry interests in the notes will receive payments relating to their notes in U.S. dollars.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policies of Clearstream and Euroclear will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advised by Clearstream and Euroclear, respectively,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 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managers. Indirect access to Clearstream is also available to others, such as banks, brokers, dealers and trust companies that clear through or maintain a custodial relationship with a Clearstream Participant, either directly or indirectly.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Clearstream will be credited to cash accounts of Clearstream Participants in accordance with its rules and procedures.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All operations are conducted by the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managers. Indirect access to Euroclear is also available to other firms that clear through or maintain a custodial relationship with a Euroclear Participant, either directly or indirectly.</w:t>
      </w:r>
    </w:p>
    <w:p>
      <w:pPr>
        <w:spacing w:after="0" w:line="18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w:t>
      </w:r>
    </w:p>
    <w:p>
      <w:pPr>
        <w:spacing w:after="0" w:line="87"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transfers of securities and cash within Euroclear;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securities and cash from Euroclear;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receipt of payments with respect to securities in Euroclear.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Euroclear will be credited to the cash accounts of Euroclear Participants in accordance with the Euroclear Terms and Conditions.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and Taiwan.</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or Taiwan. U.S. or Taiwanese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ROC Trading</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Investors with a securities book-entry account with a Taiwan securities broker and a foreign currency deposit account with a Taiwan bank, may request the approval of the Taiwan Depositary &amp; Clearing Corporation (the “TDCC”) for the settlement of the notes through the account of TDCC with Clearstream or Euroclear and if such approval is granted by the TDCC, the notes may be so cleared and settled. In such circumstances, the TDCC will allocate the respective book-entry interest of such investor in the notes position to the securities book-entry account designated by such investor in the ROC. The notes will be traded and settled pursuant to the applicable rules and operating procedures of TDCC and the TPEx as domestic bonds.</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addition, an investor may apply to TDCC (by filing in a prescribed form) to transfer the notes in its own account with Euroclear or Clearstream to the TDCC account with Euroclear or Clearstream for trading in the domestic market or vice versa for trading in overseas markets.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such investors who hold their interest in the notes through an account opened and held by TDCC with Euroclear or Clearstream, distributions of principal and/or interest for the notes to such holders may be made by payment services banks whose systems are connected to TDCC to the foreign currency deposit accounts of the holders. Such payment is expected to be made on the second Taiwanese business day following TDCC’s receipt of such payment (due to time difference, the payment is expected to be received by TDCC one Taiwanese business day after the distribution date). However, when the holders will actually receive such distributions may vary depending upon the daily operations of the Taiwan banks with which the holder has the foreign currency deposit account.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$100,000 principal amount and multiples of $1,000 in excess thereof if:</w:t>
      </w:r>
    </w:p>
    <w:p>
      <w:pPr>
        <w:spacing w:after="0" w:line="76" w:lineRule="exact"/>
        <w:rPr>
          <w:sz w:val="20"/>
          <w:szCs w:val="20"/>
          <w:color w:val="auto"/>
        </w:rPr>
      </w:pPr>
    </w:p>
    <w:p>
      <w:pPr>
        <w:ind w:left="900" w:right="62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depositary (1) notifies us that it is unwilling or unable to continue as depositary for the global notes and we fail to appoint a successor depositary within 90 days or (2) has ceased to be a clearing agency registered under the Exchange Act and we fail to appoint a successor depositary within 90 days;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all cases, certificated notes delivered in exchange for any global notes or beneficial interests therein will be registered in the names, and issued in any approved denominations, requested by or on behalf of the depositary. It is expected that the depositary’s instructions will be based upon directions received by the depositary from participants with respect to ownership of beneficial interests in the relevant global note or notes that had been held by the depositary.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FOR NON-U.S. HOLDERS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900" w:hanging="446"/>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a Note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900" w:right="200" w:hanging="446"/>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a note, unless the gain is effectively connected with the conduct by the holder of a trade or business in the United States.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If a Non-U.S. Holder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Such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the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Provisions commonly referred to as “FATCA” impose withholding of 30% on payments of U.S.-source interest and, if made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generally will not pay additional amounts with respect to any withholding taxes imposed under FATCA.</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ROC TAXATION</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certain ROC tax consequences with respect to the holders of the notes, and is prepared based on current laws and regulations of the ROC. It does not purport to be comprehensive and does not constitute legal or tax advice. Investors (particularly those subject to special tax rules, such as banks, dealers, insurance companies and tax-exempt entities) should consult with their own tax advisers regarding the tax consequences of an investment in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we, the issuer of the notes, are not an ROC statutory tax withholder, there is no ROC withholding tax on any payment to be paid on the notes. ROC corporate holders must include the interest receivable under the notes as part of their taxable income and pay income tax at a flat rate of 17 percent (unless the total taxable income for a fiscal year is under $120,000 New Taiwan Dollars), as they are subject to income tax on their worldwide income on an accrual basis. The alternative minimum tax (“AMT”) is not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the Notes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the sale of corporate bonds or financial bonds is subject to 0.1 percent securities transaction tax (“STT”) on the transaction price. However, Article 2-1 of the Securities Transaction Tax Act prescribes that STT will cease to be levied on the sale of corporate bonds and financial bonds for seven years from 1 January 2010 to 31 December 2016. Therefore, the sale of the notes will be exempt from STT if the sale is conducted on or before 31 December 2016. Starting from 1 January 2017, any sale of the notes will be subject to STT at 0.1 percent of the transaction price, unless otherwise provided by the tax laws that may be in force at that time.</w:t>
      </w:r>
    </w:p>
    <w:p>
      <w:pPr>
        <w:spacing w:after="0" w:line="18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Capital gains generated from the sale of bonds are exempt from income tax. Accordingly, ROC corporate holders are not subject to income tax on any capital gains generated from the sale of the notes. However, ROC corporate holders should include the capital gains in calculating their basic income for the purpose of calculating their AMT. If the amount of the AMT exceeds the annual income tax calculated pursuant to the AMT Act, the excess becomes the ROC corporate holders’ AMT payable. Capital losses, if any, incurred by such holders could be carried over 5 years to offset against capital gains of same category of income for the purposes of calculating their AMT.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w:t>
      </w:r>
    </w:p>
    <w:p>
      <w:pPr>
        <w:spacing w:after="0" w:line="229"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Comcast Corporation and the managers for the offering named below have entered into a subscription agreement with respect to the notes. Subject to certain conditions, each manager has severally agreed to purchase the principal amount of notes indicated in the following table.</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71"/>
        </w:trPr>
        <w:tc>
          <w:tcPr>
            <w:tcW w:w="6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Amount of notes</w:t>
            </w: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E.Sun</w:t>
            </w: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Bank, Ltd.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596,000,000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MasterLink Securities Corporation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SinoPac Securities Corporation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0"/>
        <w:spacing w:after="0" w:line="342" w:lineRule="auto"/>
        <w:rPr>
          <w:sz w:val="20"/>
          <w:szCs w:val="20"/>
          <w:color w:val="auto"/>
        </w:rPr>
      </w:pPr>
      <w:r>
        <w:rPr>
          <w:rFonts w:ascii="Arial" w:cs="Arial" w:eastAsia="Arial" w:hAnsi="Arial"/>
          <w:sz w:val="16"/>
          <w:szCs w:val="16"/>
          <w:color w:val="auto"/>
        </w:rPr>
        <w:t>The managers are committed to take and pay for all of the notes being offered, if any are taken. To the extent permitted by applicable laws and regulations, the managers may make offers and sales in the United States through one or more U.S. registered broker-dealers. See “—Other Relationships.”</w:t>
      </w:r>
    </w:p>
    <w:p>
      <w:pPr>
        <w:spacing w:after="0" w:line="124"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Notes sold by the managers to the public will initially be offered at the initial public offering price set forth on the cover of this prospectus supplement. If all the notes are not sold at the initial public offering price, the managers may change the offering prices and the other selling terms. The offering of the notes by the managers is subject to receipt and acceptance and subject to the managers’ right to reject any order in whole or in part.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selling discount that we will pay to the managers in connection with this offering: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720" w:type="dxa"/>
            <w:vAlign w:val="bottom"/>
            <w:tcBorders>
              <w:bottom w:val="single" w:sz="8" w:color="CCEEFF"/>
            </w:tcBorders>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Paid By Us</w:t>
            </w:r>
          </w:p>
        </w:tc>
        <w:tc>
          <w:tcPr>
            <w:tcW w:w="20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30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0.100%</w:t>
            </w:r>
          </w:p>
        </w:tc>
      </w:tr>
      <w:tr>
        <w:trPr>
          <w:trHeight w:val="230"/>
        </w:trPr>
        <w:tc>
          <w:tcPr>
            <w:tcW w:w="3720" w:type="dxa"/>
            <w:vAlign w:val="bottom"/>
          </w:tcPr>
          <w:p>
            <w:pPr>
              <w:ind w:left="360"/>
              <w:spacing w:after="0"/>
              <w:rPr>
                <w:sz w:val="20"/>
                <w:szCs w:val="20"/>
                <w:color w:val="auto"/>
              </w:rPr>
            </w:pPr>
            <w:r>
              <w:rPr>
                <w:rFonts w:ascii="Arial" w:cs="Arial" w:eastAsia="Arial" w:hAnsi="Arial"/>
                <w:sz w:val="18"/>
                <w:szCs w:val="18"/>
                <w:color w:val="auto"/>
              </w:rPr>
              <w:t>Total</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$1,490,000</w:t>
            </w: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pay an aggregate fee of $9,685,000 (the “structuring fee”) to the structuring agents in connection with structuring services that they provided in connection with the notes. The structuring agents are not entities licensed in the ROC, have not offered or sold, and will not offer, subscribe for or sell or underwrite, any of the notes offered hereby. We will pay Morgan Stanley &amp; Co. LLC the full amount of the structuring fee, and Morgan Stanley &amp; Co. LLC will, on our behalf, remit to each structuring agent its portion of the structuring fee.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estimate that our expenses in connection with this offering, other than the selling discount and the structuring fee, will be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$1,862,500. J.P. Morgan Securities LLC and Morgan Stanley &amp; Co. LLC have agreed to reimburse us for $1,862,500 of our expenses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offering.</w:t>
      </w:r>
    </w:p>
    <w:p>
      <w:pPr>
        <w:spacing w:after="0" w:line="21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have also agreed to indemnify the several managers against certain liabilities, including liabilities under the Securities Act, or to contribute to payments which the managers may be required to make in respect of any such liabilities. Separately, in connection with structuring services that the structuring agents provided in connection with the notes, we have agreed to indemnify the structuring agents against certain liabilities in connection with this offering, including liabilities under the Securities Act, or to contribute to payments made in respect of those liabilities.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notes are a new issue of securities with no established trading market. Application will be made to the TPEx for the listing of, and permission to deal in, the notes by way of debt issues to “professional institutional investors” as defined under Item 1 of Proviso to Paragraph 1 of Article 4 of the Financial Consumer Protection Act of the ROC only and such permission is expected to become effective on or about December 9, 2015. We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cannot make any assurance that the TPEx listing will be maintained. The managers are not obligated to carry out market-making activities with respect to the notes. Accordingly, we cannot assure you as to the liquidity of, or the trading market for, the notes.</w:t>
      </w:r>
    </w:p>
    <w:p>
      <w:pPr>
        <w:spacing w:after="0" w:line="170"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We expect to deliver the notes against payment therefor on or about the date specified in the last paragraph of the cover page of this prospectus supplement, which will be the eleventh business day following the date of the pricing of the notes. Under Rule 15c6-1 of the Exchange Act, trades in the secondary market are required to settle in three business days, unless the parties to a trade expressly agree otherwise. Accordingly, purchasers who wish to trade notes prior to the third business day preceding the settlement date will be required, by virtue of the fact that the notes initially will settle in T+11, to specify alternative settlement arrangements to prevent a failed settlement.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E.Sun Commercial Bank, Ltd., MasterLink Securities Corporation, and SinoPac Securities Corporation are not U.S. registered broker-dealers and, therefore, to the extent permitted by ROC laws and regulations and that they intend to effect any sales of the notes in the United States, they will do so through one or more U.S. registered broker-dealers as permitted by FINRA regulations.</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managers, the structuring agents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managers, the structuring agents and their respective affiliates have, from time to time, performed, and may in the future perform, various financial advisory and investment banking services for us, for which they received or will receive customary fees and expenses.</w:t>
      </w:r>
    </w:p>
    <w:p>
      <w:pPr>
        <w:spacing w:after="0" w:line="18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the ordinary course of their various business activities, the managers, the structuring agents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ours. If any of the managers, the structuring agents or their respective affiliates has a lending relationship with us, certain of those managers and structuring agents or their respective affiliates routinely hedge, and certain other of those managers or structuring agents or their respective affiliates may hedge, their credit exposure to us consistent with their customary risk management policies. Typically, these managers and structuring agents or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managers, the structuring agents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each manager has represented and agreed that with effect from and including the date on which the Prospectus Directive is implemented in that Relevant Member State (the “Relevant Implementation Date”) it has not made and will not make an offer of notes to the public in that Relevant Member State prior to the publication of a prospectus in relation to such offer that has been approved by the competent authority in that Relevant Member State or, where appropriate, approved in another Relevant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38" w:lineRule="exact"/>
        <w:rPr>
          <w:sz w:val="20"/>
          <w:szCs w:val="20"/>
          <w:color w:val="auto"/>
        </w:rPr>
      </w:pPr>
    </w:p>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460" w:right="500" w:firstLine="4"/>
        <w:spacing w:after="0" w:line="277" w:lineRule="auto"/>
        <w:tabs>
          <w:tab w:leader="none" w:pos="7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provided that no such offer of notes shall require us or any manager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expression may be varied in that Relevant Member State by any measure implementing the Prospectus Directive in that Relevant Member State. The expression “Prospectus Directive” means Directive 2003/71/EC 9and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manager has represented and agreed that:</w:t>
      </w:r>
    </w:p>
    <w:p>
      <w:pPr>
        <w:spacing w:after="0" w:line="117" w:lineRule="exact"/>
        <w:rPr>
          <w:sz w:val="20"/>
          <w:szCs w:val="20"/>
          <w:color w:val="auto"/>
        </w:rPr>
      </w:pPr>
    </w:p>
    <w:p>
      <w:pPr>
        <w:ind w:left="460" w:right="140" w:firstLine="4"/>
        <w:spacing w:after="0" w:line="312" w:lineRule="auto"/>
        <w:tabs>
          <w:tab w:leader="none" w:pos="705" w:val="left"/>
        </w:tabs>
        <w:numPr>
          <w:ilvl w:val="0"/>
          <w:numId w:val="17"/>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w:t>
      </w:r>
    </w:p>
    <w:p>
      <w:pPr>
        <w:spacing w:after="0" w:line="38" w:lineRule="exact"/>
        <w:rPr>
          <w:rFonts w:ascii="Arial" w:cs="Arial" w:eastAsia="Arial" w:hAnsi="Arial"/>
          <w:sz w:val="16"/>
          <w:szCs w:val="16"/>
          <w:color w:val="auto"/>
        </w:rPr>
      </w:pPr>
    </w:p>
    <w:p>
      <w:pPr>
        <w:ind w:left="460" w:right="220" w:firstLine="4"/>
        <w:spacing w:after="0" w:line="277" w:lineRule="auto"/>
        <w:tabs>
          <w:tab w:leader="none" w:pos="7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This prospectus has not been approved by or registered with the Securities and Futures Commission of Hong Kong or the Registrar of Companies of Hong Kong. The notes will not be offered or sold in Hong Kong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which is directed at, or the contents of which are likely to be accessed or read by, the public of Hong Kong (except if permitted to do so under the securities laws of Hong Kong) has been issued or will be issued in Hong Kong or elsewhere other than with respect to notes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Each manager has agreed that it has not, directly or indirectly, offered or sold and will not offer or sell any notes, directly or indirectly, in Japan or to, or for the benefit of, any resident of Japan (which term as used herein means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(the “SFA”), (ii) to a relevant person, or any person pursuant to Section 275(1A) of the SFA,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then securities, debentures and units of securities and debentures of that corporation or the beneficiaries’ rights and interest in that trust shall not be transferable for 6 months after that corporation or that trust has acquired the notes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Republic of China</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notes have not been, and shall not be, offered, sold or re-sold, directly or indirectly, to investors other than “professional institutional investors” as defined under Item 1 of Proviso to Paragraph 1 of Article 4 of the Financial Consumer Protection Act, which currently include: overseas or domestic</w:t>
      </w:r>
    </w:p>
    <w:p>
      <w:pPr>
        <w:ind w:right="40" w:firstLine="8"/>
        <w:spacing w:after="0" w:line="290" w:lineRule="auto"/>
        <w:tabs>
          <w:tab w:leader="none" w:pos="2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banks, securities firms, futures firms and insurance companies (excluding insurance agencies, insurance brokers and insurance notaries), the foregoing as further defined in more details in Paragraph 3 of Article 2 of the Organic Act of the Financial Supervisory Commission, (ii) fund management companies, government investment institutions, government funds, pension funds, mutual funds, unit trusts, and funds managed by financial service enterprises pursuant to the Securities Investment Trust and Consulting Act, the Future Trading Act or the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Various legal matters relating to the offering will be passed upon for us by Arthur R. Block, Esquire, Executive Vice President, General Counsel and Secretary of Comcast Corporation, Lynn R. Charytan, Esquire, Senior Vice President, Legal Regulatory Affairs and Senior Deputy General Counsel of Comcast Corporation, and by Davis Polk &amp; Wardwell LLP, Menlo Park, California. Cahill Gordon &amp; Reindel LLP, New York, New York will issue a legal opinion on certain legal matters for the managers. Lee and Li, Attorneys-at-Law, is acting as special Taiwanese legal counsel to us and will issue an opinion on certain legal matters to the managers.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and its subsidiaries, incorporated herein by reference from NBCUniversal’s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872490</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224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rPr>
              <w:t>• Class A common stock</w:t>
            </w:r>
          </w:p>
        </w:tc>
      </w:tr>
      <w:tr>
        <w:trPr>
          <w:trHeight w:val="222"/>
        </w:trPr>
        <w:tc>
          <w:tcPr>
            <w:tcW w:w="4060" w:type="dxa"/>
            <w:vAlign w:val="bottom"/>
            <w:gridSpan w:val="2"/>
          </w:tcPr>
          <w:p>
            <w:pPr>
              <w:spacing w:after="0"/>
              <w:rPr>
                <w:sz w:val="20"/>
                <w:szCs w:val="20"/>
                <w:color w:val="auto"/>
              </w:rPr>
            </w:pPr>
            <w:r>
              <w:rPr>
                <w:rFonts w:ascii="Arial" w:cs="Arial" w:eastAsia="Arial" w:hAnsi="Arial"/>
                <w:sz w:val="18"/>
                <w:szCs w:val="18"/>
                <w:color w:val="auto"/>
              </w:rPr>
              <w:t>• Units</w:t>
            </w:r>
          </w:p>
        </w:tc>
        <w:tc>
          <w:tcPr>
            <w:tcW w:w="3960" w:type="dxa"/>
            <w:vAlign w:val="bottom"/>
            <w:gridSpan w:val="2"/>
          </w:tcPr>
          <w:p>
            <w:pPr>
              <w:ind w:left="1620"/>
              <w:spacing w:after="0"/>
              <w:rPr>
                <w:sz w:val="20"/>
                <w:szCs w:val="20"/>
                <w:color w:val="auto"/>
              </w:rPr>
            </w:pPr>
            <w:r>
              <w:rPr>
                <w:rFonts w:ascii="Arial" w:cs="Arial" w:eastAsia="Arial" w:hAnsi="Arial"/>
                <w:sz w:val="18"/>
                <w:szCs w:val="18"/>
                <w:color w:val="auto"/>
                <w:w w:val="89"/>
              </w:rPr>
              <w:t>• Class A Special common stock</w:t>
            </w:r>
          </w:p>
        </w:tc>
      </w:tr>
    </w:tbl>
    <w:p>
      <w:pPr>
        <w:spacing w:after="0" w:line="156"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November 20, 2015, the reported last sale prices on the Nasdaq Global Select Market for our Class A common stock and our Class A Special common stock were $62.90 and $63.01,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30 of Comcast’s and NBCUniversal’s combined annual report on Form 10-K for the year ended December 31, 2014,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2"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November 23, 2015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52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9"/>
        </w:trPr>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377"/>
        </w:trPr>
        <w:tc>
          <w:tcPr>
            <w:tcW w:w="1120" w:type="dxa"/>
            <w:vAlign w:val="bottom"/>
            <w:gridSpan w:val="3"/>
            <w:vMerge w:val="restart"/>
          </w:tcPr>
          <w:p>
            <w:pPr>
              <w:spacing w:after="0"/>
              <w:rPr>
                <w:rFonts w:ascii="Arial" w:cs="Arial" w:eastAsia="Arial" w:hAnsi="Arial"/>
                <w:sz w:val="18"/>
                <w:szCs w:val="18"/>
                <w:color w:val="0000EE"/>
                <w:w w:val="86"/>
              </w:rPr>
            </w:pPr>
            <w:hyperlink w:anchor="page33">
              <w:r>
                <w:rPr>
                  <w:rFonts w:ascii="Arial" w:cs="Arial" w:eastAsia="Arial" w:hAnsi="Arial"/>
                  <w:sz w:val="18"/>
                  <w:szCs w:val="18"/>
                  <w:color w:val="0000EE"/>
                  <w:w w:val="86"/>
                </w:rPr>
                <w:t>The Companies</w:t>
              </w:r>
            </w:hyperlink>
          </w:p>
        </w:tc>
        <w:tc>
          <w:tcPr>
            <w:tcW w:w="9920" w:type="dxa"/>
            <w:vAlign w:val="bottom"/>
            <w:gridSpan w:val="12"/>
            <w:vMerge w:val="restart"/>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20" w:type="dxa"/>
            <w:vAlign w:val="bottom"/>
            <w:gridSpan w:val="1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Caution Concerning Forward-Looking Statements</w:t>
              </w:r>
            </w:hyperlink>
          </w:p>
        </w:tc>
        <w:tc>
          <w:tcPr>
            <w:tcW w:w="7500" w:type="dxa"/>
            <w:vAlign w:val="bottom"/>
            <w:gridSpan w:val="4"/>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Dividend Policy</w:t>
              </w:r>
            </w:hyperlink>
          </w:p>
        </w:tc>
        <w:tc>
          <w:tcPr>
            <w:tcW w:w="988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Debt Securities and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Global Securities</w:t>
              </w:r>
            </w:hyperlink>
          </w:p>
        </w:tc>
        <w:tc>
          <w:tcPr>
            <w:tcW w:w="77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Description of Capital Stock</w:t>
              </w:r>
            </w:hyperlink>
          </w:p>
        </w:tc>
        <w:tc>
          <w:tcPr>
            <w:tcW w:w="902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Legal Matters</w:t>
              </w:r>
            </w:hyperlink>
          </w:p>
        </w:tc>
        <w:tc>
          <w:tcPr>
            <w:tcW w:w="96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Experts</w:t>
              </w:r>
            </w:hyperlink>
          </w:p>
        </w:tc>
        <w:tc>
          <w:tcPr>
            <w:tcW w:w="100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5"/>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Incorporation of Certain Documents by Reference</w:t>
              </w:r>
            </w:hyperlink>
          </w:p>
        </w:tc>
        <w:tc>
          <w:tcPr>
            <w:tcW w:w="75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 The Cable Networks, Broadcast Television, Filmed Entertainment and Theme Parks segments comprise the NBCUniversal businesses (collectively, the “NBCUniversal segments”).</w:t>
      </w:r>
    </w:p>
    <w:p>
      <w:pPr>
        <w:spacing w:after="0" w:line="56" w:lineRule="exact"/>
        <w:rPr>
          <w:sz w:val="20"/>
          <w:szCs w:val="20"/>
          <w:color w:val="auto"/>
        </w:rPr>
      </w:pPr>
    </w:p>
    <w:p>
      <w:pPr>
        <w:ind w:left="900" w:right="240" w:hanging="325"/>
        <w:spacing w:after="0" w:line="262"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businesses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production operations.</w:t>
      </w:r>
    </w:p>
    <w:p>
      <w:pPr>
        <w:spacing w:after="0" w:line="38" w:lineRule="exact"/>
        <w:rPr>
          <w:rFonts w:ascii="Arial" w:cs="Arial" w:eastAsia="Arial" w:hAnsi="Arial"/>
          <w:sz w:val="18"/>
          <w:szCs w:val="18"/>
          <w:color w:val="auto"/>
        </w:rPr>
      </w:pPr>
    </w:p>
    <w:p>
      <w:pPr>
        <w:ind w:left="900" w:hanging="325"/>
        <w:spacing w:after="0" w:line="27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NBC and Telemundo owned local broadcast television</w:t>
      </w:r>
      <w:r>
        <w:rPr>
          <w:rFonts w:ascii="Arial" w:cs="Arial" w:eastAsia="Arial" w:hAnsi="Arial"/>
          <w:sz w:val="18"/>
          <w:szCs w:val="18"/>
          <w:b w:val="1"/>
          <w:bCs w:val="1"/>
          <w:color w:val="auto"/>
        </w:rPr>
        <w:t xml:space="preserve"> </w:t>
      </w:r>
      <w:r>
        <w:rPr>
          <w:rFonts w:ascii="Arial" w:cs="Arial" w:eastAsia="Arial" w:hAnsi="Arial"/>
          <w:sz w:val="18"/>
          <w:szCs w:val="18"/>
          <w:color w:val="auto"/>
        </w:rPr>
        <w:t>stations, the NBC Universo national cable network, and our broadcast television production operations.</w:t>
      </w:r>
    </w:p>
    <w:p>
      <w:pPr>
        <w:spacing w:after="0" w:line="38" w:lineRule="exact"/>
        <w:rPr>
          <w:rFonts w:ascii="Arial" w:cs="Arial" w:eastAsia="Arial" w:hAnsi="Arial"/>
          <w:sz w:val="18"/>
          <w:szCs w:val="18"/>
          <w:color w:val="auto"/>
        </w:rPr>
      </w:pPr>
    </w:p>
    <w:p>
      <w:pPr>
        <w:ind w:left="900" w:right="160" w:hanging="325"/>
        <w:spacing w:after="0" w:line="27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studio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In 2014, our Cable Communications segment generated 64% of our consolidated revenue and 79% of our operating income before depreciation and amortization. The Cable Networks, Broadcast Television, Filmed Entertainment and Theme Parks segments comprise NBCUniversal’s businesses.</w:t>
      </w:r>
    </w:p>
    <w:p>
      <w:pPr>
        <w:spacing w:after="0" w:line="85"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other business interests primarily include Comcast-Spectacor, which owns the Philadelphia Flyers and the Wells Fargo Center arena in Philadelphia and operates arena management-related businesses.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a description of the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NBCUniversal is one of the world’s leading media and entertainment companies. It develops, produces and distributes entertainment, news and information, sports and other content for global audiences and owns and operates a diversified and integrated portfolio of some of the most recognizable media brands in the world.</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2014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consumer behavior driven by new products and services may adversely affect our businesses and challenge existing business models;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businesses;</w:t>
      </w:r>
    </w:p>
    <w:p>
      <w:pPr>
        <w:spacing w:after="0" w:line="113" w:lineRule="exact"/>
        <w:rPr>
          <w:rFonts w:ascii="Arial" w:cs="Arial" w:eastAsia="Arial" w:hAnsi="Arial"/>
          <w:sz w:val="16"/>
          <w:szCs w:val="16"/>
          <w:color w:val="auto"/>
        </w:rPr>
      </w:pPr>
    </w:p>
    <w:p>
      <w:pPr>
        <w:ind w:left="900" w:right="2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 ;</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retains the right to change our dividend policy at any time.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300" w:type="dxa"/>
            <w:vAlign w:val="bottom"/>
          </w:tcPr>
          <w:p>
            <w:pPr>
              <w:ind w:left="40"/>
              <w:spacing w:after="0"/>
              <w:rPr>
                <w:sz w:val="20"/>
                <w:szCs w:val="20"/>
                <w:color w:val="auto"/>
              </w:rPr>
            </w:pPr>
            <w:r>
              <w:rPr>
                <w:rFonts w:ascii="Arial" w:cs="Arial" w:eastAsia="Arial" w:hAnsi="Arial"/>
                <w:sz w:val="14"/>
                <w:szCs w:val="14"/>
                <w:b w:val="1"/>
                <w:bCs w:val="1"/>
                <w:color w:val="auto"/>
                <w:w w:val="91"/>
              </w:rPr>
              <w:t>For the Nine Months</w:t>
            </w:r>
          </w:p>
        </w:tc>
        <w:tc>
          <w:tcPr>
            <w:tcW w:w="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w w:val="87"/>
              </w:rPr>
              <w:t>For the Years Ended December 31,</w:t>
            </w: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13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w w:val="87"/>
              </w:rPr>
              <w:t>Ended September 30,</w:t>
            </w:r>
          </w:p>
        </w:tc>
        <w:tc>
          <w:tcPr>
            <w:tcW w:w="68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gridSpan w:val="4"/>
            <w:vMerge w:val="continue"/>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56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860" w:type="dxa"/>
            <w:vAlign w:val="bottom"/>
            <w:gridSpan w:val="2"/>
          </w:tcPr>
          <w:p>
            <w:pPr>
              <w:jc w:val="right"/>
              <w:ind w:right="446"/>
              <w:spacing w:after="0"/>
              <w:rPr>
                <w:sz w:val="20"/>
                <w:szCs w:val="20"/>
                <w:color w:val="auto"/>
              </w:rPr>
            </w:pPr>
            <w:r>
              <w:rPr>
                <w:rFonts w:ascii="Arial" w:cs="Arial" w:eastAsia="Arial" w:hAnsi="Arial"/>
                <w:sz w:val="14"/>
                <w:szCs w:val="14"/>
                <w:b w:val="1"/>
                <w:bCs w:val="1"/>
                <w:color w:val="auto"/>
              </w:rPr>
              <w:t>2015</w:t>
            </w:r>
          </w:p>
        </w:tc>
        <w:tc>
          <w:tcPr>
            <w:tcW w:w="238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1320" w:type="dxa"/>
            <w:vAlign w:val="bottom"/>
          </w:tcPr>
          <w:p>
            <w:pPr>
              <w:jc w:val="right"/>
              <w:ind w:right="262"/>
              <w:spacing w:after="0"/>
              <w:rPr>
                <w:sz w:val="20"/>
                <w:szCs w:val="20"/>
                <w:color w:val="auto"/>
              </w:rPr>
            </w:pPr>
            <w:r>
              <w:rPr>
                <w:rFonts w:ascii="Arial" w:cs="Arial" w:eastAsia="Arial" w:hAnsi="Arial"/>
                <w:sz w:val="14"/>
                <w:szCs w:val="14"/>
                <w:b w:val="1"/>
                <w:bCs w:val="1"/>
                <w:color w:val="auto"/>
              </w:rPr>
              <w:t>2013</w:t>
            </w:r>
          </w:p>
        </w:tc>
        <w:tc>
          <w:tcPr>
            <w:tcW w:w="2200" w:type="dxa"/>
            <w:vAlign w:val="bottom"/>
            <w:gridSpan w:val="3"/>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5"/>
                <w:szCs w:val="15"/>
                <w:color w:val="auto"/>
              </w:rPr>
            </w:pPr>
          </w:p>
        </w:tc>
        <w:tc>
          <w:tcPr>
            <w:tcW w:w="1700" w:type="dxa"/>
            <w:vAlign w:val="bottom"/>
          </w:tcPr>
          <w:p>
            <w:pPr>
              <w:jc w:val="right"/>
              <w:ind w:right="64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3"/>
        </w:trPr>
        <w:tc>
          <w:tcPr>
            <w:tcW w:w="5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w w:val="86"/>
              </w:rPr>
              <w:t>5.51x</w:t>
            </w:r>
          </w:p>
        </w:tc>
        <w:tc>
          <w:tcPr>
            <w:tcW w:w="6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5.22x</w:t>
            </w:r>
          </w:p>
        </w:tc>
        <w:tc>
          <w:tcPr>
            <w:tcW w:w="1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center"/>
              <w:ind w:left="302"/>
              <w:spacing w:after="0" w:line="203" w:lineRule="exact"/>
              <w:rPr>
                <w:sz w:val="20"/>
                <w:szCs w:val="20"/>
                <w:color w:val="auto"/>
              </w:rPr>
            </w:pPr>
            <w:r>
              <w:rPr>
                <w:rFonts w:ascii="Arial" w:cs="Arial" w:eastAsia="Arial" w:hAnsi="Arial"/>
                <w:sz w:val="18"/>
                <w:szCs w:val="18"/>
                <w:color w:val="auto"/>
                <w:w w:val="86"/>
              </w:rPr>
              <w:t>4.85x</w:t>
            </w: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4.82x</w:t>
            </w:r>
          </w:p>
        </w:tc>
        <w:tc>
          <w:tcPr>
            <w:tcW w:w="1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4.04x</w:t>
            </w:r>
          </w:p>
        </w:tc>
        <w:tc>
          <w:tcPr>
            <w:tcW w:w="10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3.57x</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3"/>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 under a senior indenture dated September 18, 2013, entered into among us, the Guarantors and The Bank of New York Mellon, as trustee.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included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31" w:lineRule="exact"/>
        <w:rPr>
          <w:rFonts w:ascii="Arial" w:cs="Arial" w:eastAsia="Arial" w:hAnsi="Arial"/>
          <w:sz w:val="18"/>
          <w:szCs w:val="18"/>
          <w:color w:val="auto"/>
        </w:rPr>
      </w:pPr>
    </w:p>
    <w:p>
      <w:pPr>
        <w:ind w:right="460" w:firstLine="464"/>
        <w:spacing w:after="0" w:line="268" w:lineRule="auto"/>
        <w:tabs>
          <w:tab w:leader="none" w:pos="7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754"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30"/>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30"/>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p>
    <w:p>
      <w:pPr>
        <w:spacing w:after="0" w:line="62"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may terminate our obligations and the obligations of the Guarantors under the indenture with respect to the senior debt securities of any series and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00" w:hanging="446"/>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hanging="446"/>
        <w:spacing w:after="0" w:line="294" w:lineRule="auto"/>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3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20" w:hanging="325"/>
        <w:spacing w:after="0" w:line="370" w:lineRule="auto"/>
        <w:tabs>
          <w:tab w:leader="none" w:pos="9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0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case of legal defeasance, we have delivered to the trustee an opinion of counsel stating that, as a result of an Internal Revenue Service (“IRS”) ruling or a change in applicable federal income tax law, the holders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31"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18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intend to pay quarterly dividends at an annual rate currently of $1.00 per share, although each dividend is subject to approval by our Board of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See “Dividend Policy” above.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As of December 31, 2014,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As of December 31, 2014,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subject to adjustment in specified situations. Stock dividends payable on the Class B common stock in the form of Class B or Class A Special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or Class A Special common stock. As of September 30, 2015, if Mr. Roberts were to convert the Class B common stock he beneficially owns into Class A common stock, Mr. Roberts would beneficially own 15,182,592 shares of Class A common stock, which is less than 1% of the Class A common stock that would be outstanding after the conversion.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 common stock offered hereby, or issuable upon conversion, exchange or exercise of securities offered hereby,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will, when issued, be, fully paid and nonassessable. We have been advised that the Class A common stock and Class A Special common stock are exempt from existing Pennsylvania personal property tax.</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 ’s Annual Report on Form 10-K for the year ended December 31, 2014,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herein by reference from NBCUniversal Media, LLC’s Annual Report on Form 10-K for the year ended December 31, 2014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2014, filed on February 27, 2015.</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2015, June 30, 2015 and September 30, 2015, filed on May 4, 2015, July 23, 2015 and October 27, 2015, respectively.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Comcast’s Current Reports on Form 8-K and amendments thereto filed on January 29, 2015, March 31, 2015, April 24, 2015, May 11, 2015, May 22, 2015, May 27, 2015, June 18, 2015, July 1, 2015 and July 7, 2015.</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NBCUniversal’s Current Reports on Form 8-K and amendments thereto filed on March 31, 2015, May 11, 2015 and July 1, 2015.</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section of Comcast’s Definitive Proxy Statement on Schedule 14A for the 2015 annual meeting of shareholders incorporated by reference in Comcast’s Annual Report on Form 10-K for the year ended December 31, 2014.</w:t>
      </w:r>
    </w:p>
    <w:p>
      <w:pPr>
        <w:spacing w:after="0" w:line="50" w:lineRule="exact"/>
        <w:rPr>
          <w:rFonts w:ascii="Arial" w:cs="Arial" w:eastAsia="Arial" w:hAnsi="Arial"/>
          <w:sz w:val="18"/>
          <w:szCs w:val="18"/>
          <w:color w:val="auto"/>
        </w:rPr>
      </w:pPr>
    </w:p>
    <w:p>
      <w:pPr>
        <w:jc w:val="both"/>
        <w:ind w:left="900" w:right="4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Comcast’s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983615</wp:posOffset>
            </wp:positionV>
            <wp:extent cx="1397635" cy="4889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80"/>
        <w:spacing w:after="0"/>
        <w:rPr>
          <w:sz w:val="20"/>
          <w:szCs w:val="20"/>
          <w:color w:val="auto"/>
        </w:rPr>
      </w:pPr>
      <w:r>
        <w:rPr>
          <w:rFonts w:ascii="Arial" w:cs="Arial" w:eastAsia="Arial" w:hAnsi="Arial"/>
          <w:sz w:val="23"/>
          <w:szCs w:val="23"/>
          <w:b w:val="1"/>
          <w:bCs w:val="1"/>
          <w:color w:val="auto"/>
        </w:rPr>
        <w:t>$1,490,000,000 4.60% Notes due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1167130</wp:posOffset>
            </wp:positionV>
            <wp:extent cx="15176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220"/>
        <w:spacing w:after="0"/>
        <w:rPr>
          <w:sz w:val="20"/>
          <w:szCs w:val="20"/>
          <w:color w:val="auto"/>
        </w:rPr>
      </w:pPr>
      <w:r>
        <w:rPr>
          <w:rFonts w:ascii="Arial" w:cs="Arial" w:eastAsia="Arial" w:hAnsi="Arial"/>
          <w:sz w:val="22"/>
          <w:szCs w:val="22"/>
          <w:i w:val="1"/>
          <w:iCs w:val="1"/>
          <w:color w:val="auto"/>
        </w:rPr>
        <w:t>Joint Book-Running Managers</w:t>
      </w:r>
    </w:p>
    <w:p>
      <w:pPr>
        <w:spacing w:after="0" w:line="205"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E.Sun Commercial</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Bank, Ltd.</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MasterLink Securities</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Corporation</w:t>
      </w:r>
    </w:p>
    <w:p>
      <w:pPr>
        <w:spacing w:after="0" w:line="9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SinoPac Securities</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November 23,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215"/>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lowerLetter"/>
      <w:start w:val="23"/>
    </w:lvl>
  </w:abstractNum>
  <w:abstractNum w:abstractNumId="7">
    <w:nsid w:val="2CA88611"/>
    <w:multiLevelType w:val="hybridMultilevel"/>
    <w:lvl w:ilvl="0">
      <w:lvlJc w:val="left"/>
      <w:lvlText w:val="%1."/>
      <w:numFmt w:val="decimal"/>
      <w:start w:val="1"/>
    </w:lvl>
    <w:lvl w:ilvl="1">
      <w:lvlJc w:val="left"/>
      <w:lvlText w:val="%2."/>
      <w:numFmt w:val="lowerLetter"/>
      <w:start w:val="1"/>
    </w:lvl>
  </w:abstractNum>
  <w:abstractNum w:abstractNumId="8">
    <w:nsid w:val="836C40E"/>
    <w:multiLevelType w:val="hybridMultilevel"/>
    <w:lvl w:ilvl="0">
      <w:lvlJc w:val="left"/>
      <w:lvlText w:val="%1."/>
      <w:numFmt w:val="decimal"/>
      <w:start w:val="2"/>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lowerLetter"/>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1)"/>
      <w:numFmt w:val="lowerRoman"/>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Letter"/>
      <w:start w:val="3"/>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1"/>
    </w:lvl>
  </w:abstractNum>
  <w:abstractNum w:abstractNumId="27">
    <w:nsid w:val="5C482A97"/>
    <w:multiLevelType w:val="hybridMultilevel"/>
    <w:lvl w:ilvl="0">
      <w:lvlJc w:val="left"/>
      <w:lvlText w:val="(%1)"/>
      <w:numFmt w:val="lowerLetter"/>
      <w:start w:val="1"/>
    </w:lvl>
  </w:abstractNum>
  <w:abstractNum w:abstractNumId="28">
    <w:nsid w:val="2463B9EA"/>
    <w:multiLevelType w:val="hybridMultilevel"/>
    <w:lvl w:ilvl="0">
      <w:lvlJc w:val="left"/>
      <w:lvlText w:val="(%1)"/>
      <w:numFmt w:val="lowerLetter"/>
      <w:start w:val="3"/>
    </w:lvl>
  </w:abstractNum>
  <w:abstractNum w:abstractNumId="29">
    <w:nsid w:val="5E884ADC"/>
    <w:multiLevelType w:val="hybridMultilevel"/>
    <w:lvl w:ilvl="0">
      <w:lvlJc w:val="left"/>
      <w:lvlText w:val="%1"/>
      <w:numFmt w:val="lowerLetter"/>
      <w:start w:val="1"/>
    </w:lvl>
    <w:lvl w:ilvl="1">
      <w:lvlJc w:val="left"/>
      <w:lvlText w:val="(%2)"/>
      <w:numFmt w:val="lowerLetter"/>
      <w:start w:val="13"/>
    </w:lvl>
  </w:abstractNum>
  <w:abstractNum w:abstractNumId="30">
    <w:nsid w:val="51EAD36B"/>
    <w:multiLevelType w:val="hybridMultilevel"/>
    <w:lvl w:ilvl="0">
      <w:lvlJc w:val="left"/>
      <w:lvlText w:val="(%1)"/>
      <w:numFmt w:val="lowerLetter"/>
      <w:start w:val="61"/>
    </w:lvl>
    <w:lvl w:ilvl="1">
      <w:lvlJc w:val="left"/>
      <w:lvlText w:val="(%2)"/>
      <w:numFmt w:val="lowerLetter"/>
      <w:start w:val="19"/>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lowerLetter"/>
      <w:start w:val="1"/>
    </w:lvl>
  </w:abstractNum>
  <w:abstractNum w:abstractNumId="38">
    <w:nsid w:val="1D4ED43B"/>
    <w:multiLevelType w:val="hybridMultilevel"/>
    <w:lvl w:ilvl="0">
      <w:lvlJc w:val="left"/>
      <w:lvlText w:val="•"/>
      <w:numFmt w:val="bullet"/>
      <w:start w:val="1"/>
    </w:lvl>
    <w:lvl w:ilvl="1">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lvl w:ilvl="1">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2019-12-08T00:14:11Z</dcterms:created>
  <dcterms:modified xsi:type="dcterms:W3CDTF">2019-12-08T00:14:11Z</dcterms:modified>
</cp:coreProperties>
</file>