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60" w:after="120"/>
        <w:jc w:val="both"/>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FORM 10-Q </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lineRule="auto" w:line="288" w:before="0" w:after="0"/>
        <w:jc w:val="center"/>
        <w:rPr/>
      </w:pPr>
      <w:r>
        <w:rPr>
          <w:rFonts w:ascii="Times New Roman;sans-serif" w:hAnsi="Times New Roman;sans-serif"/>
          <w:b/>
          <w:color w:val="000000"/>
          <w:sz w:val="20"/>
        </w:rPr>
        <w:t>For the transition period from                       to     </w:t>
      </w:r>
      <w:r>
        <w:rPr>
          <w:color w:val="000000"/>
        </w:rPr>
        <w:t>  </w:t>
      </w:r>
    </w:p>
    <w:p>
      <w:pPr>
        <w:pStyle w:val="TextBody"/>
        <w:spacing w:lineRule="auto" w:line="288" w:before="0" w:after="0"/>
        <w:jc w:val="center"/>
        <w:rPr>
          <w:color w:val="000000"/>
        </w:rPr>
      </w:pPr>
      <w:r>
        <w:rPr>
          <w:color w:val="000000"/>
        </w:rPr>
        <w:t>               </w:t>
      </w:r>
    </w:p>
    <w:tbl>
      <w:tblPr>
        <w:tblW w:w="8324" w:type="dxa"/>
        <w:jc w:val="left"/>
        <w:tblInd w:w="0" w:type="dxa"/>
        <w:tblCellMar>
          <w:top w:w="28" w:type="dxa"/>
          <w:left w:w="28" w:type="dxa"/>
          <w:bottom w:w="28" w:type="dxa"/>
          <w:right w:w="28" w:type="dxa"/>
        </w:tblCellMar>
      </w:tblPr>
      <w:tblGrid>
        <w:gridCol w:w="793"/>
        <w:gridCol w:w="697"/>
        <w:gridCol w:w="700"/>
        <w:gridCol w:w="1074"/>
        <w:gridCol w:w="1074"/>
        <w:gridCol w:w="1077"/>
        <w:gridCol w:w="851"/>
        <w:gridCol w:w="851"/>
        <w:gridCol w:w="1207"/>
      </w:tblGrid>
      <w:tr>
        <w:trPr/>
        <w:tc>
          <w:tcPr>
            <w:tcW w:w="793"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r>
      <w:tr>
        <w:trPr/>
        <w:tc>
          <w:tcPr>
            <w:tcW w:w="2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5" w:type="dxa"/>
            <w:gridSpan w:val="3"/>
            <w:tcBorders>
              <w:top w:val="single" w:sz="8" w:space="0" w:color="00000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524000"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552450"/>
                          </a:xfrm>
                          <a:prstGeom prst="rect">
                            <a:avLst/>
                          </a:prstGeom>
                        </pic:spPr>
                      </pic:pic>
                    </a:graphicData>
                  </a:graphic>
                </wp:inline>
              </w:drawing>
            </w:r>
          </w:p>
        </w:tc>
        <w:tc>
          <w:tcPr>
            <w:tcW w:w="2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22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State of</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Address and Telephone</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Number of Principal Executive Offices</w:t>
            </w:r>
          </w:p>
        </w:tc>
        <w:tc>
          <w:tcPr>
            <w:tcW w:w="29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2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001-32871</w:t>
            </w:r>
          </w:p>
        </w:tc>
        <w:tc>
          <w:tcPr>
            <w:tcW w:w="32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COMCAST CORPORATION</w:t>
            </w:r>
          </w:p>
        </w:tc>
        <w:tc>
          <w:tcPr>
            <w:tcW w:w="29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27-0000798</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Pennsylvania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One Comcast Center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Philadelphia, PA 19103-2838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(215) 286-1700 </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10205" w:type="dxa"/>
        <w:jc w:val="left"/>
        <w:tblInd w:w="0" w:type="dxa"/>
        <w:tblCellMar>
          <w:top w:w="28" w:type="dxa"/>
          <w:left w:w="28" w:type="dxa"/>
          <w:bottom w:w="28" w:type="dxa"/>
          <w:right w:w="28" w:type="dxa"/>
        </w:tblCellMar>
      </w:tblPr>
      <w:tblGrid>
        <w:gridCol w:w="1608"/>
        <w:gridCol w:w="1359"/>
        <w:gridCol w:w="1376"/>
        <w:gridCol w:w="109"/>
        <w:gridCol w:w="109"/>
        <w:gridCol w:w="109"/>
        <w:gridCol w:w="555"/>
        <w:gridCol w:w="537"/>
        <w:gridCol w:w="539"/>
        <w:gridCol w:w="109"/>
        <w:gridCol w:w="109"/>
        <w:gridCol w:w="109"/>
        <w:gridCol w:w="1044"/>
        <w:gridCol w:w="1044"/>
        <w:gridCol w:w="1489"/>
      </w:tblGrid>
      <w:tr>
        <w:trPr/>
        <w:tc>
          <w:tcPr>
            <w:tcW w:w="1608" w:type="dxa"/>
            <w:tcBorders/>
            <w:shd w:fill="auto" w:val="clear"/>
            <w:vAlign w:val="center"/>
          </w:tcPr>
          <w:p>
            <w:pPr>
              <w:pStyle w:val="TableContents"/>
              <w:spacing w:before="0" w:after="283"/>
              <w:rPr>
                <w:sz w:val="4"/>
                <w:szCs w:val="4"/>
              </w:rPr>
            </w:pPr>
            <w:r>
              <w:rPr>
                <w:sz w:val="4"/>
                <w:szCs w:val="4"/>
              </w:rPr>
            </w:r>
          </w:p>
        </w:tc>
        <w:tc>
          <w:tcPr>
            <w:tcW w:w="1359" w:type="dxa"/>
            <w:tcBorders/>
            <w:shd w:fill="auto" w:val="clear"/>
            <w:vAlign w:val="center"/>
          </w:tcPr>
          <w:p>
            <w:pPr>
              <w:pStyle w:val="TableContents"/>
              <w:spacing w:before="0" w:after="283"/>
              <w:rPr>
                <w:sz w:val="4"/>
                <w:szCs w:val="4"/>
              </w:rPr>
            </w:pPr>
            <w:r>
              <w:rPr>
                <w:sz w:val="4"/>
                <w:szCs w:val="4"/>
              </w:rPr>
            </w:r>
          </w:p>
        </w:tc>
        <w:tc>
          <w:tcPr>
            <w:tcW w:w="1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1489" w:type="dxa"/>
            <w:tcBorders/>
            <w:shd w:fill="auto" w:val="clear"/>
            <w:vAlign w:val="center"/>
          </w:tcPr>
          <w:p>
            <w:pPr>
              <w:pStyle w:val="TableContents"/>
              <w:spacing w:before="0" w:after="283"/>
              <w:rPr>
                <w:sz w:val="4"/>
                <w:szCs w:val="4"/>
              </w:rPr>
            </w:pPr>
            <w:r>
              <w:rPr>
                <w:sz w:val="4"/>
                <w:szCs w:val="4"/>
              </w:rPr>
            </w:r>
          </w:p>
        </w:tc>
      </w:tr>
      <w:tr>
        <w:trPr/>
        <w:tc>
          <w:tcPr>
            <w:tcW w:w="43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43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$0.01 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CMCSA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43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0.000% Notes due 2026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CMCS26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43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0.250% Notes due 2027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CMCS27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43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1.500% Notes due 2029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CMCS29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43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0.250% Notes due 2029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CMCS29A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43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0.750% Notes due 2032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CMCS32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43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1.875% Notes due 2036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CMCS36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43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1.250% Notes due 2040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CMCS40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43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 Notes due 2029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CCGBP29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r>
        <w:trPr/>
        <w:tc>
          <w:tcPr>
            <w:tcW w:w="434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 Exchangeable Subordinated Debentures due 2029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CCZ</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spacing w:lineRule="auto" w:line="288" w:before="20" w:after="240"/>
        <w:jc w:val="both"/>
        <w:rPr/>
      </w:pPr>
      <w:r>
        <w:rPr>
          <w:rFonts w:ascii="Times New Roman;sans-serif" w:hAnsi="Times New Roman;sans-serif"/>
          <w:b w:val="false"/>
          <w:color w:val="000000"/>
          <w:sz w:val="19"/>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9"/>
        </w:rPr>
        <w:t xml:space="preserve">No </w:t>
      </w:r>
      <w:r>
        <w:rPr>
          <w:color w:val="000000"/>
        </w:rPr>
        <w:t>☐</w:t>
      </w:r>
    </w:p>
    <w:p>
      <w:pPr>
        <w:pStyle w:val="TextBody"/>
        <w:spacing w:lineRule="auto" w:line="288" w:before="60" w:after="180"/>
        <w:jc w:val="both"/>
        <w:rPr/>
      </w:pPr>
      <w:r>
        <w:rPr>
          <w:rFonts w:ascii="Times New Roman;sans-serif" w:hAnsi="Times New Roman;sans-serif"/>
          <w:b w:val="false"/>
          <w:color w:val="000000"/>
          <w:sz w:val="19"/>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9"/>
        </w:rPr>
        <w:t xml:space="preserve">No </w:t>
      </w:r>
      <w:r>
        <w:rPr>
          <w:color w:val="000000"/>
        </w:rPr>
        <w:t>☐</w:t>
      </w:r>
    </w:p>
    <w:p>
      <w:pPr>
        <w:pStyle w:val="TextBody"/>
        <w:spacing w:lineRule="auto" w:line="288" w:before="120" w:after="283"/>
        <w:jc w:val="both"/>
        <w:rPr>
          <w:rFonts w:ascii="Times New Roman;sans-serif" w:hAnsi="Times New Roman;sans-serif"/>
          <w:b w:val="false"/>
          <w:color w:val="000000"/>
          <w:sz w:val="19"/>
        </w:rPr>
      </w:pPr>
      <w:r>
        <w:rPr>
          <w:rFonts w:ascii="Times New Roman;sans-serif" w:hAnsi="Times New Roman;sans-serif"/>
          <w:b w:val="false"/>
          <w:color w:val="000000"/>
          <w:sz w:val="19"/>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10205" w:type="dxa"/>
        <w:jc w:val="left"/>
        <w:tblInd w:w="0" w:type="dxa"/>
        <w:tblCellMar>
          <w:top w:w="28" w:type="dxa"/>
          <w:left w:w="28" w:type="dxa"/>
          <w:bottom w:w="28" w:type="dxa"/>
          <w:right w:w="28" w:type="dxa"/>
        </w:tblCellMar>
      </w:tblPr>
      <w:tblGrid>
        <w:gridCol w:w="587"/>
        <w:gridCol w:w="516"/>
        <w:gridCol w:w="518"/>
        <w:gridCol w:w="109"/>
        <w:gridCol w:w="109"/>
        <w:gridCol w:w="109"/>
        <w:gridCol w:w="480"/>
        <w:gridCol w:w="480"/>
        <w:gridCol w:w="481"/>
        <w:gridCol w:w="109"/>
        <w:gridCol w:w="109"/>
        <w:gridCol w:w="109"/>
        <w:gridCol w:w="600"/>
        <w:gridCol w:w="600"/>
        <w:gridCol w:w="601"/>
        <w:gridCol w:w="109"/>
        <w:gridCol w:w="109"/>
        <w:gridCol w:w="109"/>
        <w:gridCol w:w="606"/>
        <w:gridCol w:w="606"/>
        <w:gridCol w:w="609"/>
        <w:gridCol w:w="109"/>
        <w:gridCol w:w="109"/>
        <w:gridCol w:w="109"/>
        <w:gridCol w:w="611"/>
        <w:gridCol w:w="611"/>
        <w:gridCol w:w="614"/>
        <w:gridCol w:w="109"/>
        <w:gridCol w:w="109"/>
        <w:gridCol w:w="159"/>
      </w:tblGrid>
      <w:tr>
        <w:trPr/>
        <w:tc>
          <w:tcPr>
            <w:tcW w:w="587"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62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color w:val="000000"/>
              </w:rPr>
            </w:pPr>
            <w:r>
              <w:rPr>
                <w:color w:val="000000"/>
              </w:rPr>
              <w:t>☒</w:t>
            </w:r>
          </w:p>
        </w:tc>
        <w:tc>
          <w:tcPr>
            <w:tcW w:w="14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color w:val="000000"/>
              </w:rPr>
            </w:pPr>
            <w:r>
              <w:rPr>
                <w:color w:val="000000"/>
              </w:rPr>
              <w:t>☐</w:t>
            </w:r>
          </w:p>
        </w:tc>
        <w:tc>
          <w:tcPr>
            <w:tcW w:w="180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color w:val="000000"/>
              </w:rPr>
            </w:pPr>
            <w:r>
              <w:rPr>
                <w:color w:val="000000"/>
              </w:rPr>
              <w:t>☐</w:t>
            </w:r>
          </w:p>
        </w:tc>
        <w:tc>
          <w:tcPr>
            <w:tcW w:w="182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color w:val="000000"/>
              </w:rPr>
            </w:pPr>
            <w:r>
              <w:rPr>
                <w:color w:val="000000"/>
              </w:rPr>
              <w:t>☐</w:t>
            </w:r>
          </w:p>
        </w:tc>
        <w:tc>
          <w:tcPr>
            <w:tcW w:w="183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Emerging growth company</w:t>
            </w:r>
          </w:p>
        </w:tc>
        <w:tc>
          <w:tcPr>
            <w:tcW w:w="3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color w:val="000000"/>
              </w:rPr>
            </w:pPr>
            <w:r>
              <w:rPr>
                <w:color w:val="000000"/>
              </w:rPr>
              <w:t>☐</w:t>
            </w:r>
          </w:p>
        </w:tc>
      </w:tr>
      <w:tr>
        <w:trPr/>
        <w:tc>
          <w:tcPr>
            <w:tcW w:w="16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36" w:type="dxa"/>
            <w:gridSpan w:val="3"/>
            <w:tcBorders/>
            <w:shd w:fill="auto" w:val="clear"/>
            <w:vAlign w:val="center"/>
          </w:tcPr>
          <w:p>
            <w:pPr>
              <w:pStyle w:val="TableContents"/>
              <w:spacing w:before="0" w:after="283"/>
              <w:rPr>
                <w:sz w:val="4"/>
                <w:szCs w:val="4"/>
              </w:rPr>
            </w:pPr>
            <w:r>
              <w:rPr>
                <w:sz w:val="4"/>
                <w:szCs w:val="4"/>
              </w:rPr>
            </w:r>
          </w:p>
        </w:tc>
        <w:tc>
          <w:tcPr>
            <w:tcW w:w="37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80" w:after="180"/>
        <w:jc w:val="both"/>
        <w:rPr/>
      </w:pPr>
      <w:r>
        <w:rPr>
          <w:rFonts w:ascii="Times New Roman;sans-serif" w:hAnsi="Times New Roman;sans-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120" w:after="180"/>
        <w:jc w:val="both"/>
        <w:rPr/>
      </w:pPr>
      <w:r>
        <w:rPr>
          <w:rFonts w:ascii="Times New Roman;sans-serif" w:hAnsi="Times New Roman;sans-serif"/>
          <w:b w:val="false"/>
          <w:color w:val="000000"/>
          <w:sz w:val="19"/>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9"/>
        </w:rPr>
        <w:t xml:space="preserve">No </w:t>
      </w:r>
      <w:r>
        <w:rPr>
          <w:color w:val="000000"/>
        </w:rPr>
        <w:t>☒</w:t>
      </w:r>
    </w:p>
    <w:p>
      <w:pPr>
        <w:pStyle w:val="TextBody"/>
        <w:spacing w:lineRule="auto" w:line="288" w:before="120" w:after="283"/>
        <w:jc w:val="both"/>
        <w:rPr>
          <w:rFonts w:ascii="Times New Roman;sans-serif" w:hAnsi="Times New Roman;sans-serif"/>
          <w:b w:val="false"/>
          <w:color w:val="000000"/>
          <w:sz w:val="19"/>
        </w:rPr>
      </w:pPr>
      <w:r>
        <w:rPr>
          <w:rFonts w:ascii="Times New Roman;sans-serif" w:hAnsi="Times New Roman;sans-serif"/>
          <w:b w:val="false"/>
          <w:color w:val="000000"/>
          <w:sz w:val="19"/>
        </w:rPr>
        <w:t>Indicate the number of shares outstanding of each of the issuer’s classes of common stock, as of the latest practicable date:</w:t>
      </w:r>
    </w:p>
    <w:p>
      <w:pPr>
        <w:pStyle w:val="TextBody"/>
        <w:spacing w:lineRule="auto" w:line="288" w:before="0" w:after="240"/>
        <w:jc w:val="both"/>
        <w:rPr>
          <w:rFonts w:ascii="Times New Roman;sans-serif" w:hAnsi="Times New Roman;sans-serif"/>
          <w:b w:val="false"/>
          <w:color w:val="000000"/>
          <w:sz w:val="19"/>
        </w:rPr>
      </w:pPr>
      <w:r>
        <w:rPr>
          <w:rFonts w:ascii="Times New Roman;sans-serif" w:hAnsi="Times New Roman;sans-serif"/>
          <w:b w:val="false"/>
          <w:color w:val="000000"/>
          <w:sz w:val="19"/>
        </w:rPr>
        <w:t>As of April 15, 2023, there were 4,159,383,013 shares of Comcast Corporation Class A common stock and 9,444,375 shares of Class B common stock outstanding.</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13360"/>
                <wp:effectExtent l="0" t="0" r="0" b="0"/>
                <wp:wrapNone/>
                <wp:docPr id="2" name="Frame1"/>
                <a:graphic xmlns:a="http://schemas.openxmlformats.org/drawingml/2006/main">
                  <a:graphicData uri="http://schemas.microsoft.com/office/word/2010/wordprocessingShape">
                    <wps:wsp>
                      <wps:cNvSpPr txBox="1"/>
                      <wps:spPr>
                        <a:xfrm>
                          <a:off x="0" y="0"/>
                          <a:ext cx="6480175" cy="213360"/>
                        </a:xfrm>
                        <a:prstGeom prst="rect"/>
                      </wps:spPr>
                      <wps:txbx>
                        <w:txbxContent>
                          <w:p>
                            <w:pPr>
                              <w:pStyle w:val="TextBody"/>
                              <w:spacing w:before="6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60" w:after="120"/>
                        <w:jc w:val="both"/>
                        <w:rPr/>
                      </w:pPr>
                      <w:r>
                        <w:rPr/>
                      </w:r>
                    </w:p>
                  </w:txbxContent>
                </v:textbox>
              </v:rect>
            </w:pict>
          </mc:Fallback>
        </mc:AlternateContent>
      </w:r>
    </w:p>
    <w:p>
      <w:pPr>
        <w:pStyle w:val="TextBody"/>
        <w:spacing w:before="60" w:after="120"/>
        <w:jc w:val="both"/>
        <w:rPr/>
      </w:pPr>
      <w:r>
        <w:rPr/>
      </w:r>
    </w:p>
    <w:p>
      <w:pPr>
        <w:pStyle w:val="TextBody"/>
        <w:spacing w:lineRule="auto" w:line="288" w:before="60" w:after="120"/>
        <w:jc w:val="center"/>
        <w:rPr>
          <w:rFonts w:ascii="Helvetica;sans-serif" w:hAnsi="Helvetica;sans-serif"/>
          <w:b/>
          <w:color w:val="000000"/>
          <w:sz w:val="24"/>
        </w:rPr>
      </w:pPr>
      <w:r>
        <w:rPr>
          <w:rFonts w:ascii="Helvetica;sans-serif" w:hAnsi="Helvetica;sans-serif"/>
          <w:b/>
          <w:color w:val="000000"/>
          <w:sz w:val="24"/>
        </w:rPr>
        <w:t>TABLE OF CONTENTS</w:t>
      </w:r>
    </w:p>
    <w:tbl>
      <w:tblPr>
        <w:tblW w:w="10004" w:type="dxa"/>
        <w:jc w:val="left"/>
        <w:tblInd w:w="0" w:type="dxa"/>
        <w:tblCellMar>
          <w:top w:w="28" w:type="dxa"/>
          <w:left w:w="28" w:type="dxa"/>
          <w:bottom w:w="28" w:type="dxa"/>
          <w:right w:w="28" w:type="dxa"/>
        </w:tblCellMar>
      </w:tblPr>
      <w:tblGrid>
        <w:gridCol w:w="305"/>
        <w:gridCol w:w="268"/>
        <w:gridCol w:w="268"/>
        <w:gridCol w:w="2452"/>
        <w:gridCol w:w="2452"/>
        <w:gridCol w:w="2461"/>
        <w:gridCol w:w="522"/>
        <w:gridCol w:w="522"/>
        <w:gridCol w:w="754"/>
      </w:tblGrid>
      <w:tr>
        <w:trPr/>
        <w:tc>
          <w:tcPr>
            <w:tcW w:w="305"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452" w:type="dxa"/>
            <w:tcBorders/>
            <w:shd w:fill="auto" w:val="clear"/>
            <w:vAlign w:val="center"/>
          </w:tcPr>
          <w:p>
            <w:pPr>
              <w:pStyle w:val="TableContents"/>
              <w:spacing w:before="0" w:after="283"/>
              <w:rPr>
                <w:sz w:val="4"/>
                <w:szCs w:val="4"/>
              </w:rPr>
            </w:pPr>
            <w:r>
              <w:rPr>
                <w:sz w:val="4"/>
                <w:szCs w:val="4"/>
              </w:rPr>
            </w:r>
          </w:p>
        </w:tc>
        <w:tc>
          <w:tcPr>
            <w:tcW w:w="2452" w:type="dxa"/>
            <w:tcBorders/>
            <w:shd w:fill="auto" w:val="clear"/>
            <w:vAlign w:val="center"/>
          </w:tcPr>
          <w:p>
            <w:pPr>
              <w:pStyle w:val="TableContents"/>
              <w:spacing w:before="0" w:after="283"/>
              <w:rPr>
                <w:sz w:val="4"/>
                <w:szCs w:val="4"/>
              </w:rPr>
            </w:pPr>
            <w:r>
              <w:rPr>
                <w:sz w:val="4"/>
                <w:szCs w:val="4"/>
              </w:rPr>
            </w:r>
          </w:p>
        </w:tc>
        <w:tc>
          <w:tcPr>
            <w:tcW w:w="2461"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tc>
        <w:tc>
          <w:tcPr>
            <w:tcW w:w="736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left"/>
              <w:rPr>
                <w:color w:val="000000"/>
              </w:rPr>
            </w:pPr>
            <w:r>
              <w:rPr>
                <w:color w:val="000000"/>
              </w:rPr>
              <w:t>  </w:t>
            </w:r>
          </w:p>
        </w:tc>
        <w:tc>
          <w:tcPr>
            <w:tcW w:w="179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Page</w:t>
            </w:r>
          </w:p>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Number</w:t>
            </w:r>
          </w:p>
        </w:tc>
      </w:tr>
      <w:tr>
        <w:trPr/>
        <w:tc>
          <w:tcPr>
            <w:tcW w:w="1000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w:anchor="i6cbedffc79ba431f8c6c5489cc9b606c_10">
              <w:r>
                <w:rPr>
                  <w:rStyle w:val="InternetLink"/>
                  <w:rFonts w:ascii="Times New Roman;sans-serif" w:hAnsi="Times New Roman;sans-serif"/>
                  <w:b/>
                  <w:color w:val="0000FF"/>
                  <w:sz w:val="20"/>
                  <w:u w:val="single"/>
                </w:rPr>
                <w:t>PART I. FINANCIAL INFORMATION</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cbedffc79ba431f8c6c5489cc9b606c_10">
              <w:r>
                <w:rPr>
                  <w:rStyle w:val="InternetLink"/>
                  <w:rFonts w:ascii="Times New Roman;sans-serif" w:hAnsi="Times New Roman;sans-serif"/>
                  <w:b w:val="false"/>
                  <w:color w:val="0000FF"/>
                  <w:sz w:val="20"/>
                  <w:u w:val="single"/>
                </w:rPr>
                <w:t>Financial Statements</w:t>
              </w:r>
            </w:hyperlink>
          </w:p>
        </w:tc>
        <w:tc>
          <w:tcPr>
            <w:tcW w:w="17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cbedffc79ba431f8c6c5489cc9b606c_10">
              <w:r>
                <w:rPr>
                  <w:rStyle w:val="InternetLink"/>
                  <w:rFonts w:ascii="Times New Roman;sans-serif" w:hAnsi="Times New Roman;sans-serif"/>
                  <w:b w:val="false"/>
                  <w:strike w:val="false"/>
                  <w:dstrike w:val="false"/>
                  <w:color w:val="2C2C2C"/>
                  <w:sz w:val="20"/>
                  <w:u w:val="none"/>
                  <w:effect w:val="none"/>
                </w:rPr>
                <w:t>1</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cbedffc79ba431f8c6c5489cc9b606c_13">
              <w:r>
                <w:rPr>
                  <w:rStyle w:val="InternetLink"/>
                </w:rPr>
                <w:t>Condensed Consolidated Statement</w:t>
              </w:r>
            </w:hyperlink>
            <w:hyperlink w:anchor="i6cbedffc79ba431f8c6c5489cc9b606c_13">
              <w:r>
                <w:rPr>
                  <w:rStyle w:val="InternetLink"/>
                </w:rPr>
                <w:t>s</w:t>
              </w:r>
            </w:hyperlink>
            <w:hyperlink w:anchor="i6cbedffc79ba431f8c6c5489cc9b606c_13">
              <w:r>
                <w:rPr>
                  <w:rStyle w:val="InternetLink"/>
                </w:rPr>
                <w:t xml:space="preserve"> of Income (Unaudited)</w:t>
              </w:r>
            </w:hyperlink>
          </w:p>
        </w:tc>
        <w:tc>
          <w:tcPr>
            <w:tcW w:w="17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cbedffc79ba431f8c6c5489cc9b606c_13">
              <w:r>
                <w:rPr>
                  <w:rStyle w:val="InternetLink"/>
                  <w:rFonts w:ascii="Times New Roman;sans-serif" w:hAnsi="Times New Roman;sans-serif"/>
                  <w:b w:val="false"/>
                  <w:strike w:val="false"/>
                  <w:dstrike w:val="false"/>
                  <w:color w:val="2C2C2C"/>
                  <w:sz w:val="20"/>
                  <w:u w:val="none"/>
                  <w:effect w:val="none"/>
                </w:rPr>
                <w:t>1</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cbedffc79ba431f8c6c5489cc9b606c_16">
              <w:r>
                <w:rPr>
                  <w:rStyle w:val="InternetLink"/>
                </w:rPr>
                <w:t>Condensed Consolidated Statement</w:t>
              </w:r>
            </w:hyperlink>
            <w:hyperlink w:anchor="i6cbedffc79ba431f8c6c5489cc9b606c_16">
              <w:r>
                <w:rPr>
                  <w:rStyle w:val="InternetLink"/>
                </w:rPr>
                <w:t>s</w:t>
              </w:r>
            </w:hyperlink>
            <w:hyperlink w:anchor="i6cbedffc79ba431f8c6c5489cc9b606c_16">
              <w:r>
                <w:rPr>
                  <w:rStyle w:val="InternetLink"/>
                </w:rPr>
                <w:t xml:space="preserve"> of Comprehensive Income (Unaudited)</w:t>
              </w:r>
            </w:hyperlink>
          </w:p>
        </w:tc>
        <w:tc>
          <w:tcPr>
            <w:tcW w:w="17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cbedffc79ba431f8c6c5489cc9b606c_16">
              <w:r>
                <w:rPr>
                  <w:rStyle w:val="InternetLink"/>
                  <w:rFonts w:ascii="Times New Roman;sans-serif" w:hAnsi="Times New Roman;sans-serif"/>
                  <w:b w:val="false"/>
                  <w:strike w:val="false"/>
                  <w:dstrike w:val="false"/>
                  <w:color w:val="2C2C2C"/>
                  <w:sz w:val="20"/>
                  <w:u w:val="none"/>
                  <w:effect w:val="none"/>
                </w:rPr>
                <w:t>2</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cbedffc79ba431f8c6c5489cc9b606c_22">
              <w:r>
                <w:rPr>
                  <w:rStyle w:val="InternetLink"/>
                </w:rPr>
                <w:t>Condensed Consolidated Statement</w:t>
              </w:r>
            </w:hyperlink>
            <w:hyperlink w:anchor="i6cbedffc79ba431f8c6c5489cc9b606c_22">
              <w:r>
                <w:rPr>
                  <w:rStyle w:val="InternetLink"/>
                </w:rPr>
                <w:t>s</w:t>
              </w:r>
            </w:hyperlink>
            <w:hyperlink w:anchor="i6cbedffc79ba431f8c6c5489cc9b606c_22">
              <w:r>
                <w:rPr>
                  <w:rStyle w:val="InternetLink"/>
                </w:rPr>
                <w:t xml:space="preserve"> of Cash Flows (Unaudited)</w:t>
              </w:r>
            </w:hyperlink>
          </w:p>
        </w:tc>
        <w:tc>
          <w:tcPr>
            <w:tcW w:w="17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cbedffc79ba431f8c6c5489cc9b606c_22">
              <w:r>
                <w:rPr>
                  <w:rStyle w:val="InternetLink"/>
                  <w:rFonts w:ascii="Times New Roman;sans-serif" w:hAnsi="Times New Roman;sans-serif"/>
                  <w:b w:val="false"/>
                  <w:strike w:val="false"/>
                  <w:dstrike w:val="false"/>
                  <w:color w:val="2C2C2C"/>
                  <w:sz w:val="20"/>
                  <w:u w:val="none"/>
                  <w:effect w:val="none"/>
                </w:rPr>
                <w:t>3</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cbedffc79ba431f8c6c5489cc9b606c_25">
              <w:r>
                <w:rPr>
                  <w:rStyle w:val="InternetLink"/>
                </w:rPr>
                <w:t>Condensed Consolidated Balance Sheet</w:t>
              </w:r>
            </w:hyperlink>
            <w:hyperlink w:anchor="i6cbedffc79ba431f8c6c5489cc9b606c_25">
              <w:r>
                <w:rPr>
                  <w:rStyle w:val="InternetLink"/>
                </w:rPr>
                <w:t>s</w:t>
              </w:r>
            </w:hyperlink>
            <w:hyperlink w:anchor="i6cbedffc79ba431f8c6c5489cc9b606c_25">
              <w:r>
                <w:rPr>
                  <w:rStyle w:val="InternetLink"/>
                </w:rPr>
                <w:t xml:space="preserve"> (Unaudited) </w:t>
              </w:r>
            </w:hyperlink>
          </w:p>
        </w:tc>
        <w:tc>
          <w:tcPr>
            <w:tcW w:w="17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cbedffc79ba431f8c6c5489cc9b606c_25">
              <w:r>
                <w:rPr>
                  <w:rStyle w:val="InternetLink"/>
                  <w:rFonts w:ascii="Times New Roman;sans-serif" w:hAnsi="Times New Roman;sans-serif"/>
                  <w:b w:val="false"/>
                  <w:strike w:val="false"/>
                  <w:dstrike w:val="false"/>
                  <w:color w:val="2C2C2C"/>
                  <w:sz w:val="20"/>
                  <w:u w:val="none"/>
                  <w:effect w:val="none"/>
                </w:rPr>
                <w:t>4</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cbedffc79ba431f8c6c5489cc9b606c_28">
              <w:r>
                <w:rPr>
                  <w:rStyle w:val="InternetLink"/>
                </w:rPr>
                <w:t>Condensed Consolidated Statement</w:t>
              </w:r>
            </w:hyperlink>
            <w:hyperlink w:anchor="i6cbedffc79ba431f8c6c5489cc9b606c_28">
              <w:r>
                <w:rPr>
                  <w:rStyle w:val="InternetLink"/>
                </w:rPr>
                <w:t>s</w:t>
              </w:r>
            </w:hyperlink>
            <w:hyperlink w:anchor="i6cbedffc79ba431f8c6c5489cc9b606c_28">
              <w:r>
                <w:rPr>
                  <w:rStyle w:val="InternetLink"/>
                </w:rPr>
                <w:t xml:space="preserve"> of Changes in Equity (Unaudited)</w:t>
              </w:r>
            </w:hyperlink>
          </w:p>
        </w:tc>
        <w:tc>
          <w:tcPr>
            <w:tcW w:w="17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cbedffc79ba431f8c6c5489cc9b606c_28">
              <w:r>
                <w:rPr>
                  <w:rStyle w:val="InternetLink"/>
                  <w:rFonts w:ascii="Times New Roman;sans-serif" w:hAnsi="Times New Roman;sans-serif"/>
                  <w:b w:val="false"/>
                  <w:strike w:val="false"/>
                  <w:dstrike w:val="false"/>
                  <w:color w:val="2C2C2C"/>
                  <w:sz w:val="20"/>
                  <w:u w:val="none"/>
                  <w:effect w:val="none"/>
                </w:rPr>
                <w:t>5</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cbedffc79ba431f8c6c5489cc9b606c_31">
              <w:r>
                <w:rPr>
                  <w:rStyle w:val="InternetLink"/>
                  <w:rFonts w:ascii="Times New Roman;sans-serif" w:hAnsi="Times New Roman;sans-serif"/>
                  <w:b w:val="false"/>
                  <w:color w:val="0000FF"/>
                  <w:sz w:val="20"/>
                  <w:u w:val="single"/>
                </w:rPr>
                <w:t>Notes to Condensed Consolidated Financial Statements (Unaudited)</w:t>
              </w:r>
            </w:hyperlink>
          </w:p>
        </w:tc>
        <w:tc>
          <w:tcPr>
            <w:tcW w:w="17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cbedffc79ba431f8c6c5489cc9b606c_31">
              <w:r>
                <w:rPr>
                  <w:rStyle w:val="InternetLink"/>
                  <w:rFonts w:ascii="Times New Roman;sans-serif" w:hAnsi="Times New Roman;sans-serif"/>
                  <w:b w:val="false"/>
                  <w:strike w:val="false"/>
                  <w:dstrike w:val="false"/>
                  <w:color w:val="2C2C2C"/>
                  <w:sz w:val="20"/>
                  <w:u w:val="none"/>
                  <w:effect w:val="none"/>
                </w:rPr>
                <w:t>6</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cbedffc79ba431f8c6c5489cc9b606c_34">
              <w:r>
                <w:rPr>
                  <w:rStyle w:val="InternetLink"/>
                  <w:rFonts w:ascii="Times New Roman;sans-serif" w:hAnsi="Times New Roman;sans-serif"/>
                  <w:b w:val="false"/>
                  <w:color w:val="0000FF"/>
                  <w:sz w:val="20"/>
                  <w:u w:val="single"/>
                </w:rPr>
                <w:t>Note 1: Condensed Consolidated Financial Statements</w:t>
              </w:r>
            </w:hyperlink>
          </w:p>
        </w:tc>
        <w:tc>
          <w:tcPr>
            <w:tcW w:w="17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cbedffc79ba431f8c6c5489cc9b606c_34">
              <w:r>
                <w:rPr>
                  <w:rStyle w:val="InternetLink"/>
                  <w:rFonts w:ascii="Times New Roman;sans-serif" w:hAnsi="Times New Roman;sans-serif"/>
                  <w:b w:val="false"/>
                  <w:strike w:val="false"/>
                  <w:dstrike w:val="false"/>
                  <w:color w:val="2C2C2C"/>
                  <w:sz w:val="20"/>
                  <w:u w:val="none"/>
                  <w:effect w:val="none"/>
                </w:rPr>
                <w:t>6</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cbedffc79ba431f8c6c5489cc9b606c_37">
              <w:r>
                <w:rPr>
                  <w:rStyle w:val="InternetLink"/>
                  <w:rFonts w:ascii="Times New Roman;sans-serif" w:hAnsi="Times New Roman;sans-serif"/>
                  <w:b w:val="false"/>
                  <w:color w:val="0000FF"/>
                  <w:sz w:val="20"/>
                  <w:u w:val="single"/>
                </w:rPr>
                <w:t>Note 2: Segment Information</w:t>
              </w:r>
            </w:hyperlink>
          </w:p>
        </w:tc>
        <w:tc>
          <w:tcPr>
            <w:tcW w:w="17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cbedffc79ba431f8c6c5489cc9b606c_37">
              <w:r>
                <w:rPr>
                  <w:rStyle w:val="InternetLink"/>
                  <w:rFonts w:ascii="Times New Roman;sans-serif" w:hAnsi="Times New Roman;sans-serif"/>
                  <w:b w:val="false"/>
                  <w:strike w:val="false"/>
                  <w:dstrike w:val="false"/>
                  <w:color w:val="2C2C2C"/>
                  <w:sz w:val="20"/>
                  <w:u w:val="none"/>
                  <w:effect w:val="none"/>
                </w:rPr>
                <w:t>6</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cbedffc79ba431f8c6c5489cc9b606c_46">
              <w:r>
                <w:rPr>
                  <w:rStyle w:val="InternetLink"/>
                  <w:rFonts w:ascii="Times New Roman;sans-serif" w:hAnsi="Times New Roman;sans-serif"/>
                  <w:b w:val="false"/>
                  <w:color w:val="0000FF"/>
                  <w:sz w:val="20"/>
                  <w:u w:val="single"/>
                </w:rPr>
                <w:t>Note 3: Revenue</w:t>
              </w:r>
            </w:hyperlink>
          </w:p>
        </w:tc>
        <w:tc>
          <w:tcPr>
            <w:tcW w:w="17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cbedffc79ba431f8c6c5489cc9b606c_46">
              <w:r>
                <w:rPr>
                  <w:rStyle w:val="InternetLink"/>
                  <w:rFonts w:ascii="Times New Roman;sans-serif" w:hAnsi="Times New Roman;sans-serif"/>
                  <w:b w:val="false"/>
                  <w:strike w:val="false"/>
                  <w:dstrike w:val="false"/>
                  <w:color w:val="2C2C2C"/>
                  <w:sz w:val="20"/>
                  <w:u w:val="none"/>
                  <w:effect w:val="none"/>
                </w:rPr>
                <w:t>9</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cbedffc79ba431f8c6c5489cc9b606c_52">
              <w:r>
                <w:rPr>
                  <w:rStyle w:val="InternetLink"/>
                  <w:rFonts w:ascii="Times New Roman;sans-serif" w:hAnsi="Times New Roman;sans-serif"/>
                  <w:b w:val="false"/>
                  <w:color w:val="0000FF"/>
                  <w:sz w:val="20"/>
                  <w:u w:val="single"/>
                </w:rPr>
                <w:t>Note 4: Programming and Production Costs</w:t>
              </w:r>
            </w:hyperlink>
          </w:p>
        </w:tc>
        <w:tc>
          <w:tcPr>
            <w:tcW w:w="17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cbedffc79ba431f8c6c5489cc9b606c_52">
              <w:r>
                <w:rPr>
                  <w:rStyle w:val="InternetLink"/>
                  <w:rFonts w:ascii="Times New Roman;sans-serif" w:hAnsi="Times New Roman;sans-serif"/>
                  <w:b w:val="false"/>
                  <w:strike w:val="false"/>
                  <w:dstrike w:val="false"/>
                  <w:color w:val="2C2C2C"/>
                  <w:sz w:val="20"/>
                  <w:u w:val="none"/>
                  <w:effect w:val="none"/>
                </w:rPr>
                <w:t>10</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cbedffc79ba431f8c6c5489cc9b606c_64">
              <w:r>
                <w:rPr>
                  <w:rStyle w:val="InternetLink"/>
                  <w:rFonts w:ascii="Times New Roman;sans-serif" w:hAnsi="Times New Roman;sans-serif"/>
                  <w:b w:val="false"/>
                  <w:color w:val="0000FF"/>
                  <w:sz w:val="20"/>
                  <w:u w:val="single"/>
                </w:rPr>
                <w:t>Note 5: Long-Term Debt</w:t>
              </w:r>
            </w:hyperlink>
          </w:p>
        </w:tc>
        <w:tc>
          <w:tcPr>
            <w:tcW w:w="17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cbedffc79ba431f8c6c5489cc9b606c_64">
              <w:r>
                <w:rPr>
                  <w:rStyle w:val="InternetLink"/>
                  <w:rFonts w:ascii="Times New Roman;sans-serif" w:hAnsi="Times New Roman;sans-serif"/>
                  <w:b w:val="false"/>
                  <w:strike w:val="false"/>
                  <w:dstrike w:val="false"/>
                  <w:color w:val="2C2C2C"/>
                  <w:sz w:val="20"/>
                  <w:u w:val="none"/>
                  <w:effect w:val="none"/>
                </w:rPr>
                <w:t>10</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cbedffc79ba431f8c6c5489cc9b606c_73">
              <w:r>
                <w:rPr>
                  <w:rStyle w:val="InternetLink"/>
                  <w:rFonts w:ascii="Times New Roman;sans-serif" w:hAnsi="Times New Roman;sans-serif"/>
                  <w:b w:val="false"/>
                  <w:color w:val="0000FF"/>
                  <w:sz w:val="20"/>
                  <w:u w:val="single"/>
                </w:rPr>
                <w:t>Note 6: Investments and Variable Interest Entities</w:t>
              </w:r>
            </w:hyperlink>
          </w:p>
        </w:tc>
        <w:tc>
          <w:tcPr>
            <w:tcW w:w="17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cbedffc79ba431f8c6c5489cc9b606c_73">
              <w:r>
                <w:rPr>
                  <w:rStyle w:val="InternetLink"/>
                  <w:rFonts w:ascii="Times New Roman;sans-serif" w:hAnsi="Times New Roman;sans-serif"/>
                  <w:b w:val="false"/>
                  <w:strike w:val="false"/>
                  <w:dstrike w:val="false"/>
                  <w:color w:val="2C2C2C"/>
                  <w:sz w:val="20"/>
                  <w:u w:val="none"/>
                  <w:effect w:val="none"/>
                </w:rPr>
                <w:t>10</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cbedffc79ba431f8c6c5489cc9b606c_82">
              <w:r>
                <w:rPr>
                  <w:rStyle w:val="InternetLink"/>
                  <w:rFonts w:ascii="Times New Roman;sans-serif" w:hAnsi="Times New Roman;sans-serif"/>
                  <w:b w:val="false"/>
                  <w:color w:val="0000FF"/>
                  <w:sz w:val="20"/>
                  <w:u w:val="single"/>
                </w:rPr>
                <w:t>Note 7: Equity and Share-Based Compensation</w:t>
              </w:r>
            </w:hyperlink>
          </w:p>
        </w:tc>
        <w:tc>
          <w:tcPr>
            <w:tcW w:w="17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cbedffc79ba431f8c6c5489cc9b606c_82">
              <w:r>
                <w:rPr>
                  <w:rStyle w:val="InternetLink"/>
                  <w:rFonts w:ascii="Times New Roman;sans-serif" w:hAnsi="Times New Roman;sans-serif"/>
                  <w:b w:val="false"/>
                  <w:strike w:val="false"/>
                  <w:dstrike w:val="false"/>
                  <w:color w:val="2C2C2C"/>
                  <w:sz w:val="20"/>
                  <w:u w:val="none"/>
                  <w:effect w:val="none"/>
                </w:rPr>
                <w:t>12</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cbedffc79ba431f8c6c5489cc9b606c_85">
              <w:r>
                <w:rPr>
                  <w:rStyle w:val="InternetLink"/>
                  <w:rFonts w:ascii="Times New Roman;sans-serif" w:hAnsi="Times New Roman;sans-serif"/>
                  <w:b w:val="false"/>
                  <w:color w:val="0000FF"/>
                  <w:sz w:val="20"/>
                  <w:u w:val="single"/>
                </w:rPr>
                <w:t>Note 8: Supplemental Financial Information</w:t>
              </w:r>
            </w:hyperlink>
          </w:p>
        </w:tc>
        <w:tc>
          <w:tcPr>
            <w:tcW w:w="17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cbedffc79ba431f8c6c5489cc9b606c_85">
              <w:r>
                <w:rPr>
                  <w:rStyle w:val="InternetLink"/>
                  <w:rFonts w:ascii="Times New Roman;sans-serif" w:hAnsi="Times New Roman;sans-serif"/>
                  <w:b w:val="false"/>
                  <w:strike w:val="false"/>
                  <w:dstrike w:val="false"/>
                  <w:color w:val="2C2C2C"/>
                  <w:sz w:val="20"/>
                  <w:u w:val="none"/>
                  <w:effect w:val="none"/>
                </w:rPr>
                <w:t>12</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cbedffc79ba431f8c6c5489cc9b606c_88">
              <w:r>
                <w:rPr>
                  <w:rStyle w:val="InternetLink"/>
                  <w:rFonts w:ascii="Times New Roman;sans-serif" w:hAnsi="Times New Roman;sans-serif"/>
                  <w:b w:val="false"/>
                  <w:color w:val="0000FF"/>
                  <w:sz w:val="20"/>
                  <w:u w:val="single"/>
                </w:rPr>
                <w:t>Note 9: Commitments and Contingencies</w:t>
              </w:r>
            </w:hyperlink>
          </w:p>
        </w:tc>
        <w:tc>
          <w:tcPr>
            <w:tcW w:w="17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cbedffc79ba431f8c6c5489cc9b606c_88">
              <w:r>
                <w:rPr>
                  <w:rStyle w:val="InternetLink"/>
                  <w:rFonts w:ascii="Times New Roman;sans-serif" w:hAnsi="Times New Roman;sans-serif"/>
                  <w:b w:val="false"/>
                  <w:strike w:val="false"/>
                  <w:dstrike w:val="false"/>
                  <w:color w:val="2C2C2C"/>
                  <w:sz w:val="20"/>
                  <w:u w:val="none"/>
                  <w:effect w:val="none"/>
                </w:rPr>
                <w:t>13</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cbedffc79ba431f8c6c5489cc9b606c_91">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17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cbedffc79ba431f8c6c5489cc9b606c_91">
              <w:r>
                <w:rPr>
                  <w:rStyle w:val="InternetLink"/>
                  <w:rFonts w:ascii="Times New Roman;sans-serif" w:hAnsi="Times New Roman;sans-serif"/>
                  <w:b w:val="false"/>
                  <w:strike w:val="false"/>
                  <w:dstrike w:val="false"/>
                  <w:color w:val="000000"/>
                  <w:sz w:val="20"/>
                  <w:u w:val="none"/>
                  <w:effect w:val="none"/>
                </w:rPr>
                <w:t>14</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3.</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cbedffc79ba431f8c6c5489cc9b606c_187">
              <w:r>
                <w:rPr>
                  <w:rStyle w:val="InternetLink"/>
                  <w:rFonts w:ascii="Times New Roman;sans-serif" w:hAnsi="Times New Roman;sans-serif"/>
                  <w:b w:val="false"/>
                  <w:color w:val="0000FF"/>
                  <w:sz w:val="20"/>
                  <w:u w:val="single"/>
                </w:rPr>
                <w:t>Quantitative and Qualitative Disclosures About Market Risk</w:t>
              </w:r>
            </w:hyperlink>
          </w:p>
        </w:tc>
        <w:tc>
          <w:tcPr>
            <w:tcW w:w="17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cbedffc79ba431f8c6c5489cc9b606c_187">
              <w:r>
                <w:rPr>
                  <w:rStyle w:val="InternetLink"/>
                  <w:rFonts w:ascii="Times New Roman;sans-serif" w:hAnsi="Times New Roman;sans-serif"/>
                  <w:b w:val="false"/>
                  <w:strike w:val="false"/>
                  <w:dstrike w:val="false"/>
                  <w:color w:val="000000"/>
                  <w:sz w:val="20"/>
                  <w:u w:val="none"/>
                  <w:effect w:val="none"/>
                </w:rPr>
                <w:t>31</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4.</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cbedffc79ba431f8c6c5489cc9b606c_190">
              <w:r>
                <w:rPr>
                  <w:rStyle w:val="InternetLink"/>
                  <w:rFonts w:ascii="Times New Roman;sans-serif" w:hAnsi="Times New Roman;sans-serif"/>
                  <w:b w:val="false"/>
                  <w:color w:val="0000FF"/>
                  <w:sz w:val="20"/>
                  <w:u w:val="single"/>
                </w:rPr>
                <w:t>Controls and Procedures</w:t>
              </w:r>
            </w:hyperlink>
          </w:p>
        </w:tc>
        <w:tc>
          <w:tcPr>
            <w:tcW w:w="17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cbedffc79ba431f8c6c5489cc9b606c_190">
              <w:r>
                <w:rPr>
                  <w:rStyle w:val="InternetLink"/>
                  <w:rFonts w:ascii="Times New Roman;sans-serif" w:hAnsi="Times New Roman;sans-serif"/>
                  <w:b w:val="false"/>
                  <w:strike w:val="false"/>
                  <w:dstrike w:val="false"/>
                  <w:color w:val="000000"/>
                  <w:sz w:val="20"/>
                  <w:u w:val="none"/>
                  <w:effect w:val="none"/>
                </w:rPr>
                <w:t>31</w:t>
              </w:r>
            </w:hyperlink>
          </w:p>
        </w:tc>
      </w:tr>
      <w:tr>
        <w:trPr/>
        <w:tc>
          <w:tcPr>
            <w:tcW w:w="10004" w:type="dxa"/>
            <w:gridSpan w:val="9"/>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cbedffc79ba431f8c6c5489cc9b606c_193">
              <w:r>
                <w:rPr>
                  <w:rStyle w:val="InternetLink"/>
                  <w:rFonts w:ascii="Times New Roman;sans-serif" w:hAnsi="Times New Roman;sans-serif"/>
                  <w:b/>
                  <w:color w:val="0000FF"/>
                  <w:sz w:val="20"/>
                  <w:u w:val="single"/>
                </w:rPr>
                <w:t>PART II. OTHER INFORMATION</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cbedffc79ba431f8c6c5489cc9b606c_196">
              <w:r>
                <w:rPr>
                  <w:rStyle w:val="InternetLink"/>
                  <w:rFonts w:ascii="Times New Roman;sans-serif" w:hAnsi="Times New Roman;sans-serif"/>
                  <w:b w:val="false"/>
                  <w:color w:val="0000FF"/>
                  <w:sz w:val="20"/>
                  <w:u w:val="single"/>
                </w:rPr>
                <w:t>Legal Proceedings</w:t>
              </w:r>
            </w:hyperlink>
          </w:p>
        </w:tc>
        <w:tc>
          <w:tcPr>
            <w:tcW w:w="17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cbedffc79ba431f8c6c5489cc9b606c_196">
              <w:r>
                <w:rPr>
                  <w:rStyle w:val="InternetLink"/>
                  <w:rFonts w:ascii="Times New Roman;sans-serif" w:hAnsi="Times New Roman;sans-serif"/>
                  <w:b w:val="false"/>
                  <w:strike w:val="false"/>
                  <w:dstrike w:val="false"/>
                  <w:color w:val="000000"/>
                  <w:sz w:val="20"/>
                  <w:u w:val="none"/>
                  <w:effect w:val="none"/>
                </w:rPr>
                <w:t>32</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1A.</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cbedffc79ba431f8c6c5489cc9b606c_199">
              <w:r>
                <w:rPr>
                  <w:rStyle w:val="InternetLink"/>
                  <w:rFonts w:ascii="Times New Roman;sans-serif" w:hAnsi="Times New Roman;sans-serif"/>
                  <w:b w:val="false"/>
                  <w:color w:val="0000FF"/>
                  <w:sz w:val="20"/>
                  <w:u w:val="single"/>
                </w:rPr>
                <w:t>Risk Factors</w:t>
              </w:r>
            </w:hyperlink>
          </w:p>
        </w:tc>
        <w:tc>
          <w:tcPr>
            <w:tcW w:w="17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cbedffc79ba431f8c6c5489cc9b606c_199">
              <w:r>
                <w:rPr>
                  <w:rStyle w:val="InternetLink"/>
                  <w:rFonts w:ascii="Times New Roman;sans-serif" w:hAnsi="Times New Roman;sans-serif"/>
                  <w:b w:val="false"/>
                  <w:strike w:val="false"/>
                  <w:dstrike w:val="false"/>
                  <w:color w:val="000000"/>
                  <w:sz w:val="20"/>
                  <w:u w:val="none"/>
                  <w:effect w:val="none"/>
                </w:rPr>
                <w:t>32</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cbedffc79ba431f8c6c5489cc9b606c_202">
              <w:r>
                <w:rPr>
                  <w:rStyle w:val="InternetLink"/>
                  <w:rFonts w:ascii="Times New Roman;sans-serif" w:hAnsi="Times New Roman;sans-serif"/>
                  <w:b w:val="false"/>
                  <w:color w:val="0000FF"/>
                  <w:sz w:val="20"/>
                  <w:u w:val="single"/>
                </w:rPr>
                <w:t>Unregistered Sales of Equity Securities and Use of Proceeds</w:t>
              </w:r>
            </w:hyperlink>
          </w:p>
        </w:tc>
        <w:tc>
          <w:tcPr>
            <w:tcW w:w="17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cbedffc79ba431f8c6c5489cc9b606c_202">
              <w:r>
                <w:rPr>
                  <w:rStyle w:val="InternetLink"/>
                  <w:rFonts w:ascii="Times New Roman;sans-serif" w:hAnsi="Times New Roman;sans-serif"/>
                  <w:b w:val="false"/>
                  <w:strike w:val="false"/>
                  <w:dstrike w:val="false"/>
                  <w:color w:val="000000"/>
                  <w:sz w:val="20"/>
                  <w:u w:val="none"/>
                  <w:effect w:val="none"/>
                </w:rPr>
                <w:t>32</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6.</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cbedffc79ba431f8c6c5489cc9b606c_208">
              <w:r>
                <w:rPr>
                  <w:rStyle w:val="InternetLink"/>
                  <w:rFonts w:ascii="Times New Roman;sans-serif" w:hAnsi="Times New Roman;sans-serif"/>
                  <w:b w:val="false"/>
                  <w:color w:val="0000FF"/>
                  <w:sz w:val="20"/>
                  <w:u w:val="single"/>
                </w:rPr>
                <w:t>Exhibits</w:t>
              </w:r>
            </w:hyperlink>
          </w:p>
        </w:tc>
        <w:tc>
          <w:tcPr>
            <w:tcW w:w="17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6cbedffc79ba431f8c6c5489cc9b606c_208">
              <w:r>
                <w:rPr>
                  <w:rStyle w:val="InternetLink"/>
                  <w:rFonts w:ascii="Times New Roman;sans-serif" w:hAnsi="Times New Roman;sans-serif"/>
                  <w:b w:val="false"/>
                  <w:strike w:val="false"/>
                  <w:dstrike w:val="false"/>
                  <w:color w:val="000000"/>
                  <w:sz w:val="20"/>
                  <w:u w:val="none"/>
                  <w:effect w:val="none"/>
                </w:rPr>
                <w:t>32</w:t>
              </w:r>
            </w:hyperlink>
          </w:p>
        </w:tc>
      </w:tr>
      <w:tr>
        <w:trPr/>
        <w:tc>
          <w:tcPr>
            <w:tcW w:w="8206"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left"/>
              <w:rPr/>
            </w:pPr>
            <w:hyperlink w:anchor="i6cbedffc79ba431f8c6c5489cc9b606c_211">
              <w:r>
                <w:rPr>
                  <w:rStyle w:val="InternetLink"/>
                  <w:rFonts w:ascii="Times New Roman;sans-serif" w:hAnsi="Times New Roman;sans-serif"/>
                  <w:b/>
                  <w:color w:val="0000FF"/>
                  <w:sz w:val="20"/>
                  <w:u w:val="single"/>
                </w:rPr>
                <w:t>SIGNATURES</w:t>
              </w:r>
            </w:hyperlink>
          </w:p>
        </w:tc>
        <w:tc>
          <w:tcPr>
            <w:tcW w:w="179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right"/>
              <w:rPr/>
            </w:pPr>
            <w:hyperlink w:anchor="i6cbedffc79ba431f8c6c5489cc9b606c_211">
              <w:r>
                <w:rPr>
                  <w:rStyle w:val="InternetLink"/>
                  <w:rFonts w:ascii="Times New Roman;sans-serif" w:hAnsi="Times New Roman;sans-serif"/>
                  <w:b w:val="false"/>
                  <w:strike w:val="false"/>
                  <w:dstrike w:val="false"/>
                  <w:color w:val="000000"/>
                  <w:sz w:val="20"/>
                  <w:u w:val="none"/>
                  <w:effect w:val="none"/>
                </w:rPr>
                <w:t>33</w:t>
              </w:r>
            </w:hyperlink>
          </w:p>
        </w:tc>
      </w:tr>
      <w:tr>
        <w:trPr/>
        <w:tc>
          <w:tcPr>
            <w:tcW w:w="841" w:type="dxa"/>
            <w:gridSpan w:val="3"/>
            <w:tcBorders/>
            <w:shd w:fill="auto" w:val="clear"/>
            <w:vAlign w:val="center"/>
          </w:tcPr>
          <w:p>
            <w:pPr>
              <w:pStyle w:val="TableContents"/>
              <w:spacing w:before="0" w:after="283"/>
              <w:rPr>
                <w:sz w:val="4"/>
                <w:szCs w:val="4"/>
              </w:rPr>
            </w:pPr>
            <w:r>
              <w:rPr>
                <w:sz w:val="4"/>
                <w:szCs w:val="4"/>
              </w:rPr>
            </w:r>
          </w:p>
        </w:tc>
        <w:tc>
          <w:tcPr>
            <w:tcW w:w="7365" w:type="dxa"/>
            <w:gridSpan w:val="3"/>
            <w:tcBorders/>
            <w:shd w:fill="auto" w:val="clear"/>
            <w:vAlign w:val="center"/>
          </w:tcPr>
          <w:p>
            <w:pPr>
              <w:pStyle w:val="TableContents"/>
              <w:spacing w:before="0" w:after="283"/>
              <w:rPr>
                <w:sz w:val="4"/>
                <w:szCs w:val="4"/>
              </w:rPr>
            </w:pPr>
            <w:r>
              <w:rPr>
                <w:sz w:val="4"/>
                <w:szCs w:val="4"/>
              </w:rPr>
            </w:r>
          </w:p>
        </w:tc>
        <w:tc>
          <w:tcPr>
            <w:tcW w:w="1798" w:type="dxa"/>
            <w:gridSpan w:val="3"/>
            <w:tcBorders/>
            <w:shd w:fill="auto" w:val="clear"/>
          </w:tcPr>
          <w:p>
            <w:pPr>
              <w:pStyle w:val="TableContents"/>
              <w:spacing w:before="0" w:after="283"/>
              <w:rPr>
                <w:sz w:val="4"/>
                <w:szCs w:val="4"/>
              </w:rPr>
            </w:pPr>
            <w:r>
              <w:rPr>
                <w:sz w:val="4"/>
                <w:szCs w:val="4"/>
              </w:rPr>
            </w:r>
          </w:p>
        </w:tc>
      </w:tr>
    </w:tbl>
    <w:p>
      <w:pPr>
        <w:pStyle w:val="TextBody"/>
        <w:spacing w:lineRule="auto" w:line="288" w:before="60" w:after="40"/>
        <w:jc w:val="center"/>
        <w:rPr>
          <w:color w:val="000000"/>
        </w:rPr>
      </w:pPr>
      <w:r>
        <w:rPr>
          <w:color w:val="000000"/>
        </w:rPr>
        <w:t> </w:t>
      </w:r>
    </w:p>
    <w:p>
      <w:pPr>
        <w:pStyle w:val="TextBody"/>
        <w:spacing w:lineRule="auto" w:line="288" w:before="120" w:after="120"/>
        <w:jc w:val="center"/>
        <w:rPr>
          <w:rFonts w:ascii="Helvetica;sans-serif" w:hAnsi="Helvetica;sans-serif"/>
          <w:b/>
          <w:color w:val="000000"/>
          <w:sz w:val="20"/>
        </w:rPr>
      </w:pPr>
      <w:r>
        <w:rPr>
          <w:rFonts w:ascii="Helvetica;sans-serif" w:hAnsi="Helvetica;sans-serif"/>
          <w:b/>
          <w:color w:val="000000"/>
          <w:sz w:val="20"/>
        </w:rPr>
        <w:t>Explanatory Note</w:t>
      </w:r>
    </w:p>
    <w:p>
      <w:pPr>
        <w:pStyle w:val="TextBody"/>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is for the three months ended March 31, 2023. This Quarterly Report on Form 10-Q modifies and supersedes documents filed before it. The U.S.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on Form 10-Q. In addition, information that we file with the SEC in the future will automatically update and supersede information contained in this Quarterly Report on Form 10-Q. Unless indicated otherwise, throughout this Quarterly Report on Form 10-Q, we refer to Comcast and its consolidated subsidiaries as “Comcast,” “we,” “us” and “our.”</w:t>
      </w:r>
    </w:p>
    <w:p>
      <w:pPr>
        <w:pStyle w:val="TextBody"/>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Numerical information in this report is presented on a rounded basis using actual amounts. Minor differences in totals and percentage calculations may exist due to rounding. </w:t>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13360"/>
                <wp:effectExtent l="0" t="0" r="0" b="0"/>
                <wp:wrapNone/>
                <wp:docPr id="3" name="Frame2"/>
                <a:graphic xmlns:a="http://schemas.openxmlformats.org/drawingml/2006/main">
                  <a:graphicData uri="http://schemas.microsoft.com/office/word/2010/wordprocessingShape">
                    <wps:wsp>
                      <wps:cNvSpPr txBox="1"/>
                      <wps:spPr>
                        <a:xfrm>
                          <a:off x="0" y="0"/>
                          <a:ext cx="6480175" cy="213360"/>
                        </a:xfrm>
                        <a:prstGeom prst="rect"/>
                      </wps:spPr>
                      <wps:txbx>
                        <w:txbxContent>
                          <w:p>
                            <w:pPr>
                              <w:pStyle w:val="TextBody"/>
                              <w:spacing w:before="6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60" w:after="120"/>
                        <w:jc w:val="both"/>
                        <w:rPr/>
                      </w:pPr>
                      <w:r>
                        <w:rPr/>
                      </w:r>
                    </w:p>
                  </w:txbxContent>
                </v:textbox>
              </v:rect>
            </w:pict>
          </mc:Fallback>
        </mc:AlternateContent>
      </w:r>
    </w:p>
    <w:p>
      <w:pPr>
        <w:pStyle w:val="TextBody"/>
        <w:spacing w:before="60" w:after="120"/>
        <w:jc w:val="both"/>
        <w:rPr/>
      </w:pPr>
      <w:r>
        <w:rPr/>
      </w:r>
    </w:p>
    <w:p>
      <w:pPr>
        <w:pStyle w:val="TextBody"/>
        <w:spacing w:lineRule="auto" w:line="288" w:before="80" w:after="120"/>
        <w:jc w:val="center"/>
        <w:rPr>
          <w:rFonts w:ascii="Times New Roman;sans-serif" w:hAnsi="Times New Roman;sans-serif"/>
          <w:b/>
          <w:color w:val="000000"/>
          <w:sz w:val="20"/>
        </w:rPr>
      </w:pPr>
      <w:r>
        <w:rPr>
          <w:rFonts w:ascii="Times New Roman;sans-serif" w:hAnsi="Times New Roman;sans-serif"/>
          <w:b/>
          <w:color w:val="000000"/>
          <w:sz w:val="20"/>
        </w:rPr>
        <w:t>CAUTION CONCERNING FORWARD-LOOKING STATEMENTS</w:t>
      </w:r>
    </w:p>
    <w:p>
      <w:pPr>
        <w:pStyle w:val="TextBody"/>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Quarterly Report on Form 10-Q includes statements that may constitute “forward-looking statements” within the meaning of the Private Securities Litigation Reform Act of 1995, Section 27A of the Securities Act of 1933, and Section 21E of the Securities Exchange Act of 1934. Forward-looking statements are not historical facts or statements of current conditions, but instead represent only our beliefs regarding future events, many of which, by their nature, are inherently uncertain and outside of our control. These may include estimates, projections and statements relating to our business plans, objectives and expected operating results, which are based on current expectations and assumptions that are subject to risks and uncertainties that may cause actual results to differ materially. These forward-looking statements are generally identified by the words “believe,” “project,” “expect,” “anticipate,” “estimate,” “intend,” “potential,” “strategy,” “future,” “opportunity,” “commit,” “plan,” “goal,” “may,” “should,” “could,” “will,” “would,” “will be,” “will continue,” “will likely result” and similar expressions. </w:t>
      </w:r>
    </w:p>
    <w:p>
      <w:pPr>
        <w:pStyle w:val="TextBody"/>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evaluating forward-looking statements, you should consider various factors, including the risks and uncertainties we describe in the “Risk Factors” sections of our Forms 10-K and 10-Q and other reports we file with the SEC. Any of these factors could cause our actual results to differ materially from our forward-looking statements, which could adversely affect our businesses, results of operations or financial condition. Readers are cautioned not to place undue reliance on forward-looking statements, which speak only as of the date they are made. We undertake no obligation to update or revise publicly any forward-looking statements, whether because of new information, future events or otherwise.</w:t>
      </w:r>
    </w:p>
    <w:p>
      <w:pPr>
        <w:pStyle w:val="TextBody"/>
        <w:spacing w:lineRule="auto" w:line="288" w:before="80" w:after="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businesses may be affected by, among other things, the following:</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our businesses operate in highly competitive and dynamic industries, and our businesses and results of operations could be adversely affected if we do not compete effectively</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changes in consumer behavior continue to adversely affect our businesses and challenge existing business models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a decline in advertisers’ expenditures or changes in advertising markets could negatively impact our businesses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programming expenses for our video services are increasing on a per subscriber basis, which could adversely affect our video businesses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success of our businesses depends on consumer acceptance of our content, and our businesses may be adversely affected if their content fails to achieve sufficient consumer acceptance</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loss of programming distribution and licensing agreements, or the renewal of these agreements on less favorable terms, could adversely affect our businesses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less favorable European telecommunications access regulations, the loss of international transmission access agreements with satellite or telecommunications providers or the renewal of these agreements on less favorable terms could adversely affect our businesses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our businesses depend on using and protecting certain intellectual property rights and on not infringing the intellectual property rights of others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we may be unable to obtain necessary hardware, software and operational support</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our businesses depend on keeping pace with technological developments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a cyber attack, information or security breach, or technology disruption or failure may negatively impact our ability to conduct our business or result in the misuse of confidential information, all of which could adversely affect our business, reputation and results of operations </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weak economic conditions may have a negative impact on our businesses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acquisitions and other strategic initiatives present many risks, and we may not realize the financial and strategic goals that we had contemplated</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we face risks relating to doing business internationally that could adversely affect our businesses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natural disasters, severe weather and other uncontrollable events could adversely affect our business, reputation and results of operations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loss of key management personnel or popular on-air and creative talent could have an adverse effect on our businesses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we are subject to regulation by federal, state, local and foreign authorities, which impose additional costs and restrictions on our businesses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unfavorable litigation or governmental investigation results could require us to pay significant amounts or lead to onerous operating procedures</w:t>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13360"/>
                <wp:effectExtent l="0" t="0" r="0" b="0"/>
                <wp:wrapNone/>
                <wp:docPr id="4" name="Frame3"/>
                <a:graphic xmlns:a="http://schemas.openxmlformats.org/drawingml/2006/main">
                  <a:graphicData uri="http://schemas.microsoft.com/office/word/2010/wordprocessingShape">
                    <wps:wsp>
                      <wps:cNvSpPr txBox="1"/>
                      <wps:spPr>
                        <a:xfrm>
                          <a:off x="0" y="0"/>
                          <a:ext cx="6480175" cy="213360"/>
                        </a:xfrm>
                        <a:prstGeom prst="rect"/>
                      </wps:spPr>
                      <wps:txbx>
                        <w:txbxContent>
                          <w:p>
                            <w:pPr>
                              <w:pStyle w:val="TextBody"/>
                              <w:spacing w:before="6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60" w:after="120"/>
                        <w:jc w:val="both"/>
                        <w:rPr/>
                      </w:pPr>
                      <w:r>
                        <w:rPr/>
                      </w:r>
                    </w:p>
                  </w:txbxContent>
                </v:textbox>
              </v:rect>
            </w:pict>
          </mc:Fallback>
        </mc:AlternateContent>
      </w:r>
    </w:p>
    <w:p>
      <w:pPr>
        <w:pStyle w:val="TextBody"/>
        <w:spacing w:before="60" w:after="120"/>
        <w:jc w:val="both"/>
        <w:rPr/>
      </w:pPr>
      <w:r>
        <w:rPr/>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labor disputes, whether involving employees or sports organizations, may disrupt our operations and adversely affect our businesses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pStyle w:val="TextBody"/>
        <w:spacing w:before="0" w:after="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13360"/>
                <wp:effectExtent l="0" t="0" r="0" b="0"/>
                <wp:wrapNone/>
                <wp:docPr id="5" name="Frame4"/>
                <a:graphic xmlns:a="http://schemas.openxmlformats.org/drawingml/2006/main">
                  <a:graphicData uri="http://schemas.microsoft.com/office/word/2010/wordprocessingShape">
                    <wps:wsp>
                      <wps:cNvSpPr txBox="1"/>
                      <wps:spPr>
                        <a:xfrm>
                          <a:off x="0" y="0"/>
                          <a:ext cx="6480175" cy="213360"/>
                        </a:xfrm>
                        <a:prstGeom prst="rect"/>
                      </wps:spPr>
                      <wps:txbx>
                        <w:txbxContent>
                          <w:p>
                            <w:pPr>
                              <w:pStyle w:val="TextBody"/>
                              <w:spacing w:before="6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60" w:after="120"/>
                        <w:jc w:val="both"/>
                        <w:rPr/>
                      </w:pPr>
                      <w:r>
                        <w:rPr/>
                      </w:r>
                    </w:p>
                  </w:txbxContent>
                </v:textbox>
              </v:rect>
            </w:pict>
          </mc:Fallback>
        </mc:AlternateContent>
      </w:r>
    </w:p>
    <w:p>
      <w:pPr>
        <w:pStyle w:val="TextBody"/>
        <w:spacing w:lineRule="auto" w:line="288" w:before="60" w:after="120"/>
        <w:jc w:val="both"/>
        <w:rPr/>
      </w:pPr>
      <w:hyperlink w:anchor="i6cbedffc79ba431f8c6c5489cc9b606c_7">
        <w:r>
          <w:rPr>
            <w:rStyle w:val="InternetLink"/>
            <w:rFonts w:ascii="Times New Roman;sans-serif" w:hAnsi="Times New Roman;sans-serif"/>
            <w:b/>
            <w:color w:val="0000FF"/>
            <w:sz w:val="20"/>
            <w:u w:val="single"/>
          </w:rPr>
          <w:t>Table of Contents</w:t>
        </w:r>
      </w:hyperlink>
    </w:p>
    <w:p>
      <w:pPr>
        <w:pStyle w:val="TextBody"/>
        <w:spacing w:lineRule="auto" w:line="288" w:before="60" w:after="120"/>
        <w:jc w:val="center"/>
        <w:rPr>
          <w:rFonts w:ascii="Helvetica;sans-serif" w:hAnsi="Helvetica;sans-serif"/>
          <w:b/>
          <w:color w:val="000000"/>
          <w:sz w:val="24"/>
        </w:rPr>
      </w:pPr>
      <w:r>
        <w:rPr>
          <w:rFonts w:ascii="Helvetica;sans-serif" w:hAnsi="Helvetica;sans-serif"/>
          <w:b/>
          <w:color w:val="000000"/>
          <w:sz w:val="24"/>
        </w:rPr>
        <w:t>PART I: FINANCIAL INFORMATION</w:t>
      </w:r>
    </w:p>
    <w:p>
      <w:pPr>
        <w:pStyle w:val="TextBody"/>
        <w:spacing w:lineRule="auto" w:line="288" w:before="60" w:after="120"/>
        <w:rPr>
          <w:rFonts w:ascii="Helvetica;sans-serif" w:hAnsi="Helvetica;sans-serif"/>
          <w:b/>
          <w:color w:val="000000"/>
          <w:sz w:val="24"/>
        </w:rPr>
      </w:pPr>
      <w:r>
        <w:rPr>
          <w:rFonts w:ascii="Helvetica;sans-serif" w:hAnsi="Helvetica;sans-serif"/>
          <w:b/>
          <w:color w:val="000000"/>
          <w:sz w:val="24"/>
        </w:rPr>
        <w:t>ITEM 1: FINANCIAL STATEMENTS</w:t>
      </w:r>
    </w:p>
    <w:p>
      <w:pPr>
        <w:pStyle w:val="TextBody"/>
        <w:spacing w:lineRule="auto" w:line="288" w:before="0" w:after="0"/>
        <w:rPr>
          <w:rFonts w:ascii="Helvetica;sans-serif" w:hAnsi="Helvetica;sans-serif"/>
          <w:b w:val="false"/>
          <w:color w:val="000000"/>
          <w:sz w:val="24"/>
        </w:rPr>
      </w:pPr>
      <w:r>
        <w:rPr>
          <w:rFonts w:ascii="Helvetica;sans-serif" w:hAnsi="Helvetica;sans-serif"/>
          <w:b w:val="false"/>
          <w:color w:val="000000"/>
          <w:sz w:val="24"/>
        </w:rPr>
        <w:t>Comcast Corporation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Income</w:t>
      </w:r>
    </w:p>
    <w:p>
      <w:pPr>
        <w:pStyle w:val="TextBody"/>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tbl>
      <w:tblPr>
        <w:tblW w:w="10205" w:type="dxa"/>
        <w:jc w:val="left"/>
        <w:tblInd w:w="0" w:type="dxa"/>
        <w:tblCellMar>
          <w:top w:w="28" w:type="dxa"/>
          <w:left w:w="28" w:type="dxa"/>
          <w:bottom w:w="28" w:type="dxa"/>
          <w:right w:w="28" w:type="dxa"/>
        </w:tblCellMar>
      </w:tblPr>
      <w:tblGrid>
        <w:gridCol w:w="2538"/>
        <w:gridCol w:w="2180"/>
        <w:gridCol w:w="2198"/>
        <w:gridCol w:w="109"/>
        <w:gridCol w:w="109"/>
        <w:gridCol w:w="133"/>
        <w:gridCol w:w="133"/>
        <w:gridCol w:w="259"/>
        <w:gridCol w:w="886"/>
        <w:gridCol w:w="133"/>
        <w:gridCol w:w="109"/>
        <w:gridCol w:w="109"/>
        <w:gridCol w:w="109"/>
        <w:gridCol w:w="211"/>
        <w:gridCol w:w="721"/>
        <w:gridCol w:w="109"/>
        <w:gridCol w:w="159"/>
      </w:tblGrid>
      <w:tr>
        <w:trPr/>
        <w:tc>
          <w:tcPr>
            <w:tcW w:w="2538" w:type="dxa"/>
            <w:tcBorders/>
            <w:shd w:fill="auto" w:val="clear"/>
            <w:vAlign w:val="center"/>
          </w:tcPr>
          <w:p>
            <w:pPr>
              <w:pStyle w:val="TableContents"/>
              <w:spacing w:before="0" w:after="283"/>
              <w:rPr>
                <w:sz w:val="4"/>
                <w:szCs w:val="4"/>
              </w:rPr>
            </w:pPr>
            <w:r>
              <w:rPr>
                <w:sz w:val="4"/>
                <w:szCs w:val="4"/>
              </w:rPr>
            </w:r>
          </w:p>
        </w:tc>
        <w:tc>
          <w:tcPr>
            <w:tcW w:w="2180" w:type="dxa"/>
            <w:tcBorders/>
            <w:shd w:fill="auto" w:val="clear"/>
            <w:vAlign w:val="center"/>
          </w:tcPr>
          <w:p>
            <w:pPr>
              <w:pStyle w:val="TableContents"/>
              <w:spacing w:before="0" w:after="283"/>
              <w:rPr>
                <w:sz w:val="4"/>
                <w:szCs w:val="4"/>
              </w:rPr>
            </w:pPr>
            <w:r>
              <w:rPr>
                <w:sz w:val="4"/>
                <w:szCs w:val="4"/>
              </w:rPr>
            </w:r>
          </w:p>
        </w:tc>
        <w:tc>
          <w:tcPr>
            <w:tcW w:w="21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br/>
              <w:t>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0" w:type="dxa"/>
            <w:gridSpan w:val="4"/>
            <w:tcBorders/>
            <w:shd w:fill="auto" w:val="clear"/>
          </w:tcPr>
          <w:p>
            <w:pPr>
              <w:pStyle w:val="TableContents"/>
              <w:spacing w:before="0" w:after="283"/>
              <w:rPr>
                <w:sz w:val="4"/>
                <w:szCs w:val="4"/>
              </w:rPr>
            </w:pPr>
            <w:r>
              <w:rPr>
                <w:sz w:val="4"/>
                <w:szCs w:val="4"/>
              </w:rPr>
            </w:r>
          </w:p>
        </w:tc>
      </w:tr>
      <w:tr>
        <w:trPr/>
        <w:tc>
          <w:tcPr>
            <w:tcW w:w="69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per share data)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2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159" w:type="dxa"/>
            <w:tcBorders/>
            <w:shd w:fill="auto" w:val="clear"/>
            <w:vAlign w:val="center"/>
          </w:tcPr>
          <w:p>
            <w:pPr>
              <w:pStyle w:val="TableContents"/>
              <w:spacing w:before="0" w:after="283"/>
              <w:rPr>
                <w:sz w:val="4"/>
                <w:szCs w:val="4"/>
              </w:rPr>
            </w:pPr>
            <w:r>
              <w:rPr>
                <w:sz w:val="4"/>
                <w:szCs w:val="4"/>
              </w:rPr>
            </w:r>
          </w:p>
        </w:tc>
      </w:tr>
      <w:tr>
        <w:trPr/>
        <w:tc>
          <w:tcPr>
            <w:tcW w:w="6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29,691 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Programming and production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9,004 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promotion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9,301 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1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2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1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2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and other income (loss),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ind w:left="0" w:right="0" w:hanging="180"/>
              <w:rPr>
                <w:sz w:val="4"/>
                <w:szCs w:val="4"/>
              </w:rPr>
            </w:pPr>
            <w:r>
              <w:rPr>
                <w:sz w:val="4"/>
                <w:szCs w:val="4"/>
              </w:rPr>
            </w:r>
          </w:p>
        </w:tc>
      </w:tr>
      <w:tr>
        <w:trPr/>
        <w:tc>
          <w:tcPr>
            <w:tcW w:w="6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ind w:left="0" w:right="0" w:hanging="180"/>
              <w:rPr>
                <w:sz w:val="4"/>
                <w:szCs w:val="4"/>
              </w:rPr>
            </w:pPr>
            <w:r>
              <w:rPr>
                <w:sz w:val="4"/>
                <w:szCs w:val="4"/>
              </w:rPr>
            </w:r>
          </w:p>
        </w:tc>
      </w:tr>
      <w:tr>
        <w:trPr/>
        <w:tc>
          <w:tcPr>
            <w:tcW w:w="69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Comcast Corporation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3,834</w:t>
            </w: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3,549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ind w:left="0" w:right="0" w:hanging="180"/>
              <w:rPr>
                <w:sz w:val="4"/>
                <w:szCs w:val="4"/>
              </w:rPr>
            </w:pPr>
            <w:r>
              <w:rPr>
                <w:sz w:val="4"/>
                <w:szCs w:val="4"/>
              </w:rPr>
            </w:r>
          </w:p>
        </w:tc>
      </w:tr>
      <w:tr>
        <w:trPr/>
        <w:tc>
          <w:tcPr>
            <w:tcW w:w="6916" w:type="dxa"/>
            <w:gridSpan w:val="3"/>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earnings per common share attributable to Comcast Corporation shareholders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259"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0.91</w:t>
            </w:r>
            <w:r>
              <w:rPr>
                <w:color w:val="000000"/>
              </w:rPr>
              <w:t> </w:t>
            </w:r>
          </w:p>
        </w:tc>
        <w:tc>
          <w:tcPr>
            <w:tcW w:w="133"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0.79</w:t>
            </w: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ind w:left="0" w:right="0" w:hanging="180"/>
              <w:rPr>
                <w:sz w:val="4"/>
                <w:szCs w:val="4"/>
              </w:rPr>
            </w:pPr>
            <w:r>
              <w:rPr>
                <w:sz w:val="4"/>
                <w:szCs w:val="4"/>
              </w:rPr>
            </w:r>
          </w:p>
        </w:tc>
      </w:tr>
      <w:tr>
        <w:trPr/>
        <w:tc>
          <w:tcPr>
            <w:tcW w:w="6916" w:type="dxa"/>
            <w:gridSpan w:val="3"/>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per common share attributable to Comcast Corporation shareholders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259" w:type="dxa"/>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6" w:type="dxa"/>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0.91</w:t>
            </w:r>
            <w:r>
              <w:rPr>
                <w:color w:val="000000"/>
              </w:rPr>
              <w:t> </w:t>
            </w:r>
          </w:p>
        </w:tc>
        <w:tc>
          <w:tcPr>
            <w:tcW w:w="133"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bottom w:val="single" w:sz="16"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0.78</w:t>
            </w: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91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2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84785"/>
                <wp:effectExtent l="0" t="0" r="0" b="0"/>
                <wp:wrapNone/>
                <wp:docPr id="6" name="Frame5"/>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0"/>
        <w:jc w:val="both"/>
        <w:rPr/>
      </w:pPr>
      <w:hyperlink w:anchor="i6cbedffc79ba431f8c6c5489cc9b606c_7">
        <w:r>
          <w:rPr>
            <w:rStyle w:val="InternetLink"/>
            <w:rFonts w:ascii="Times New Roman;sans-serif" w:hAnsi="Times New Roman;sans-serif"/>
            <w:b/>
            <w:color w:val="0000FF"/>
            <w:sz w:val="20"/>
            <w:u w:val="single"/>
          </w:rPr>
          <w:t>Table of Contents</w:t>
        </w:r>
      </w:hyperlink>
    </w:p>
    <w:p>
      <w:pPr>
        <w:pStyle w:val="TextBody"/>
        <w:spacing w:before="0" w:after="0"/>
        <w:jc w:val="both"/>
        <w:rPr/>
      </w:pPr>
      <w:r>
        <w:rPr/>
      </w:r>
    </w:p>
    <w:p>
      <w:pPr>
        <w:pStyle w:val="TextBody"/>
        <w:spacing w:lineRule="auto" w:line="288" w:before="0" w:after="0"/>
        <w:rPr>
          <w:rFonts w:ascii="Helvetica;sans-serif" w:hAnsi="Helvetica;sans-serif"/>
          <w:b w:val="false"/>
          <w:color w:val="000000"/>
          <w:sz w:val="24"/>
        </w:rPr>
      </w:pPr>
      <w:r>
        <w:rPr>
          <w:rFonts w:ascii="Helvetica;sans-serif" w:hAnsi="Helvetica;sans-serif"/>
          <w:b w:val="false"/>
          <w:color w:val="000000"/>
          <w:sz w:val="24"/>
        </w:rPr>
        <w:t>Comcast Corporation</w:t>
      </w:r>
    </w:p>
    <w:p>
      <w:pPr>
        <w:pStyle w:val="TextBody"/>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Comprehensive Income</w:t>
      </w:r>
    </w:p>
    <w:p>
      <w:pPr>
        <w:pStyle w:val="TextBody"/>
        <w:spacing w:lineRule="auto" w:line="288" w:before="0" w:after="0"/>
        <w:jc w:val="center"/>
        <w:rPr/>
      </w:pPr>
      <w:r>
        <w:rPr>
          <w:rFonts w:ascii="Helvetica;sans-serif" w:hAnsi="Helvetica;sans-serif"/>
          <w:b/>
          <w:color w:val="000000"/>
          <w:sz w:val="20"/>
        </w:rPr>
        <w:t>(Unaudited)</w:t>
      </w:r>
      <w:r>
        <w:rPr>
          <w:color w:val="000000"/>
        </w:rPr>
        <w:t> </w:t>
      </w:r>
    </w:p>
    <w:tbl>
      <w:tblPr>
        <w:tblW w:w="10102" w:type="dxa"/>
        <w:jc w:val="left"/>
        <w:tblInd w:w="0" w:type="dxa"/>
        <w:tblCellMar>
          <w:top w:w="28" w:type="dxa"/>
          <w:left w:w="28" w:type="dxa"/>
          <w:bottom w:w="28" w:type="dxa"/>
          <w:right w:w="28" w:type="dxa"/>
        </w:tblCellMar>
      </w:tblPr>
      <w:tblGrid>
        <w:gridCol w:w="2532"/>
        <w:gridCol w:w="2225"/>
        <w:gridCol w:w="2232"/>
        <w:gridCol w:w="109"/>
        <w:gridCol w:w="109"/>
        <w:gridCol w:w="146"/>
        <w:gridCol w:w="146"/>
        <w:gridCol w:w="284"/>
        <w:gridCol w:w="850"/>
        <w:gridCol w:w="146"/>
        <w:gridCol w:w="109"/>
        <w:gridCol w:w="109"/>
        <w:gridCol w:w="109"/>
        <w:gridCol w:w="211"/>
        <w:gridCol w:w="631"/>
        <w:gridCol w:w="154"/>
      </w:tblGrid>
      <w:tr>
        <w:trPr/>
        <w:tc>
          <w:tcPr>
            <w:tcW w:w="2532" w:type="dxa"/>
            <w:tcBorders/>
            <w:shd w:fill="auto" w:val="clear"/>
            <w:vAlign w:val="center"/>
          </w:tcPr>
          <w:p>
            <w:pPr>
              <w:pStyle w:val="TableContents"/>
              <w:spacing w:before="0" w:after="283"/>
              <w:rPr>
                <w:sz w:val="4"/>
                <w:szCs w:val="4"/>
              </w:rPr>
            </w:pPr>
            <w:r>
              <w:rPr>
                <w:sz w:val="4"/>
                <w:szCs w:val="4"/>
              </w:rPr>
            </w:r>
          </w:p>
        </w:tc>
        <w:tc>
          <w:tcPr>
            <w:tcW w:w="2225" w:type="dxa"/>
            <w:tcBorders/>
            <w:shd w:fill="auto" w:val="clear"/>
            <w:vAlign w:val="center"/>
          </w:tcPr>
          <w:p>
            <w:pPr>
              <w:pStyle w:val="TableContents"/>
              <w:spacing w:before="0" w:after="283"/>
              <w:rPr>
                <w:sz w:val="4"/>
                <w:szCs w:val="4"/>
              </w:rPr>
            </w:pPr>
            <w:r>
              <w:rPr>
                <w:sz w:val="4"/>
                <w:szCs w:val="4"/>
              </w:rPr>
            </w:r>
          </w:p>
        </w:tc>
        <w:tc>
          <w:tcPr>
            <w:tcW w:w="22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2"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br/>
              <w:t>March 31,</w:t>
            </w:r>
          </w:p>
        </w:tc>
        <w:tc>
          <w:tcPr>
            <w:tcW w:w="1323" w:type="dxa"/>
            <w:gridSpan w:val="6"/>
            <w:tcBorders/>
            <w:shd w:fill="auto" w:val="clear"/>
          </w:tcPr>
          <w:p>
            <w:pPr>
              <w:pStyle w:val="TableContents"/>
              <w:spacing w:before="0" w:after="283"/>
              <w:rPr>
                <w:sz w:val="4"/>
                <w:szCs w:val="4"/>
              </w:rPr>
            </w:pPr>
            <w:r>
              <w:rPr>
                <w:sz w:val="4"/>
                <w:szCs w:val="4"/>
              </w:rPr>
            </w:r>
          </w:p>
        </w:tc>
      </w:tr>
      <w:tr>
        <w:trPr/>
        <w:tc>
          <w:tcPr>
            <w:tcW w:w="69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r>
      <w:tr>
        <w:trPr/>
        <w:tc>
          <w:tcPr>
            <w:tcW w:w="69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 net of deferred taxes of $(2) and $247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hedges: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Deferred gains (losses), net of deferred taxes of $9 and $(37)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698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698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 losses reclassified to net income, net of deferred taxes of $8 and $(5)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Employee benefit obligations and other, net of deferred taxes of $1 and $3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69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Other comprehensive income (loss) attributable to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98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attributable to Comcast Corporation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4,547</w:t>
            </w:r>
            <w:r>
              <w:rPr>
                <w:color w:val="000000"/>
              </w:rPr>
              <w:t> </w:t>
            </w:r>
          </w:p>
        </w:tc>
        <w:tc>
          <w:tcPr>
            <w:tcW w:w="1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2,744</w:t>
            </w: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See accompanying notes to condensed consolidated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84785"/>
                <wp:effectExtent l="0" t="0" r="0" b="0"/>
                <wp:wrapNone/>
                <wp:docPr id="7" name="Frame6"/>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jc w:val="both"/>
        <w:rPr/>
      </w:pPr>
      <w:hyperlink w:anchor="i6cbedffc79ba431f8c6c5489cc9b606c_7">
        <w:r>
          <w:rPr>
            <w:rStyle w:val="InternetLink"/>
            <w:rFonts w:ascii="Times New Roman;sans-serif" w:hAnsi="Times New Roman;sans-serif"/>
            <w:b/>
            <w:color w:val="0000FF"/>
            <w:sz w:val="20"/>
            <w:u w:val="single"/>
          </w:rPr>
          <w:t>Table of Contents</w:t>
        </w:r>
      </w:hyperlink>
    </w:p>
    <w:p>
      <w:pPr>
        <w:pStyle w:val="TextBody"/>
        <w:spacing w:before="0" w:after="0"/>
        <w:jc w:val="both"/>
        <w:rPr/>
      </w:pPr>
      <w:r>
        <w:rPr/>
      </w:r>
    </w:p>
    <w:p>
      <w:pPr>
        <w:pStyle w:val="TextBody"/>
        <w:spacing w:lineRule="auto" w:line="288" w:before="0" w:after="0"/>
        <w:rPr>
          <w:rFonts w:ascii="Helvetica;sans-serif" w:hAnsi="Helvetica;sans-serif"/>
          <w:b w:val="false"/>
          <w:color w:val="000000"/>
          <w:sz w:val="24"/>
        </w:rPr>
      </w:pPr>
      <w:r>
        <w:rPr>
          <w:rFonts w:ascii="Helvetica;sans-serif" w:hAnsi="Helvetica;sans-serif"/>
          <w:b w:val="false"/>
          <w:color w:val="000000"/>
          <w:sz w:val="24"/>
        </w:rPr>
        <w:t>Comcast Corporation</w:t>
      </w:r>
    </w:p>
    <w:p>
      <w:pPr>
        <w:pStyle w:val="TextBody"/>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Cash Flows</w:t>
      </w:r>
    </w:p>
    <w:p>
      <w:pPr>
        <w:pStyle w:val="TextBody"/>
        <w:spacing w:lineRule="auto" w:line="288" w:before="0" w:after="0"/>
        <w:jc w:val="center"/>
        <w:rPr/>
      </w:pPr>
      <w:r>
        <w:rPr>
          <w:rFonts w:ascii="Helvetica;sans-serif" w:hAnsi="Helvetica;sans-serif"/>
          <w:b/>
          <w:color w:val="000000"/>
          <w:sz w:val="20"/>
        </w:rPr>
        <w:t>(Unaudited)</w:t>
      </w:r>
      <w:r>
        <w:rPr>
          <w:color w:val="000000"/>
        </w:rPr>
        <w:t> </w:t>
      </w:r>
    </w:p>
    <w:tbl>
      <w:tblPr>
        <w:tblW w:w="10014" w:type="dxa"/>
        <w:jc w:val="left"/>
        <w:tblInd w:w="0" w:type="dxa"/>
        <w:tblCellMar>
          <w:top w:w="28" w:type="dxa"/>
          <w:left w:w="28" w:type="dxa"/>
          <w:bottom w:w="28" w:type="dxa"/>
          <w:right w:w="28" w:type="dxa"/>
        </w:tblCellMar>
      </w:tblPr>
      <w:tblGrid>
        <w:gridCol w:w="2645"/>
        <w:gridCol w:w="2322"/>
        <w:gridCol w:w="2337"/>
        <w:gridCol w:w="211"/>
        <w:gridCol w:w="631"/>
        <w:gridCol w:w="109"/>
        <w:gridCol w:w="109"/>
        <w:gridCol w:w="109"/>
        <w:gridCol w:w="109"/>
        <w:gridCol w:w="211"/>
        <w:gridCol w:w="631"/>
        <w:gridCol w:w="109"/>
        <w:gridCol w:w="109"/>
        <w:gridCol w:w="109"/>
        <w:gridCol w:w="109"/>
        <w:gridCol w:w="154"/>
      </w:tblGrid>
      <w:tr>
        <w:trPr/>
        <w:tc>
          <w:tcPr>
            <w:tcW w:w="2645" w:type="dxa"/>
            <w:tcBorders/>
            <w:shd w:fill="auto" w:val="clear"/>
            <w:vAlign w:val="center"/>
          </w:tcPr>
          <w:p>
            <w:pPr>
              <w:pStyle w:val="TableContents"/>
              <w:spacing w:before="0" w:after="283"/>
              <w:rPr>
                <w:sz w:val="4"/>
                <w:szCs w:val="4"/>
              </w:rPr>
            </w:pPr>
            <w:r>
              <w:rPr>
                <w:sz w:val="4"/>
                <w:szCs w:val="4"/>
              </w:rPr>
            </w:r>
          </w:p>
        </w:tc>
        <w:tc>
          <w:tcPr>
            <w:tcW w:w="2322" w:type="dxa"/>
            <w:tcBorders/>
            <w:shd w:fill="auto" w:val="clear"/>
            <w:vAlign w:val="center"/>
          </w:tcPr>
          <w:p>
            <w:pPr>
              <w:pStyle w:val="TableContents"/>
              <w:spacing w:before="0" w:after="283"/>
              <w:rPr>
                <w:sz w:val="4"/>
                <w:szCs w:val="4"/>
              </w:rPr>
            </w:pPr>
            <w:r>
              <w:rPr>
                <w:sz w:val="4"/>
                <w:szCs w:val="4"/>
              </w:rPr>
            </w:r>
          </w:p>
        </w:tc>
        <w:tc>
          <w:tcPr>
            <w:tcW w:w="23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Operating Activities </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0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(income), net</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investment activity and other</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net of effects of acquisitions and divestitures:</w:t>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and noncurrent receivables, net</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Film and television costs, net</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 related to trade creditors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assets and liabilities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0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operating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7,228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7,257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intangible assets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0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of Universal Beijing Resort</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0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0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businesses and investments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investments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0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0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 investing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(repayments of) short-term borrowings, net</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borrowings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0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and repayments of debt</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 under repurchase program and employee plans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0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0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 financing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(4,490)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foreign currency on cash, cash equivalents and restricted cash</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cash, cash equivalents and restricted cash</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period</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730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end of period</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5,577</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8,914</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84785"/>
                <wp:effectExtent l="0" t="0" r="0" b="0"/>
                <wp:wrapNone/>
                <wp:docPr id="8" name="Frame7"/>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jc w:val="both"/>
        <w:rPr/>
      </w:pPr>
      <w:hyperlink w:anchor="i6cbedffc79ba431f8c6c5489cc9b606c_7">
        <w:r>
          <w:rPr>
            <w:rStyle w:val="InternetLink"/>
            <w:rFonts w:ascii="Times New Roman;sans-serif" w:hAnsi="Times New Roman;sans-serif"/>
            <w:b/>
            <w:color w:val="0000FF"/>
            <w:sz w:val="20"/>
            <w:u w:val="single"/>
          </w:rPr>
          <w:t>Table of Contents</w:t>
        </w:r>
      </w:hyperlink>
    </w:p>
    <w:p>
      <w:pPr>
        <w:pStyle w:val="TextBody"/>
        <w:spacing w:before="0" w:after="0"/>
        <w:jc w:val="both"/>
        <w:rPr/>
      </w:pPr>
      <w:r>
        <w:rPr/>
      </w:r>
    </w:p>
    <w:p>
      <w:pPr>
        <w:pStyle w:val="TextBody"/>
        <w:spacing w:lineRule="auto" w:line="288" w:before="0" w:after="0"/>
        <w:rPr>
          <w:rFonts w:ascii="Helvetica;sans-serif" w:hAnsi="Helvetica;sans-serif"/>
          <w:b w:val="false"/>
          <w:color w:val="000000"/>
          <w:sz w:val="24"/>
        </w:rPr>
      </w:pPr>
      <w:r>
        <w:rPr>
          <w:rFonts w:ascii="Helvetica;sans-serif" w:hAnsi="Helvetica;sans-serif"/>
          <w:b w:val="false"/>
          <w:color w:val="000000"/>
          <w:sz w:val="24"/>
        </w:rPr>
        <w:t>Comcast Corporation</w:t>
      </w:r>
    </w:p>
    <w:p>
      <w:pPr>
        <w:pStyle w:val="TextBody"/>
        <w:spacing w:lineRule="auto" w:line="288" w:before="0" w:after="0"/>
        <w:jc w:val="center"/>
        <w:rPr>
          <w:rFonts w:ascii="Helvetica;sans-serif" w:hAnsi="Helvetica;sans-serif"/>
          <w:b/>
          <w:color w:val="000000"/>
          <w:sz w:val="20"/>
        </w:rPr>
      </w:pPr>
      <w:r>
        <w:rPr>
          <w:rFonts w:ascii="Helvetica;sans-serif" w:hAnsi="Helvetica;sans-serif"/>
          <w:b/>
          <w:color w:val="000000"/>
          <w:sz w:val="20"/>
        </w:rPr>
        <w:t xml:space="preserve">Condensed Consolidated Balance Sheets </w:t>
      </w:r>
    </w:p>
    <w:p>
      <w:pPr>
        <w:pStyle w:val="TextBody"/>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tbl>
      <w:tblPr>
        <w:tblW w:w="10205" w:type="dxa"/>
        <w:jc w:val="center"/>
        <w:tblInd w:w="0" w:type="dxa"/>
        <w:tblCellMar>
          <w:top w:w="28" w:type="dxa"/>
          <w:left w:w="28" w:type="dxa"/>
          <w:bottom w:w="28" w:type="dxa"/>
          <w:right w:w="28" w:type="dxa"/>
        </w:tblCellMar>
      </w:tblPr>
      <w:tblGrid>
        <w:gridCol w:w="2929"/>
        <w:gridCol w:w="2279"/>
        <w:gridCol w:w="2302"/>
        <w:gridCol w:w="211"/>
        <w:gridCol w:w="841"/>
        <w:gridCol w:w="109"/>
        <w:gridCol w:w="109"/>
        <w:gridCol w:w="109"/>
        <w:gridCol w:w="109"/>
        <w:gridCol w:w="211"/>
        <w:gridCol w:w="841"/>
        <w:gridCol w:w="155"/>
      </w:tblGrid>
      <w:tr>
        <w:trPr/>
        <w:tc>
          <w:tcPr>
            <w:tcW w:w="2929" w:type="dxa"/>
            <w:tcBorders/>
            <w:shd w:fill="auto" w:val="clear"/>
            <w:vAlign w:val="center"/>
          </w:tcPr>
          <w:p>
            <w:pPr>
              <w:pStyle w:val="TableContents"/>
              <w:spacing w:before="0" w:after="283"/>
              <w:rPr>
                <w:sz w:val="4"/>
                <w:szCs w:val="4"/>
              </w:rPr>
            </w:pPr>
            <w:r>
              <w:rPr>
                <w:sz w:val="4"/>
                <w:szCs w:val="4"/>
              </w:rPr>
            </w:r>
          </w:p>
        </w:tc>
        <w:tc>
          <w:tcPr>
            <w:tcW w:w="2279" w:type="dxa"/>
            <w:tcBorders/>
            <w:shd w:fill="auto" w:val="clear"/>
            <w:vAlign w:val="center"/>
          </w:tcPr>
          <w:p>
            <w:pPr>
              <w:pStyle w:val="TableContents"/>
              <w:spacing w:before="0" w:after="283"/>
              <w:rPr>
                <w:sz w:val="4"/>
                <w:szCs w:val="4"/>
              </w:rPr>
            </w:pPr>
            <w:r>
              <w:rPr>
                <w:sz w:val="4"/>
                <w:szCs w:val="4"/>
              </w:rPr>
            </w:r>
          </w:p>
        </w:tc>
        <w:tc>
          <w:tcPr>
            <w:tcW w:w="230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5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share data)</w:t>
            </w:r>
          </w:p>
        </w:tc>
        <w:tc>
          <w:tcPr>
            <w:tcW w:w="11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31,</w:t>
              <w:br/>
              <w:t>2022</w:t>
            </w:r>
          </w:p>
        </w:tc>
      </w:tr>
      <w:tr>
        <w:trPr/>
        <w:tc>
          <w:tcPr>
            <w:tcW w:w="75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Film and television costs</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securing collateralized obligation</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of accumulated depreciation of $57,570 and $56,939</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58,494 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Franchise rights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59,365 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 net of accumulated amortization of $27,135 and $25,860</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 net</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12,497 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5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259,429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257,275</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0" w:type="dxa"/>
            <w:gridSpan w:val="3"/>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1161"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Current Liabilities: </w:t>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 related to trade creditors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participations and residuals</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obligation</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less current portion</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93,068 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obligation</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stock—authorized, 20,000,000 shares; issued, zero</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$0.01 par value—authorized, 7,500,000,000 shares; issued, 5,042,734,421 and 5,083,466,045; outstanding, 4,169,943,393 and 4,210,675,017</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$0.01 par value—authorized, 75,000,000 shares; issued and outstanding, 9,444,375</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51,609 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872,791,028 Class A common shares</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(7,517)</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Comcast Corporation shareholders’ equity</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80,943 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81,627 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51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equity</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259,429</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257,275</w:t>
            </w:r>
            <w:r>
              <w:rPr>
                <w:color w:val="000000"/>
              </w:rPr>
              <w:t> </w:t>
            </w:r>
          </w:p>
        </w:tc>
        <w:tc>
          <w:tcPr>
            <w:tcW w:w="15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84785"/>
                <wp:effectExtent l="0" t="0" r="0" b="0"/>
                <wp:wrapNone/>
                <wp:docPr id="9" name="Frame8"/>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jc w:val="both"/>
        <w:rPr/>
      </w:pPr>
      <w:hyperlink w:anchor="i6cbedffc79ba431f8c6c5489cc9b606c_7">
        <w:r>
          <w:rPr>
            <w:rStyle w:val="InternetLink"/>
            <w:rFonts w:ascii="Times New Roman;sans-serif" w:hAnsi="Times New Roman;sans-serif"/>
            <w:b/>
            <w:color w:val="0000FF"/>
            <w:sz w:val="20"/>
            <w:u w:val="single"/>
          </w:rPr>
          <w:t>Table of Contents</w:t>
        </w:r>
      </w:hyperlink>
    </w:p>
    <w:p>
      <w:pPr>
        <w:pStyle w:val="TextBody"/>
        <w:spacing w:before="0" w:after="0"/>
        <w:jc w:val="both"/>
        <w:rPr/>
      </w:pPr>
      <w:r>
        <w:rPr/>
      </w:r>
    </w:p>
    <w:p>
      <w:pPr>
        <w:pStyle w:val="TextBody"/>
        <w:spacing w:lineRule="auto" w:line="288" w:before="0" w:after="0"/>
        <w:rPr>
          <w:rFonts w:ascii="Helvetica;sans-serif" w:hAnsi="Helvetica;sans-serif"/>
          <w:b w:val="false"/>
          <w:color w:val="000000"/>
          <w:sz w:val="24"/>
        </w:rPr>
      </w:pPr>
      <w:r>
        <w:rPr>
          <w:rFonts w:ascii="Helvetica;sans-serif" w:hAnsi="Helvetica;sans-serif"/>
          <w:b w:val="false"/>
          <w:color w:val="000000"/>
          <w:sz w:val="24"/>
        </w:rPr>
        <w:t>Comcast Corporation</w:t>
      </w:r>
    </w:p>
    <w:p>
      <w:pPr>
        <w:pStyle w:val="TextBody"/>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Changes in Equity</w:t>
      </w:r>
    </w:p>
    <w:p>
      <w:pPr>
        <w:pStyle w:val="TextBody"/>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tbl>
      <w:tblPr>
        <w:tblW w:w="10137" w:type="dxa"/>
        <w:jc w:val="center"/>
        <w:tblInd w:w="0" w:type="dxa"/>
        <w:tblCellMar>
          <w:top w:w="28" w:type="dxa"/>
          <w:left w:w="28" w:type="dxa"/>
          <w:bottom w:w="28" w:type="dxa"/>
          <w:right w:w="28" w:type="dxa"/>
        </w:tblCellMar>
      </w:tblPr>
      <w:tblGrid>
        <w:gridCol w:w="2623"/>
        <w:gridCol w:w="2300"/>
        <w:gridCol w:w="2321"/>
        <w:gridCol w:w="109"/>
        <w:gridCol w:w="109"/>
        <w:gridCol w:w="115"/>
        <w:gridCol w:w="222"/>
        <w:gridCol w:w="777"/>
        <w:gridCol w:w="115"/>
        <w:gridCol w:w="115"/>
        <w:gridCol w:w="115"/>
        <w:gridCol w:w="115"/>
        <w:gridCol w:w="211"/>
        <w:gridCol w:w="736"/>
        <w:gridCol w:w="154"/>
      </w:tblGrid>
      <w:tr>
        <w:trPr/>
        <w:tc>
          <w:tcPr>
            <w:tcW w:w="2623" w:type="dxa"/>
            <w:tcBorders/>
            <w:shd w:fill="auto" w:val="clear"/>
            <w:vAlign w:val="center"/>
          </w:tcPr>
          <w:p>
            <w:pPr>
              <w:pStyle w:val="TableContents"/>
              <w:spacing w:before="0" w:after="283"/>
              <w:rPr>
                <w:sz w:val="4"/>
                <w:szCs w:val="4"/>
              </w:rPr>
            </w:pPr>
            <w:r>
              <w:rPr>
                <w:sz w:val="4"/>
                <w:szCs w:val="4"/>
              </w:rPr>
            </w:r>
          </w:p>
        </w:tc>
        <w:tc>
          <w:tcPr>
            <w:tcW w:w="2300" w:type="dxa"/>
            <w:tcBorders/>
            <w:shd w:fill="auto" w:val="clear"/>
            <w:vAlign w:val="center"/>
          </w:tcPr>
          <w:p>
            <w:pPr>
              <w:pStyle w:val="TableContents"/>
              <w:spacing w:before="0" w:after="283"/>
              <w:rPr>
                <w:sz w:val="4"/>
                <w:szCs w:val="4"/>
              </w:rPr>
            </w:pPr>
            <w:r>
              <w:rPr>
                <w:sz w:val="4"/>
                <w:szCs w:val="4"/>
              </w:rPr>
            </w:r>
          </w:p>
        </w:tc>
        <w:tc>
          <w:tcPr>
            <w:tcW w:w="23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4"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br/>
              <w:t>March 31,</w:t>
            </w:r>
          </w:p>
        </w:tc>
        <w:tc>
          <w:tcPr>
            <w:tcW w:w="1101" w:type="dxa"/>
            <w:gridSpan w:val="3"/>
            <w:tcBorders/>
            <w:shd w:fill="auto" w:val="clear"/>
          </w:tcPr>
          <w:p>
            <w:pPr>
              <w:pStyle w:val="TableContents"/>
              <w:spacing w:before="0" w:after="283"/>
              <w:rPr>
                <w:sz w:val="4"/>
                <w:szCs w:val="4"/>
              </w:rPr>
            </w:pPr>
            <w:r>
              <w:rPr>
                <w:sz w:val="4"/>
                <w:szCs w:val="4"/>
              </w:rPr>
            </w:r>
          </w:p>
        </w:tc>
      </w:tr>
      <w:tr>
        <w:trPr/>
        <w:tc>
          <w:tcPr>
            <w:tcW w:w="72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per share data)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r>
      <w:tr>
        <w:trPr/>
        <w:tc>
          <w:tcPr>
            <w:tcW w:w="72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Redeemable Noncontrolling Interests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(distributions to) noncontrolling interests,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2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end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422</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513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14"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Class A Common Stock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(repurchases) of common stock under repurchase program and employee plans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724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end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50</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Additional Paid-In Capital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39,412 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 under repurchase program and employee plans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of common stock under employee plans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end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39,262</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39,926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Retained Earnings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51,609 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 under repurchase program and employee plans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end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52,524</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61,555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Treasury Stock at Cost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(7,517)</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end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(7,517)</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(7,517)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Accumulated Other Comprehensive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end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(1,898)</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674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(distributions to) noncontrolling interests,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end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612</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1,300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724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equity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83,033</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95,992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7244" w:type="dxa"/>
            <w:gridSpan w:val="3"/>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dividends declared per common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22"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77"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0.29</w:t>
            </w:r>
            <w:r>
              <w:rPr>
                <w:color w:val="000000"/>
              </w:rPr>
              <w:t> </w:t>
            </w:r>
          </w:p>
        </w:tc>
        <w:tc>
          <w:tcPr>
            <w:tcW w:w="115"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5" w:type="dxa"/>
            <w:gridSpan w:val="3"/>
            <w:tcBorders>
              <w:top w:val="single" w:sz="16"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0.27</w:t>
            </w:r>
            <w:r>
              <w:rPr>
                <w:color w:val="000000"/>
              </w:rPr>
              <w:t> </w:t>
            </w:r>
          </w:p>
        </w:tc>
        <w:tc>
          <w:tcPr>
            <w:tcW w:w="154"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84785"/>
                <wp:effectExtent l="0" t="0" r="0" b="0"/>
                <wp:wrapNone/>
                <wp:docPr id="10" name="Frame9"/>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jc w:val="both"/>
        <w:rPr/>
      </w:pPr>
      <w:hyperlink w:anchor="i6cbedffc79ba431f8c6c5489cc9b606c_7">
        <w:r>
          <w:rPr>
            <w:rStyle w:val="InternetLink"/>
            <w:rFonts w:ascii="Times New Roman;sans-serif" w:hAnsi="Times New Roman;sans-serif"/>
            <w:b/>
            <w:color w:val="0000FF"/>
            <w:sz w:val="20"/>
            <w:u w:val="single"/>
          </w:rPr>
          <w:t>Table of Contents</w:t>
        </w:r>
      </w:hyperlink>
    </w:p>
    <w:p>
      <w:pPr>
        <w:pStyle w:val="TextBody"/>
        <w:spacing w:before="0" w:after="0"/>
        <w:jc w:val="both"/>
        <w:rPr/>
      </w:pPr>
      <w:r>
        <w:rPr/>
      </w:r>
    </w:p>
    <w:p>
      <w:pPr>
        <w:pStyle w:val="TextBody"/>
        <w:spacing w:lineRule="auto" w:line="288" w:before="0" w:after="0"/>
        <w:rPr>
          <w:rFonts w:ascii="Helvetica;sans-serif" w:hAnsi="Helvetica;sans-serif"/>
          <w:b w:val="false"/>
          <w:color w:val="000000"/>
          <w:sz w:val="24"/>
        </w:rPr>
      </w:pPr>
      <w:r>
        <w:rPr>
          <w:rFonts w:ascii="Helvetica;sans-serif" w:hAnsi="Helvetica;sans-serif"/>
          <w:b w:val="false"/>
          <w:color w:val="000000"/>
          <w:sz w:val="24"/>
        </w:rPr>
        <w:t>Comcast Corporation</w:t>
      </w:r>
    </w:p>
    <w:p>
      <w:pPr>
        <w:pStyle w:val="TextBody"/>
        <w:spacing w:lineRule="auto" w:line="288" w:before="210" w:after="283"/>
        <w:rPr>
          <w:rFonts w:ascii="Helvetica;sans-serif" w:hAnsi="Helvetica;sans-serif"/>
          <w:b/>
          <w:color w:val="000000"/>
          <w:sz w:val="24"/>
        </w:rPr>
      </w:pPr>
      <w:r>
        <w:rPr>
          <w:rFonts w:ascii="Helvetica;sans-serif" w:hAnsi="Helvetica;sans-serif"/>
          <w:b/>
          <w:color w:val="000000"/>
          <w:sz w:val="24"/>
        </w:rPr>
        <w:t>NOTES TO CONDENSED CONSOLIDATED FINANCIAL STATEMENTS</w:t>
      </w:r>
    </w:p>
    <w:p>
      <w:pPr>
        <w:pStyle w:val="TextBody"/>
        <w:spacing w:lineRule="auto" w:line="288" w:before="0" w:after="0"/>
        <w:rPr>
          <w:rFonts w:ascii="Helvetica;sans-serif" w:hAnsi="Helvetica;sans-serif"/>
          <w:b/>
          <w:color w:val="000000"/>
          <w:sz w:val="24"/>
        </w:rPr>
      </w:pPr>
      <w:r>
        <w:rPr>
          <w:rFonts w:ascii="Helvetica;sans-serif" w:hAnsi="Helvetica;sans-serif"/>
          <w:b/>
          <w:color w:val="000000"/>
          <w:sz w:val="24"/>
        </w:rPr>
        <w:t>(Unaudited)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10" w:after="283"/>
        <w:rPr>
          <w:rFonts w:ascii="Helvetica;sans-serif" w:hAnsi="Helvetica;sans-serif"/>
          <w:b/>
          <w:color w:val="000000"/>
          <w:sz w:val="24"/>
        </w:rPr>
      </w:pPr>
      <w:r>
        <w:rPr>
          <w:rFonts w:ascii="Helvetica;sans-serif" w:hAnsi="Helvetica;sans-serif"/>
          <w:b/>
          <w:color w:val="000000"/>
          <w:sz w:val="24"/>
        </w:rPr>
        <w:t>Note 1: Condensed Consolidated Financial Statements</w:t>
      </w:r>
    </w:p>
    <w:p>
      <w:pPr>
        <w:pStyle w:val="TextBody"/>
        <w:spacing w:lineRule="auto" w:line="288" w:before="136" w:after="283"/>
        <w:rPr>
          <w:rFonts w:ascii="Helvetica;sans-serif" w:hAnsi="Helvetica;sans-serif"/>
          <w:b/>
          <w:color w:val="000000"/>
          <w:sz w:val="20"/>
        </w:rPr>
      </w:pPr>
      <w:r>
        <w:rPr>
          <w:rFonts w:ascii="Helvetica;sans-serif" w:hAnsi="Helvetica;sans-serif"/>
          <w:b/>
          <w:color w:val="000000"/>
          <w:sz w:val="20"/>
        </w:rPr>
        <w:t>Basis of Presentation</w:t>
      </w:r>
    </w:p>
    <w:p>
      <w:pPr>
        <w:pStyle w:val="TextBody"/>
        <w:spacing w:lineRule="auto" w:line="288" w:before="76"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cash flows and financial condition for the periods shown, including normal, recurring accruals and other items. The consolidated results of operations for the interim periods presented are not necessarily indicative of results for the full year.</w:t>
      </w:r>
    </w:p>
    <w:p>
      <w:pPr>
        <w:pStyle w:val="TextBody"/>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2022 Annual Report on Form 10-K and the notes within this Quarterly Report on Form 10-Q.</w:t>
      </w:r>
    </w:p>
    <w:p>
      <w:pPr>
        <w:pStyle w:val="TextBody"/>
        <w:spacing w:lineRule="auto" w:line="288" w:before="60" w:after="120"/>
        <w:rPr>
          <w:rFonts w:ascii="Helvetica;sans-serif" w:hAnsi="Helvetica;sans-serif"/>
          <w:b/>
          <w:color w:val="000000"/>
          <w:sz w:val="20"/>
        </w:rPr>
      </w:pPr>
      <w:r>
        <w:rPr>
          <w:rFonts w:ascii="Helvetica;sans-serif" w:hAnsi="Helvetica;sans-serif"/>
          <w:b/>
          <w:color w:val="000000"/>
          <w:sz w:val="20"/>
        </w:rPr>
        <w:t>Reclassifications</w:t>
      </w:r>
    </w:p>
    <w:p>
      <w:pPr>
        <w:pStyle w:val="TextBody"/>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Reclassifications have been made to our notes to condensed consolidated financial statements for the prior year period to conform to classifications used in 2023. See Note 2 for a discussion of the changes in our presentation of segment operating results.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10" w:after="120"/>
        <w:rPr>
          <w:rFonts w:ascii="Helvetica;sans-serif" w:hAnsi="Helvetica;sans-serif"/>
          <w:b/>
          <w:color w:val="000000"/>
          <w:sz w:val="24"/>
        </w:rPr>
      </w:pPr>
      <w:r>
        <w:rPr>
          <w:rFonts w:ascii="Helvetica;sans-serif" w:hAnsi="Helvetica;sans-serif"/>
          <w:b/>
          <w:color w:val="000000"/>
          <w:sz w:val="24"/>
        </w:rPr>
        <w:t>Note 2: Segment Information</w:t>
      </w:r>
    </w:p>
    <w:p>
      <w:pPr>
        <w:pStyle w:val="TextBody"/>
        <w:spacing w:lineRule="auto" w:line="288" w:before="60" w:after="1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Beginning in the first quarter of 2023, we changed our presentation of segment operating results around our two primary businesses: Connectivity &amp; Platforms and Content &amp; Experiences. </w:t>
      </w:r>
    </w:p>
    <w:p>
      <w:pPr>
        <w:pStyle w:val="TextBody"/>
        <w:spacing w:lineRule="auto" w:line="288" w:before="60" w:after="120"/>
        <w:jc w:val="both"/>
        <w:rPr/>
      </w:pPr>
      <w:r>
        <w:rPr>
          <w:rFonts w:ascii="Times New Roman;sans-serif" w:hAnsi="Times New Roman;sans-serif"/>
          <w:b/>
          <w:color w:val="000000"/>
          <w:sz w:val="20"/>
          <w:highlight w:val="white"/>
        </w:rPr>
        <w:t xml:space="preserve">Connectivity &amp; Platforms: </w:t>
      </w:r>
      <w:r>
        <w:rPr>
          <w:rFonts w:ascii="Times New Roman;sans-serif" w:hAnsi="Times New Roman;sans-serif"/>
          <w:b w:val="false"/>
          <w:color w:val="000000"/>
          <w:sz w:val="20"/>
          <w:highlight w:val="white"/>
        </w:rPr>
        <w:t>Contains our broadband and wireless connectivity businesses operated under the Xfinity and Comcast brands in the United States and under the Sky brand in certain territories in Europe (the “Connectivity &amp; Platforms markets”). Also includes our video services businesses and the operations of our Sky-branded entertainment television channels in the Connectivity &amp; Platforms markets. Our Connectivity &amp; Platforms business is reported in two reportable business segments:</w:t>
      </w:r>
    </w:p>
    <w:p>
      <w:pPr>
        <w:pStyle w:val="TextBody"/>
        <w:spacing w:lineRule="auto" w:line="288" w:before="60" w:after="120"/>
        <w:ind w:left="0" w:right="0" w:hanging="360"/>
        <w:jc w:val="both"/>
        <w:rPr/>
      </w:pPr>
      <w:r>
        <w:rPr>
          <w:color w:val="000000"/>
          <w:highlight w:val="white"/>
        </w:rPr>
        <w:t>•</w:t>
      </w:r>
      <w:r>
        <w:rPr>
          <w:rFonts w:ascii="Times New Roman;sans-serif" w:hAnsi="Times New Roman;sans-serif"/>
          <w:b/>
          <w:color w:val="000000"/>
          <w:sz w:val="20"/>
          <w:highlight w:val="white"/>
        </w:rPr>
        <w:t xml:space="preserve">Residential Connectivity &amp; Platforms Segment: </w:t>
      </w:r>
      <w:r>
        <w:rPr>
          <w:rFonts w:ascii="Times New Roman;sans-serif" w:hAnsi="Times New Roman;sans-serif"/>
          <w:b w:val="false"/>
          <w:color w:val="000000"/>
          <w:sz w:val="20"/>
          <w:highlight w:val="white"/>
        </w:rPr>
        <w:t>Includes our residential broadband and wireless connectivity services, residential and business video services, advertising sales and Sky channels. Revenue is generated primarily from customers that subscribe to our services and from the sale of advertising and wireless devices.</w:t>
      </w:r>
    </w:p>
    <w:p>
      <w:pPr>
        <w:pStyle w:val="TextBody"/>
        <w:spacing w:lineRule="auto" w:line="288" w:before="60" w:after="120"/>
        <w:ind w:left="0" w:right="0" w:hanging="360"/>
        <w:jc w:val="both"/>
        <w:rPr/>
      </w:pPr>
      <w:r>
        <w:rPr>
          <w:color w:val="000000"/>
          <w:highlight w:val="white"/>
        </w:rPr>
        <w:t>•</w:t>
      </w:r>
      <w:r>
        <w:rPr>
          <w:rFonts w:ascii="Times New Roman;sans-serif" w:hAnsi="Times New Roman;sans-serif"/>
          <w:b/>
          <w:color w:val="000000"/>
          <w:sz w:val="20"/>
          <w:highlight w:val="white"/>
        </w:rPr>
        <w:t>Business Services Connectivity Segment:</w:t>
      </w:r>
      <w:r>
        <w:rPr>
          <w:color w:val="000000"/>
          <w:highlight w:val="white"/>
        </w:rPr>
        <w:t xml:space="preserve"> </w:t>
      </w:r>
      <w:r>
        <w:rPr>
          <w:rFonts w:ascii="Times New Roman;sans-serif" w:hAnsi="Times New Roman;sans-serif"/>
          <w:b w:val="false"/>
          <w:color w:val="000000"/>
          <w:sz w:val="20"/>
          <w:highlight w:val="white"/>
        </w:rPr>
        <w:t>Includes our connectivity services for small business locations in the United States, which include broadband, voice and wireless services, as well as our solutions for medium-sized customers and larger enterprises, and our small business connectivity service offerings for international locations. Revenue is generated primarily from customers that subscribe to our services.</w:t>
      </w:r>
    </w:p>
    <w:p>
      <w:pPr>
        <w:pStyle w:val="TextBody"/>
        <w:spacing w:lineRule="auto" w:line="288" w:before="60" w:after="120"/>
        <w:jc w:val="both"/>
        <w:rPr/>
      </w:pPr>
      <w:r>
        <w:rPr>
          <w:rFonts w:ascii="Times New Roman;sans-serif" w:hAnsi="Times New Roman;sans-serif"/>
          <w:b/>
          <w:color w:val="000000"/>
          <w:sz w:val="20"/>
          <w:highlight w:val="white"/>
        </w:rPr>
        <w:t xml:space="preserve">Content &amp; Experiences: </w:t>
      </w:r>
      <w:r>
        <w:rPr>
          <w:rFonts w:ascii="Times New Roman;sans-serif" w:hAnsi="Times New Roman;sans-serif"/>
          <w:b w:val="false"/>
          <w:color w:val="000000"/>
          <w:sz w:val="20"/>
          <w:highlight w:val="white"/>
        </w:rPr>
        <w:t>Contains our media and entertainment businesses that develop, produce, and distribute entertainment, news and information, sports, and other content for global audiences and that own and operate theme parks in the United States and Asia. Our Content &amp; Experiences business is reported in three reportable business segments:</w:t>
      </w:r>
    </w:p>
    <w:p>
      <w:pPr>
        <w:pStyle w:val="TextBody"/>
        <w:spacing w:lineRule="auto" w:line="288" w:before="60" w:after="120"/>
        <w:ind w:left="0" w:right="0" w:hanging="360"/>
        <w:jc w:val="both"/>
        <w:rPr/>
      </w:pPr>
      <w:r>
        <w:rPr>
          <w:color w:val="000000"/>
          <w:highlight w:val="white"/>
        </w:rPr>
        <w:t>•</w:t>
      </w:r>
      <w:r>
        <w:rPr>
          <w:rFonts w:ascii="Times New Roman;sans-serif" w:hAnsi="Times New Roman;sans-serif"/>
          <w:b/>
          <w:color w:val="000000"/>
          <w:sz w:val="20"/>
          <w:highlight w:val="white"/>
        </w:rPr>
        <w:t>Media Segment:</w:t>
      </w:r>
      <w:r>
        <w:rPr>
          <w:color w:val="000000"/>
          <w:highlight w:val="white"/>
        </w:rPr>
        <w:t xml:space="preserve"> </w:t>
      </w:r>
      <w:r>
        <w:rPr>
          <w:rFonts w:ascii="Times New Roman;sans-serif" w:hAnsi="Times New Roman;sans-serif"/>
          <w:b w:val="false"/>
          <w:color w:val="000000"/>
          <w:sz w:val="20"/>
          <w:highlight w:val="white"/>
        </w:rPr>
        <w:t>Includes primarily NBCUniversal</w:t>
      </w:r>
      <w:r>
        <w:rPr>
          <w:color w:val="000000"/>
        </w:rPr>
        <w:t>’</w:t>
      </w:r>
      <w:r>
        <w:rPr>
          <w:rFonts w:ascii="Times New Roman;sans-serif" w:hAnsi="Times New Roman;sans-serif"/>
          <w:b w:val="false"/>
          <w:color w:val="000000"/>
          <w:sz w:val="20"/>
          <w:highlight w:val="white"/>
        </w:rPr>
        <w:t>s television and streaming business, including national and regional cable networks; the NBC and Telemundo broadcast networks; NBC and Telemundo owned local broadcast television stations; and Peacock, our direct-to-consumer streaming service. Also includes international networks, including most of the Sky Sports channels, and other digital properties. Revenue is generated primarily from the distribution of our television and streaming programming and from the sale of advertising on our television networks, Peacock and other digital properties.</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84785"/>
                <wp:effectExtent l="0" t="0" r="0" b="0"/>
                <wp:wrapNone/>
                <wp:docPr id="11" name="Frame10"/>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jc w:val="both"/>
        <w:rPr/>
      </w:pPr>
      <w:hyperlink w:anchor="i6cbedffc79ba431f8c6c5489cc9b606c_7">
        <w:r>
          <w:rPr>
            <w:rStyle w:val="InternetLink"/>
            <w:rFonts w:ascii="Times New Roman;sans-serif" w:hAnsi="Times New Roman;sans-serif"/>
            <w:b/>
            <w:color w:val="0000FF"/>
            <w:sz w:val="20"/>
            <w:u w:val="single"/>
          </w:rPr>
          <w:t>Table of Contents</w:t>
        </w:r>
      </w:hyperlink>
    </w:p>
    <w:p>
      <w:pPr>
        <w:pStyle w:val="TextBody"/>
        <w:spacing w:before="0" w:after="0"/>
        <w:jc w:val="both"/>
        <w:rPr/>
      </w:pPr>
      <w:r>
        <w:rPr/>
      </w:r>
    </w:p>
    <w:p>
      <w:pPr>
        <w:pStyle w:val="TextBody"/>
        <w:spacing w:lineRule="auto" w:line="288" w:before="0" w:after="0"/>
        <w:rPr>
          <w:rFonts w:ascii="Helvetica;sans-serif" w:hAnsi="Helvetica;sans-serif"/>
          <w:b w:val="false"/>
          <w:color w:val="000000"/>
          <w:sz w:val="24"/>
        </w:rPr>
      </w:pPr>
      <w:r>
        <w:rPr>
          <w:rFonts w:ascii="Helvetica;sans-serif" w:hAnsi="Helvetica;sans-serif"/>
          <w:b w:val="false"/>
          <w:color w:val="000000"/>
          <w:sz w:val="24"/>
        </w:rPr>
        <w:t>Comcast Corporation</w:t>
      </w:r>
    </w:p>
    <w:p>
      <w:pPr>
        <w:pStyle w:val="TextBody"/>
        <w:spacing w:lineRule="auto" w:line="288" w:before="60" w:after="120"/>
        <w:ind w:left="0" w:right="0" w:hanging="360"/>
        <w:jc w:val="both"/>
        <w:rPr/>
      </w:pPr>
      <w:r>
        <w:rPr>
          <w:color w:val="000000"/>
          <w:highlight w:val="white"/>
        </w:rPr>
        <w:t>•</w:t>
      </w:r>
      <w:r>
        <w:rPr>
          <w:rFonts w:ascii="Times New Roman;sans-serif" w:hAnsi="Times New Roman;sans-serif"/>
          <w:b/>
          <w:color w:val="000000"/>
          <w:sz w:val="20"/>
          <w:highlight w:val="white"/>
        </w:rPr>
        <w:t>Studios Segment:</w:t>
      </w:r>
      <w:r>
        <w:rPr>
          <w:color w:val="000000"/>
          <w:highlight w:val="white"/>
        </w:rPr>
        <w:t xml:space="preserve"> </w:t>
      </w:r>
      <w:r>
        <w:rPr>
          <w:rFonts w:ascii="Times New Roman;sans-serif" w:hAnsi="Times New Roman;sans-serif"/>
          <w:b w:val="false"/>
          <w:color w:val="000000"/>
          <w:sz w:val="20"/>
          <w:highlight w:val="white"/>
        </w:rPr>
        <w:t>Includes primarily our NBCUniversal and Sky film and television studio production and distribution operations. Revenue is generated primarily from licensing our owned film and television content in the United States and internationally; and from the worldwide distribution of our produced and acquired films for exhibition in movie theaters.</w:t>
      </w:r>
    </w:p>
    <w:p>
      <w:pPr>
        <w:pStyle w:val="TextBody"/>
        <w:spacing w:lineRule="auto" w:line="288" w:before="60" w:after="120"/>
        <w:ind w:left="0" w:right="0" w:hanging="360"/>
        <w:jc w:val="both"/>
        <w:rPr/>
      </w:pPr>
      <w:r>
        <w:rPr>
          <w:color w:val="000000"/>
          <w:highlight w:val="white"/>
        </w:rPr>
        <w:t>•</w:t>
      </w:r>
      <w:r>
        <w:rPr>
          <w:rFonts w:ascii="Times New Roman;sans-serif" w:hAnsi="Times New Roman;sans-serif"/>
          <w:b/>
          <w:color w:val="000000"/>
          <w:sz w:val="20"/>
          <w:highlight w:val="white"/>
        </w:rPr>
        <w:t>Theme Parks Segment:</w:t>
      </w:r>
      <w:r>
        <w:rPr>
          <w:color w:val="000000"/>
          <w:highlight w:val="white"/>
        </w:rPr>
        <w:t xml:space="preserve"> </w:t>
      </w:r>
      <w:r>
        <w:rPr>
          <w:rFonts w:ascii="Times New Roman;sans-serif" w:hAnsi="Times New Roman;sans-serif"/>
          <w:b w:val="false"/>
          <w:color w:val="000000"/>
          <w:sz w:val="20"/>
          <w:highlight w:val="white"/>
        </w:rPr>
        <w:t>Includes primarily the operations of our Universal theme parks in Orlando, Florida; Hollywood, California; Osaka, Japan; and Beijing, China. Revenue is generated primarily from guest spending at our theme parks.</w:t>
      </w:r>
    </w:p>
    <w:p>
      <w:pPr>
        <w:pStyle w:val="TextBody"/>
        <w:spacing w:lineRule="auto" w:line="288" w:before="60" w:after="1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other business interests consist primarily of Sky operations outside of the Connectivity &amp; Platforms markets, the operations of Comcast Spectacor, which owns the Philadelphia Flyers and the Wells Fargo Center arena in Philadelphia, Pennsylvania, and the operations of Xumo, our consolidated streaming platform joint venture with Charter Communications formed in June 2022.</w:t>
      </w:r>
    </w:p>
    <w:p>
      <w:pPr>
        <w:pStyle w:val="TextBody"/>
        <w:spacing w:lineRule="auto" w:line="288" w:before="60" w:after="1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Our segments generally report transactions with one another as if they were stand-alone businesses in accordance with GAAP, and these transactions are eliminated in consolidation. When multiple segments enter into transactions to provide products and services to third parties, revenue is generally allocated to our segments based on relative value. Transactions between our Connectivity &amp; Platforms and Content &amp; Experiences businesses, and between segments within the Content &amp; Experiences business, generally include intercompany profit consistent with third-party transactions. The segments within our Connectivity &amp; Platforms business use certain shared infrastructure, including the cable distribution network in the United States, and each segment is presented with its direct costs and an allocation of shared costs, as well as revenue from its customers. </w:t>
      </w:r>
    </w:p>
    <w:p>
      <w:pPr>
        <w:pStyle w:val="TextBody"/>
        <w:spacing w:lineRule="auto" w:line="288" w:before="76" w:after="283"/>
        <w:jc w:val="both"/>
        <w:rPr/>
      </w:pPr>
      <w:r>
        <w:rPr>
          <w:rFonts w:ascii="Times New Roman;sans-serif" w:hAnsi="Times New Roman;sans-serif"/>
          <w:b w:val="false"/>
          <w:color w:val="000000"/>
          <w:sz w:val="20"/>
        </w:rPr>
        <w:t>Our financial data by reportable business segment is presented in the tables below and has been</w:t>
      </w:r>
      <w:r>
        <w:rPr>
          <w:color w:val="000000"/>
          <w:highlight w:val="white"/>
        </w:rPr>
        <w:t xml:space="preserve"> </w:t>
      </w:r>
      <w:r>
        <w:rPr>
          <w:rFonts w:ascii="Times New Roman;sans-serif" w:hAnsi="Times New Roman;sans-serif"/>
          <w:b w:val="false"/>
          <w:color w:val="000000"/>
          <w:sz w:val="20"/>
          <w:highlight w:val="white"/>
        </w:rPr>
        <w:t>updated to reflect our new segment presentation, including: (1) presentation of Cable Communications results in the Residential Connectivity &amp; Platforms and Business Services Connectivity segments and (2) presentation of Sky</w:t>
      </w:r>
      <w:r>
        <w:rPr>
          <w:color w:val="000000"/>
        </w:rPr>
        <w:t>’</w:t>
      </w:r>
      <w:r>
        <w:rPr>
          <w:rFonts w:ascii="Times New Roman;sans-serif" w:hAnsi="Times New Roman;sans-serif"/>
          <w:b w:val="false"/>
          <w:color w:val="000000"/>
          <w:sz w:val="20"/>
          <w:highlight w:val="white"/>
        </w:rPr>
        <w:t xml:space="preserve">s results across the segments within the Connectivity &amp; Platforms and Content &amp; Experiences businesses, and Corporate and Other. </w:t>
      </w:r>
      <w:r>
        <w:rPr>
          <w:rFonts w:ascii="Times New Roman;sans-serif" w:hAnsi="Times New Roman;sans-serif"/>
          <w:b w:val="false"/>
          <w:color w:val="000000"/>
          <w:sz w:val="20"/>
        </w:rPr>
        <w:t xml:space="preserve">We do not present asset information for our reportable business segments as this information is not used to allocate resources and capital. </w:t>
      </w:r>
    </w:p>
    <w:tbl>
      <w:tblPr>
        <w:tblW w:w="8990" w:type="dxa"/>
        <w:jc w:val="center"/>
        <w:tblInd w:w="0" w:type="dxa"/>
        <w:tblCellMar>
          <w:top w:w="28" w:type="dxa"/>
          <w:left w:w="28" w:type="dxa"/>
          <w:bottom w:w="28" w:type="dxa"/>
          <w:right w:w="28" w:type="dxa"/>
        </w:tblCellMar>
      </w:tblPr>
      <w:tblGrid>
        <w:gridCol w:w="1152"/>
        <w:gridCol w:w="1008"/>
        <w:gridCol w:w="1019"/>
        <w:gridCol w:w="211"/>
        <w:gridCol w:w="736"/>
        <w:gridCol w:w="109"/>
        <w:gridCol w:w="333"/>
        <w:gridCol w:w="995"/>
        <w:gridCol w:w="172"/>
        <w:gridCol w:w="211"/>
        <w:gridCol w:w="736"/>
        <w:gridCol w:w="109"/>
        <w:gridCol w:w="333"/>
        <w:gridCol w:w="995"/>
        <w:gridCol w:w="172"/>
        <w:gridCol w:w="109"/>
        <w:gridCol w:w="109"/>
        <w:gridCol w:w="109"/>
        <w:gridCol w:w="109"/>
        <w:gridCol w:w="109"/>
        <w:gridCol w:w="154"/>
      </w:tblGrid>
      <w:tr>
        <w:trPr/>
        <w:tc>
          <w:tcPr>
            <w:tcW w:w="1152"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2" w:type="dxa"/>
            <w:gridSpan w:val="1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56"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2556"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1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16"/>
              </w:rPr>
              <w:t>Revenue</w:t>
            </w:r>
            <w:r>
              <w:rPr>
                <w:rFonts w:ascii="Times New Roman;sans-serif" w:hAnsi="Times New Roman;sans-serif"/>
                <w:b w:val="false"/>
                <w:color w:val="000000"/>
                <w:sz w:val="10"/>
              </w:rPr>
              <w:t>(a)</w:t>
            </w:r>
          </w:p>
        </w:tc>
        <w:tc>
          <w:tcPr>
            <w:tcW w:w="15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0"/>
              <w:jc w:val="center"/>
              <w:rPr/>
            </w:pPr>
            <w:r>
              <w:rPr>
                <w:rFonts w:ascii="Times New Roman;sans-serif" w:hAnsi="Times New Roman;sans-serif"/>
                <w:b w:val="false"/>
                <w:color w:val="000000"/>
                <w:sz w:val="16"/>
              </w:rPr>
              <w:t>Adjusted EBITDA</w:t>
            </w:r>
            <w:r>
              <w:rPr>
                <w:rFonts w:ascii="Times New Roman;sans-serif" w:hAnsi="Times New Roman;sans-serif"/>
                <w:b w:val="false"/>
                <w:color w:val="000000"/>
                <w:sz w:val="10"/>
              </w:rPr>
              <w:t>(b)</w:t>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16"/>
              </w:rPr>
              <w:t>Revenue</w:t>
            </w:r>
            <w:r>
              <w:rPr>
                <w:rFonts w:ascii="Times New Roman;sans-serif" w:hAnsi="Times New Roman;sans-serif"/>
                <w:b w:val="false"/>
                <w:color w:val="000000"/>
                <w:sz w:val="10"/>
              </w:rPr>
              <w:t>(a)</w:t>
            </w:r>
          </w:p>
        </w:tc>
        <w:tc>
          <w:tcPr>
            <w:tcW w:w="15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0"/>
              <w:jc w:val="center"/>
              <w:rPr/>
            </w:pPr>
            <w:r>
              <w:rPr>
                <w:rFonts w:ascii="Times New Roman;sans-serif" w:hAnsi="Times New Roman;sans-serif"/>
                <w:b w:val="false"/>
                <w:color w:val="000000"/>
                <w:sz w:val="16"/>
              </w:rPr>
              <w:t>Adjusted EBITDA</w:t>
            </w:r>
            <w:r>
              <w:rPr>
                <w:rFonts w:ascii="Times New Roman;sans-serif" w:hAnsi="Times New Roman;sans-serif"/>
                <w:b w:val="false"/>
                <w:color w:val="000000"/>
                <w:sz w:val="10"/>
              </w:rPr>
              <w:t>(b)</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Connectivity &amp; Platforms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Connectivity &amp; Platforms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6,762 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6,611 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Services Connectivity</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Connectivity &amp; Platforms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8,093 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7,844 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&amp; Experiences</w:t>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Media</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Studios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Theme Parks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Headquarters and Other</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Eliminations</w:t>
            </w:r>
            <w:r>
              <w:rPr>
                <w:rFonts w:ascii="Times New Roman;sans-serif" w:hAnsi="Times New Roman;sans-serif"/>
                <w:b w:val="false"/>
                <w:color w:val="000000"/>
                <w:sz w:val="13"/>
              </w:rPr>
              <w:t>(a)</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&amp; Experiences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Eliminations</w:t>
            </w:r>
            <w:r>
              <w:rPr>
                <w:rFonts w:ascii="Times New Roman;sans-serif" w:hAnsi="Times New Roman;sans-serif"/>
                <w:b w:val="false"/>
                <w:color w:val="000000"/>
                <w:sz w:val="13"/>
              </w:rPr>
              <w:t>(a)</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Comcast Consolidated</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29,691</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9,415</w:t>
            </w:r>
            <w:r>
              <w:rPr>
                <w:color w:val="000000"/>
              </w:rPr>
              <w:t> </w:t>
            </w:r>
          </w:p>
        </w:tc>
        <w:tc>
          <w:tcPr>
            <w:tcW w:w="17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31,010</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9,150</w:t>
            </w:r>
            <w:r>
              <w:rPr>
                <w:color w:val="000000"/>
              </w:rPr>
              <w:t> </w:t>
            </w:r>
          </w:p>
        </w:tc>
        <w:tc>
          <w:tcPr>
            <w:tcW w:w="17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4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(a)Included in Eliminations are transactions that our segments enter into with one another. The most significant of these transactions include distribution revenue in Media related to fees from Residential Connectivity &amp; Platforms for the rights to distribute television programming and content licensing revenue in Studios for licenses of owned content to Media. Revenue for licenses of content from Studios to Media is generally recognized at a point in time, consistent with the recognition of transactions with third parties, when the content is delivered and made available for use. The costs of these licenses in Media are recognized as the content is used over the license period. The difference in timing of recognition between segments results in an Adjusted EBITDA impact in eliminations, as the profits (losses) on these transactions are deferred in our consolidated results and recognized as the content is used over the license period.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84785"/>
                <wp:effectExtent l="0" t="0" r="0" b="0"/>
                <wp:wrapNone/>
                <wp:docPr id="12" name="Frame11"/>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jc w:val="both"/>
        <w:rPr/>
      </w:pPr>
      <w:hyperlink w:anchor="i6cbedffc79ba431f8c6c5489cc9b606c_7">
        <w:r>
          <w:rPr>
            <w:rStyle w:val="InternetLink"/>
            <w:rFonts w:ascii="Times New Roman;sans-serif" w:hAnsi="Times New Roman;sans-serif"/>
            <w:b/>
            <w:color w:val="0000FF"/>
            <w:sz w:val="20"/>
            <w:u w:val="single"/>
          </w:rPr>
          <w:t>Table of Contents</w:t>
        </w:r>
      </w:hyperlink>
    </w:p>
    <w:p>
      <w:pPr>
        <w:pStyle w:val="TextBody"/>
        <w:spacing w:before="0" w:after="0"/>
        <w:jc w:val="both"/>
        <w:rPr/>
      </w:pPr>
      <w:r>
        <w:rPr/>
      </w:r>
    </w:p>
    <w:p>
      <w:pPr>
        <w:pStyle w:val="TextBody"/>
        <w:spacing w:lineRule="auto" w:line="288" w:before="0" w:after="0"/>
        <w:rPr>
          <w:rFonts w:ascii="Helvetica;sans-serif" w:hAnsi="Helvetica;sans-serif"/>
          <w:b w:val="false"/>
          <w:color w:val="000000"/>
          <w:sz w:val="24"/>
        </w:rPr>
      </w:pPr>
      <w:r>
        <w:rPr>
          <w:rFonts w:ascii="Helvetica;sans-serif" w:hAnsi="Helvetica;sans-serif"/>
          <w:b w:val="false"/>
          <w:color w:val="000000"/>
          <w:sz w:val="24"/>
        </w:rPr>
        <w:t>Comcast Corporation</w:t>
      </w:r>
    </w:p>
    <w:p>
      <w:pPr>
        <w:pStyle w:val="TextBody"/>
        <w:spacing w:lineRule="auto" w:line="288" w:before="180" w:after="283"/>
        <w:jc w:val="both"/>
        <w:rPr>
          <w:rFonts w:ascii="Times New Roman;sans-serif" w:hAnsi="Times New Roman;sans-serif"/>
          <w:b w:val="false"/>
          <w:color w:val="000000"/>
          <w:sz w:val="16"/>
        </w:rPr>
      </w:pPr>
      <w:r>
        <w:rPr>
          <w:rFonts w:ascii="Times New Roman;sans-serif" w:hAnsi="Times New Roman;sans-serif"/>
          <w:b w:val="false"/>
          <w:color w:val="000000"/>
          <w:sz w:val="16"/>
        </w:rPr>
        <w:t>A summary of revenue for each of our segments resulting from transactions with other segments and eliminated in consolidation is presented in the table below.</w:t>
      </w:r>
    </w:p>
    <w:tbl>
      <w:tblPr>
        <w:tblW w:w="5711" w:type="dxa"/>
        <w:jc w:val="left"/>
        <w:tblInd w:w="0" w:type="dxa"/>
        <w:tblCellMar>
          <w:top w:w="28" w:type="dxa"/>
          <w:left w:w="28" w:type="dxa"/>
          <w:bottom w:w="28" w:type="dxa"/>
          <w:right w:w="28" w:type="dxa"/>
        </w:tblCellMar>
      </w:tblPr>
      <w:tblGrid>
        <w:gridCol w:w="972"/>
        <w:gridCol w:w="851"/>
        <w:gridCol w:w="862"/>
        <w:gridCol w:w="109"/>
        <w:gridCol w:w="109"/>
        <w:gridCol w:w="159"/>
        <w:gridCol w:w="159"/>
        <w:gridCol w:w="286"/>
        <w:gridCol w:w="812"/>
        <w:gridCol w:w="159"/>
        <w:gridCol w:w="109"/>
        <w:gridCol w:w="109"/>
        <w:gridCol w:w="109"/>
        <w:gridCol w:w="196"/>
        <w:gridCol w:w="556"/>
        <w:gridCol w:w="154"/>
      </w:tblGrid>
      <w:tr>
        <w:trPr/>
        <w:tc>
          <w:tcPr>
            <w:tcW w:w="972"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5"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br/>
              <w:t>March 31,</w:t>
            </w:r>
          </w:p>
        </w:tc>
        <w:tc>
          <w:tcPr>
            <w:tcW w:w="1233" w:type="dxa"/>
            <w:gridSpan w:val="6"/>
            <w:tcBorders/>
            <w:shd w:fill="auto" w:val="clea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2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r>
      <w:tr>
        <w:trPr/>
        <w:tc>
          <w:tcPr>
            <w:tcW w:w="26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Connectivity &amp; Platforms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Residential Connectivity &amp; Platforms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Business Services Connectivity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Content &amp; Experiences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Media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1,167 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Studios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962 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Theme Parks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Headquarters and 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and 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intersegment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28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2,244 </w:t>
            </w:r>
          </w:p>
        </w:tc>
        <w:tc>
          <w:tcPr>
            <w:tcW w:w="15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2,455 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(b)We use Adjusted EBITDA as the measure of profit or loss for our operating segments. From time to time we may report the impact of certain events, gains, losses or other charges related to our operating segments within Corporate and Other. Our reconciliation of the aggregate amount of Adjusted EBITDA for our segments to consolidated income before income taxes is presented in the table below. </w:t>
      </w:r>
    </w:p>
    <w:tbl>
      <w:tblPr>
        <w:tblW w:w="5890" w:type="dxa"/>
        <w:jc w:val="left"/>
        <w:tblInd w:w="0" w:type="dxa"/>
        <w:tblCellMar>
          <w:top w:w="28" w:type="dxa"/>
          <w:left w:w="28" w:type="dxa"/>
          <w:bottom w:w="28" w:type="dxa"/>
          <w:right w:w="28" w:type="dxa"/>
        </w:tblCellMar>
      </w:tblPr>
      <w:tblGrid>
        <w:gridCol w:w="1038"/>
        <w:gridCol w:w="912"/>
        <w:gridCol w:w="914"/>
        <w:gridCol w:w="109"/>
        <w:gridCol w:w="109"/>
        <w:gridCol w:w="159"/>
        <w:gridCol w:w="159"/>
        <w:gridCol w:w="286"/>
        <w:gridCol w:w="812"/>
        <w:gridCol w:w="159"/>
        <w:gridCol w:w="109"/>
        <w:gridCol w:w="109"/>
        <w:gridCol w:w="109"/>
        <w:gridCol w:w="196"/>
        <w:gridCol w:w="556"/>
        <w:gridCol w:w="154"/>
      </w:tblGrid>
      <w:tr>
        <w:trPr/>
        <w:tc>
          <w:tcPr>
            <w:tcW w:w="1038"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5"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br/>
              <w:t>March 31,</w:t>
            </w:r>
          </w:p>
        </w:tc>
        <w:tc>
          <w:tcPr>
            <w:tcW w:w="1233" w:type="dxa"/>
            <w:gridSpan w:val="6"/>
            <w:tcBorders/>
            <w:shd w:fill="auto" w:val="clea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2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r>
      <w:tr>
        <w:trPr/>
        <w:tc>
          <w:tcPr>
            <w:tcW w:w="28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9,415 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(2,264)</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(1,513)</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(1,010)</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and other income (loss),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286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28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5,243 </w:t>
            </w:r>
          </w:p>
        </w:tc>
        <w:tc>
          <w:tcPr>
            <w:tcW w:w="15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4,764 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60" w:after="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Adjustments represent the impact of certain events, gains, losses or other charges that are excluded from Adjusted EBITDA, including costs related to our investment portfolio. </w:t>
      </w:r>
    </w:p>
    <w:p>
      <w:pPr>
        <w:pStyle w:val="TextBody"/>
        <w:spacing w:lineRule="auto" w:line="288" w:before="80" w:after="283"/>
        <w:rPr>
          <w:rFonts w:ascii="Helvetica;sans-serif" w:hAnsi="Helvetica;sans-serif"/>
          <w:b/>
          <w:color w:val="000000"/>
          <w:sz w:val="20"/>
        </w:rPr>
      </w:pPr>
      <w:r>
        <w:rPr>
          <w:rFonts w:ascii="Helvetica;sans-serif" w:hAnsi="Helvetica;sans-serif"/>
          <w:b/>
          <w:color w:val="000000"/>
          <w:sz w:val="20"/>
        </w:rPr>
        <w:t>Goodwill by Segment</w:t>
      </w:r>
    </w:p>
    <w:p>
      <w:pPr>
        <w:pStyle w:val="TextBody"/>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by segment for the three months ended March 31, 2023 are presented in the table below.</w:t>
      </w:r>
    </w:p>
    <w:tbl>
      <w:tblPr>
        <w:tblW w:w="10205" w:type="dxa"/>
        <w:jc w:val="left"/>
        <w:tblInd w:w="0" w:type="dxa"/>
        <w:tblCellMar>
          <w:top w:w="28" w:type="dxa"/>
          <w:left w:w="28" w:type="dxa"/>
          <w:bottom w:w="28" w:type="dxa"/>
          <w:right w:w="28" w:type="dxa"/>
        </w:tblCellMar>
      </w:tblPr>
      <w:tblGrid>
        <w:gridCol w:w="789"/>
        <w:gridCol w:w="422"/>
        <w:gridCol w:w="364"/>
        <w:gridCol w:w="318"/>
        <w:gridCol w:w="793"/>
        <w:gridCol w:w="165"/>
        <w:gridCol w:w="321"/>
        <w:gridCol w:w="802"/>
        <w:gridCol w:w="159"/>
        <w:gridCol w:w="343"/>
        <w:gridCol w:w="685"/>
        <w:gridCol w:w="177"/>
        <w:gridCol w:w="211"/>
        <w:gridCol w:w="526"/>
        <w:gridCol w:w="109"/>
        <w:gridCol w:w="211"/>
        <w:gridCol w:w="421"/>
        <w:gridCol w:w="109"/>
        <w:gridCol w:w="211"/>
        <w:gridCol w:w="421"/>
        <w:gridCol w:w="109"/>
        <w:gridCol w:w="211"/>
        <w:gridCol w:w="526"/>
        <w:gridCol w:w="109"/>
        <w:gridCol w:w="231"/>
        <w:gridCol w:w="445"/>
        <w:gridCol w:w="120"/>
        <w:gridCol w:w="211"/>
        <w:gridCol w:w="526"/>
        <w:gridCol w:w="160"/>
      </w:tblGrid>
      <w:tr>
        <w:trPr/>
        <w:tc>
          <w:tcPr>
            <w:tcW w:w="789"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8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Connectivity &amp; Platforms</w:t>
            </w:r>
          </w:p>
        </w:tc>
        <w:tc>
          <w:tcPr>
            <w:tcW w:w="232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Content &amp; Experiences</w:t>
            </w:r>
          </w:p>
        </w:tc>
        <w:tc>
          <w:tcPr>
            <w:tcW w:w="8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billions)</w:t>
            </w:r>
          </w:p>
        </w:tc>
        <w:tc>
          <w:tcPr>
            <w:tcW w:w="1276" w:type="dxa"/>
            <w:gridSpan w:val="3"/>
            <w:tcBorders/>
            <w:shd w:fill="auto"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Cable</w:t>
              <w:br/>
              <w:t>Communications</w:t>
            </w:r>
          </w:p>
        </w:tc>
        <w:tc>
          <w:tcPr>
            <w:tcW w:w="12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Residential Connectivity &amp; Platforms</w:t>
            </w:r>
          </w:p>
        </w:tc>
        <w:tc>
          <w:tcPr>
            <w:tcW w:w="12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Business Services Connectivity</w:t>
            </w:r>
          </w:p>
        </w:tc>
        <w:tc>
          <w:tcPr>
            <w:tcW w:w="8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Media</w:t>
            </w:r>
          </w:p>
        </w:tc>
        <w:tc>
          <w:tcPr>
            <w:tcW w:w="7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Studios</w:t>
            </w:r>
          </w:p>
        </w:tc>
        <w:tc>
          <w:tcPr>
            <w:tcW w:w="7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Theme</w:t>
              <w:br/>
              <w:t>Parks</w:t>
            </w:r>
          </w:p>
        </w:tc>
        <w:tc>
          <w:tcPr>
            <w:tcW w:w="846" w:type="dxa"/>
            <w:gridSpan w:val="3"/>
            <w:tcBorders/>
            <w:shd w:fill="auto"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Sky</w:t>
            </w:r>
          </w:p>
        </w:tc>
        <w:tc>
          <w:tcPr>
            <w:tcW w:w="796" w:type="dxa"/>
            <w:gridSpan w:val="3"/>
            <w:tcBorders/>
            <w:shd w:fill="auto" w:val="clear"/>
            <w:tcMar>
              <w:top w:w="0" w:type="dxa"/>
              <w:left w:w="0" w:type="dxa"/>
              <w:bottom w:w="0" w:type="dxa"/>
              <w:right w:w="0" w:type="dxa"/>
            </w:tcMar>
            <w:vAlign w:val="center"/>
          </w:tcPr>
          <w:p>
            <w:pPr>
              <w:pStyle w:val="TableContents"/>
              <w:spacing w:lineRule="auto" w:line="312"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Corporate</w:t>
              <w:br/>
              <w:t>and Other</w:t>
            </w:r>
          </w:p>
        </w:tc>
        <w:tc>
          <w:tcPr>
            <w:tcW w:w="897" w:type="dxa"/>
            <w:gridSpan w:val="3"/>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1575"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r>
      <w:tr>
        <w:trPr/>
        <w:tc>
          <w:tcPr>
            <w:tcW w:w="1575"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r>
      <w:tr>
        <w:trPr/>
        <w:tc>
          <w:tcPr>
            <w:tcW w:w="1575"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r>
      <w:tr>
        <w:trPr/>
        <w:tc>
          <w:tcPr>
            <w:tcW w:w="1575"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r>
      <w:tr>
        <w:trPr/>
        <w:tc>
          <w:tcPr>
            <w:tcW w:w="1575"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r>
      <w:tr>
        <w:trPr/>
        <w:tc>
          <w:tcPr>
            <w:tcW w:w="1575"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r>
      <w:tr>
        <w:trPr/>
        <w:tc>
          <w:tcPr>
            <w:tcW w:w="1575"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r>
      <w:tr>
        <w:trPr/>
        <w:tc>
          <w:tcPr>
            <w:tcW w:w="1575"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r>
      <w:tr>
        <w:trPr/>
        <w:tc>
          <w:tcPr>
            <w:tcW w:w="1575"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r>
      <w:tr>
        <w:trPr/>
        <w:tc>
          <w:tcPr>
            <w:tcW w:w="1575"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r>
      <w:tr>
        <w:trPr/>
        <w:tc>
          <w:tcPr>
            <w:tcW w:w="1575"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r>
      <w:tr>
        <w:trPr/>
        <w:tc>
          <w:tcPr>
            <w:tcW w:w="1575"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r>
      <w:tr>
        <w:trPr/>
        <w:tc>
          <w:tcPr>
            <w:tcW w:w="1575"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2022</w:t>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Goodwill</w:t>
            </w:r>
          </w:p>
        </w:tc>
        <w:tc>
          <w:tcPr>
            <w:tcW w:w="3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3"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16.2</w:t>
            </w: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8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26.0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66.4</w:t>
            </w: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Accumulated impairment losses</w:t>
            </w:r>
            <w:r>
              <w:rPr>
                <w:rFonts w:ascii="Times New Roman;sans-serif" w:hAnsi="Times New Roman;sans-serif"/>
                <w:b/>
                <w:color w:val="000000"/>
                <w:sz w:val="13"/>
              </w:rPr>
              <w:t>(a)</w:t>
            </w:r>
          </w:p>
        </w:tc>
        <w:tc>
          <w:tcPr>
            <w:tcW w:w="11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(7.9)</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16.2</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58.5</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change</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and other</w:t>
            </w:r>
          </w:p>
        </w:tc>
        <w:tc>
          <w:tcPr>
            <w:tcW w:w="11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March 31, 2023</w:t>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Goodwill</w:t>
            </w:r>
          </w:p>
        </w:tc>
        <w:tc>
          <w:tcPr>
            <w:tcW w:w="3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2"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33.9</w:t>
            </w: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85"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2.2</w:t>
            </w:r>
            <w:r>
              <w:rPr>
                <w:color w:val="000000"/>
              </w:rPr>
              <w:t>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21.7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67.3</w:t>
            </w: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Accumulated impairment losses</w:t>
            </w:r>
            <w:r>
              <w:rPr>
                <w:rFonts w:ascii="Times New Roman;sans-serif" w:hAnsi="Times New Roman;sans-serif"/>
                <w:b/>
                <w:color w:val="000000"/>
                <w:sz w:val="13"/>
              </w:rPr>
              <w:t>(a)</w:t>
            </w:r>
          </w:p>
        </w:tc>
        <w:tc>
          <w:tcPr>
            <w:tcW w:w="11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(6.1)</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(8.3)</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27.8</w:t>
            </w:r>
            <w:r>
              <w:rPr>
                <w:color w:val="000000"/>
              </w:rPr>
              <w:t> </w:t>
            </w:r>
          </w:p>
        </w:tc>
        <w:tc>
          <w:tcPr>
            <w:tcW w:w="15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8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2.2</w:t>
            </w:r>
            <w:r>
              <w:rPr>
                <w:color w:val="000000"/>
              </w:rPr>
              <w:t> </w:t>
            </w:r>
          </w:p>
        </w:tc>
        <w:tc>
          <w:tcPr>
            <w:tcW w:w="17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19.5</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3.7</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5.7</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4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59.0</w:t>
            </w:r>
            <w:r>
              <w:rPr>
                <w:color w:val="000000"/>
              </w:rPr>
              <w:t> </w:t>
            </w:r>
          </w:p>
        </w:tc>
        <w:tc>
          <w:tcPr>
            <w:tcW w:w="16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r>
      <w:tr>
        <w:trPr/>
        <w:tc>
          <w:tcPr>
            <w:tcW w:w="1575"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r>
      <w:tr>
        <w:trPr/>
        <w:tc>
          <w:tcPr>
            <w:tcW w:w="1575"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80" w:after="283"/>
        <w:jc w:val="both"/>
        <w:rPr>
          <w:rFonts w:ascii="Times New Roman;sans-serif" w:hAnsi="Times New Roman;sans-serif"/>
          <w:b w:val="false"/>
          <w:color w:val="000000"/>
          <w:sz w:val="16"/>
        </w:rPr>
      </w:pPr>
      <w:r>
        <w:rPr>
          <w:rFonts w:ascii="Times New Roman;sans-serif" w:hAnsi="Times New Roman;sans-serif"/>
          <w:b w:val="false"/>
          <w:color w:val="000000"/>
          <w:sz w:val="16"/>
        </w:rPr>
        <w:t>(a) Amounts relate to 2022 impairment related to Sky allocated to the new segments on a consistent basis with goodwill. Amounts are impacted by foreign currency translation each period.</w:t>
      </w:r>
    </w:p>
    <w:p>
      <w:pPr>
        <w:pStyle w:val="TextBody"/>
        <w:spacing w:before="80" w:after="283"/>
        <w:jc w:val="both"/>
        <w:rPr/>
      </w:pPr>
      <w:r>
        <w:rPr/>
      </w:r>
    </w:p>
    <w:p>
      <w:pPr>
        <w:pStyle w:val="TextBody"/>
        <w:spacing w:before="80" w:after="283"/>
        <w:jc w:val="both"/>
        <w:rPr/>
      </w:pPr>
      <w:r>
        <w:rPr/>
      </w:r>
    </w:p>
    <w:p>
      <w:pPr>
        <w:pStyle w:val="TextBody"/>
        <w:spacing w:before="8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84785"/>
                <wp:effectExtent l="0" t="0" r="0" b="0"/>
                <wp:wrapNone/>
                <wp:docPr id="13" name="Frame12"/>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jc w:val="both"/>
        <w:rPr/>
      </w:pPr>
      <w:hyperlink w:anchor="i6cbedffc79ba431f8c6c5489cc9b606c_7">
        <w:r>
          <w:rPr>
            <w:rStyle w:val="InternetLink"/>
            <w:rFonts w:ascii="Times New Roman;sans-serif" w:hAnsi="Times New Roman;sans-serif"/>
            <w:b/>
            <w:color w:val="0000FF"/>
            <w:sz w:val="20"/>
            <w:u w:val="single"/>
          </w:rPr>
          <w:t>Table of Contents</w:t>
        </w:r>
      </w:hyperlink>
    </w:p>
    <w:p>
      <w:pPr>
        <w:pStyle w:val="TextBody"/>
        <w:spacing w:before="0" w:after="0"/>
        <w:jc w:val="both"/>
        <w:rPr/>
      </w:pPr>
      <w:r>
        <w:rPr/>
      </w:r>
    </w:p>
    <w:p>
      <w:pPr>
        <w:pStyle w:val="TextBody"/>
        <w:spacing w:lineRule="auto" w:line="288" w:before="0" w:after="0"/>
        <w:rPr>
          <w:rFonts w:ascii="Helvetica;sans-serif" w:hAnsi="Helvetica;sans-serif"/>
          <w:b w:val="false"/>
          <w:color w:val="000000"/>
          <w:sz w:val="24"/>
        </w:rPr>
      </w:pPr>
      <w:r>
        <w:rPr>
          <w:rFonts w:ascii="Helvetica;sans-serif" w:hAnsi="Helvetica;sans-serif"/>
          <w:b w:val="false"/>
          <w:color w:val="000000"/>
          <w:sz w:val="24"/>
        </w:rPr>
        <w:t>Comcast Corporation</w:t>
      </w:r>
    </w:p>
    <w:p>
      <w:pPr>
        <w:pStyle w:val="TextBody"/>
        <w:spacing w:lineRule="auto" w:line="288" w:before="210" w:after="283"/>
        <w:rPr>
          <w:rFonts w:ascii="Helvetica;sans-serif" w:hAnsi="Helvetica;sans-serif"/>
          <w:b/>
          <w:color w:val="000000"/>
          <w:sz w:val="24"/>
        </w:rPr>
      </w:pPr>
      <w:r>
        <w:rPr>
          <w:rFonts w:ascii="Helvetica;sans-serif" w:hAnsi="Helvetica;sans-serif"/>
          <w:b/>
          <w:color w:val="000000"/>
          <w:sz w:val="24"/>
        </w:rPr>
        <w:t>Note 3: Revenue</w:t>
      </w:r>
    </w:p>
    <w:tbl>
      <w:tblPr>
        <w:tblW w:w="6879" w:type="dxa"/>
        <w:jc w:val="left"/>
        <w:tblInd w:w="0" w:type="dxa"/>
        <w:tblCellMar>
          <w:top w:w="28" w:type="dxa"/>
          <w:left w:w="28" w:type="dxa"/>
          <w:bottom w:w="28" w:type="dxa"/>
          <w:right w:w="28" w:type="dxa"/>
        </w:tblCellMar>
      </w:tblPr>
      <w:tblGrid>
        <w:gridCol w:w="1326"/>
        <w:gridCol w:w="1163"/>
        <w:gridCol w:w="1171"/>
        <w:gridCol w:w="109"/>
        <w:gridCol w:w="109"/>
        <w:gridCol w:w="134"/>
        <w:gridCol w:w="134"/>
        <w:gridCol w:w="261"/>
        <w:gridCol w:w="910"/>
        <w:gridCol w:w="134"/>
        <w:gridCol w:w="109"/>
        <w:gridCol w:w="109"/>
        <w:gridCol w:w="109"/>
        <w:gridCol w:w="211"/>
        <w:gridCol w:w="736"/>
        <w:gridCol w:w="154"/>
      </w:tblGrid>
      <w:tr>
        <w:trPr/>
        <w:tc>
          <w:tcPr>
            <w:tcW w:w="1326"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3"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br/>
              <w:t>March 31,</w:t>
            </w:r>
          </w:p>
        </w:tc>
        <w:tc>
          <w:tcPr>
            <w:tcW w:w="1428" w:type="dxa"/>
            <w:gridSpan w:val="6"/>
            <w:tcBorders/>
            <w:shd w:fill="auto" w:val="clear"/>
          </w:tcPr>
          <w:p>
            <w:pPr>
              <w:pStyle w:val="TableContents"/>
              <w:spacing w:before="0" w:after="283"/>
              <w:rPr>
                <w:sz w:val="4"/>
                <w:szCs w:val="4"/>
              </w:rPr>
            </w:pPr>
            <w:r>
              <w:rPr>
                <w:sz w:val="4"/>
                <w:szCs w:val="4"/>
              </w:rPr>
            </w:r>
          </w:p>
        </w:tc>
      </w:tr>
      <w:tr>
        <w:trPr/>
        <w:tc>
          <w:tcPr>
            <w:tcW w:w="36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r>
      <w:tr>
        <w:trPr/>
        <w:tc>
          <w:tcPr>
            <w:tcW w:w="36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 broadband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 wireless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connectivity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residential connectivity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Video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7,382 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Residential Connectivity &amp; Platforms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Business Services Connectivity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Connectivity &amp; Platforms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 advertising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 distribution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networks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Media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licensing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Theatrical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Studios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Theme Parks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Headquarters and 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Eliminations</w:t>
            </w:r>
            <w:r>
              <w:rPr>
                <w:rFonts w:ascii="Times New Roman;sans-serif" w:hAnsi="Times New Roman;sans-serif"/>
                <w:b w:val="false"/>
                <w:color w:val="000000"/>
                <w:sz w:val="13"/>
              </w:rPr>
              <w: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Content &amp; Experiences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Eliminations</w:t>
            </w:r>
            <w:r>
              <w:rPr>
                <w:rFonts w:ascii="Times New Roman;sans-serif" w:hAnsi="Times New Roman;sans-serif"/>
                <w:b w:val="false"/>
                <w:color w:val="000000"/>
                <w:sz w:val="13"/>
              </w:rPr>
              <w: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6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29,691</w:t>
            </w:r>
            <w:r>
              <w:rPr>
                <w:color w:val="000000"/>
              </w:rPr>
              <w:t> </w:t>
            </w:r>
          </w:p>
        </w:tc>
        <w:tc>
          <w:tcPr>
            <w:tcW w:w="13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31,010</w:t>
            </w: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(a)Included in Eliminations are transactions that our segments enter into with one another. See Note 2 for a description of these transactions.</w:t>
      </w:r>
    </w:p>
    <w:p>
      <w:pPr>
        <w:pStyle w:val="TextBody"/>
        <w:spacing w:lineRule="auto" w:line="288" w:before="0" w:after="120"/>
        <w:rPr>
          <w:rFonts w:ascii="Helvetica;sans-serif" w:hAnsi="Helvetica;sans-serif"/>
          <w:b/>
          <w:color w:val="000000"/>
          <w:sz w:val="20"/>
        </w:rPr>
      </w:pPr>
      <w:r>
        <w:rPr>
          <w:rFonts w:ascii="Helvetica;sans-serif" w:hAnsi="Helvetica;sans-serif"/>
          <w:b/>
          <w:color w:val="000000"/>
          <w:sz w:val="20"/>
        </w:rPr>
        <w:t>Condensed Consolidated Balance Sheet</w:t>
      </w:r>
    </w:p>
    <w:p>
      <w:pPr>
        <w:pStyle w:val="TextBody"/>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our accounts receivable and other balances that are not separately presented in our condensed consolidated balance sheet that relate to the recognition of revenue and collection of the related cash.</w:t>
      </w:r>
    </w:p>
    <w:tbl>
      <w:tblPr>
        <w:tblW w:w="5267" w:type="dxa"/>
        <w:jc w:val="left"/>
        <w:tblInd w:w="0" w:type="dxa"/>
        <w:tblCellMar>
          <w:top w:w="28" w:type="dxa"/>
          <w:left w:w="28" w:type="dxa"/>
          <w:bottom w:w="28" w:type="dxa"/>
          <w:right w:w="28" w:type="dxa"/>
        </w:tblCellMar>
      </w:tblPr>
      <w:tblGrid>
        <w:gridCol w:w="998"/>
        <w:gridCol w:w="876"/>
        <w:gridCol w:w="886"/>
        <w:gridCol w:w="211"/>
        <w:gridCol w:w="736"/>
        <w:gridCol w:w="109"/>
        <w:gridCol w:w="109"/>
        <w:gridCol w:w="109"/>
        <w:gridCol w:w="109"/>
        <w:gridCol w:w="215"/>
        <w:gridCol w:w="752"/>
        <w:gridCol w:w="157"/>
      </w:tblGrid>
      <w:tr>
        <w:trPr/>
        <w:tc>
          <w:tcPr>
            <w:tcW w:w="998"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31,</w:t>
              <w:br/>
              <w:t>2022</w:t>
            </w:r>
          </w:p>
        </w:tc>
      </w:tr>
      <w:tr>
        <w:trPr/>
        <w:tc>
          <w:tcPr>
            <w:tcW w:w="27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gross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Receivables, net</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12,287</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12,672</w:t>
            </w:r>
            <w:r>
              <w:rPr>
                <w:color w:val="000000"/>
              </w:rPr>
              <w:t> </w:t>
            </w:r>
          </w:p>
        </w:tc>
        <w:tc>
          <w:tcPr>
            <w:tcW w:w="15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r>
    </w:tbl>
    <w:tbl>
      <w:tblPr>
        <w:tblW w:w="8133" w:type="dxa"/>
        <w:jc w:val="left"/>
        <w:tblInd w:w="0" w:type="dxa"/>
        <w:tblCellMar>
          <w:top w:w="28" w:type="dxa"/>
          <w:left w:w="28" w:type="dxa"/>
          <w:bottom w:w="28" w:type="dxa"/>
          <w:right w:w="28" w:type="dxa"/>
        </w:tblCellMar>
      </w:tblPr>
      <w:tblGrid>
        <w:gridCol w:w="2078"/>
        <w:gridCol w:w="1823"/>
        <w:gridCol w:w="1844"/>
        <w:gridCol w:w="211"/>
        <w:gridCol w:w="616"/>
        <w:gridCol w:w="109"/>
        <w:gridCol w:w="109"/>
        <w:gridCol w:w="109"/>
        <w:gridCol w:w="109"/>
        <w:gridCol w:w="242"/>
        <w:gridCol w:w="707"/>
        <w:gridCol w:w="176"/>
      </w:tblGrid>
      <w:tr>
        <w:trPr/>
        <w:tc>
          <w:tcPr>
            <w:tcW w:w="2078" w:type="dxa"/>
            <w:tcBorders/>
            <w:shd w:fill="auto" w:val="clear"/>
            <w:vAlign w:val="center"/>
          </w:tcPr>
          <w:p>
            <w:pPr>
              <w:pStyle w:val="TableContents"/>
              <w:spacing w:before="0" w:after="283"/>
              <w:rPr>
                <w:sz w:val="4"/>
                <w:szCs w:val="4"/>
              </w:rPr>
            </w:pPr>
            <w:r>
              <w:rPr>
                <w:sz w:val="4"/>
                <w:szCs w:val="4"/>
              </w:rPr>
            </w:r>
          </w:p>
        </w:tc>
        <w:tc>
          <w:tcPr>
            <w:tcW w:w="1823" w:type="dxa"/>
            <w:tcBorders/>
            <w:shd w:fill="auto" w:val="clear"/>
            <w:vAlign w:val="center"/>
          </w:tcPr>
          <w:p>
            <w:pPr>
              <w:pStyle w:val="TableContents"/>
              <w:spacing w:before="0" w:after="283"/>
              <w:rPr>
                <w:sz w:val="4"/>
                <w:szCs w:val="4"/>
              </w:rPr>
            </w:pPr>
            <w:r>
              <w:rPr>
                <w:sz w:val="4"/>
                <w:szCs w:val="4"/>
              </w:rPr>
            </w:r>
          </w:p>
        </w:tc>
        <w:tc>
          <w:tcPr>
            <w:tcW w:w="184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31,</w:t>
              <w:br/>
              <w:t>2022</w:t>
            </w:r>
          </w:p>
        </w:tc>
      </w:tr>
      <w:tr>
        <w:trPr/>
        <w:tc>
          <w:tcPr>
            <w:tcW w:w="57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receivables, net (included in other noncurrent assets,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deferred revenue (included in other noncurrent liabilities)</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42"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176"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84785"/>
                <wp:effectExtent l="0" t="0" r="0" b="0"/>
                <wp:wrapNone/>
                <wp:docPr id="14" name="Frame13"/>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jc w:val="both"/>
        <w:rPr/>
      </w:pPr>
      <w:hyperlink w:anchor="i6cbedffc79ba431f8c6c5489cc9b606c_7">
        <w:r>
          <w:rPr>
            <w:rStyle w:val="InternetLink"/>
            <w:rFonts w:ascii="Times New Roman;sans-serif" w:hAnsi="Times New Roman;sans-serif"/>
            <w:b/>
            <w:color w:val="0000FF"/>
            <w:sz w:val="20"/>
            <w:u w:val="single"/>
          </w:rPr>
          <w:t>Table of Contents</w:t>
        </w:r>
      </w:hyperlink>
    </w:p>
    <w:p>
      <w:pPr>
        <w:pStyle w:val="TextBody"/>
        <w:spacing w:before="0" w:after="0"/>
        <w:jc w:val="both"/>
        <w:rPr/>
      </w:pPr>
      <w:r>
        <w:rPr/>
      </w:r>
    </w:p>
    <w:p>
      <w:pPr>
        <w:pStyle w:val="TextBody"/>
        <w:spacing w:lineRule="auto" w:line="288" w:before="0" w:after="0"/>
        <w:rPr>
          <w:rFonts w:ascii="Helvetica;sans-serif" w:hAnsi="Helvetica;sans-serif"/>
          <w:b w:val="false"/>
          <w:color w:val="000000"/>
          <w:sz w:val="24"/>
        </w:rPr>
      </w:pPr>
      <w:r>
        <w:rPr>
          <w:rFonts w:ascii="Helvetica;sans-serif" w:hAnsi="Helvetica;sans-serif"/>
          <w:b w:val="false"/>
          <w:color w:val="000000"/>
          <w:sz w:val="24"/>
        </w:rPr>
        <w:t>Comcast Corporation</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accounts receivables include amounts not yet billed related to equipment installment plans, as summarized in the table below.</w:t>
      </w:r>
    </w:p>
    <w:tbl>
      <w:tblPr>
        <w:tblW w:w="8087" w:type="dxa"/>
        <w:jc w:val="left"/>
        <w:tblInd w:w="0" w:type="dxa"/>
        <w:tblCellMar>
          <w:top w:w="28" w:type="dxa"/>
          <w:left w:w="28" w:type="dxa"/>
          <w:bottom w:w="28" w:type="dxa"/>
          <w:right w:w="28" w:type="dxa"/>
        </w:tblCellMar>
      </w:tblPr>
      <w:tblGrid>
        <w:gridCol w:w="2055"/>
        <w:gridCol w:w="1805"/>
        <w:gridCol w:w="1824"/>
        <w:gridCol w:w="211"/>
        <w:gridCol w:w="631"/>
        <w:gridCol w:w="109"/>
        <w:gridCol w:w="109"/>
        <w:gridCol w:w="109"/>
        <w:gridCol w:w="109"/>
        <w:gridCol w:w="238"/>
        <w:gridCol w:w="713"/>
        <w:gridCol w:w="174"/>
      </w:tblGrid>
      <w:tr>
        <w:trPr/>
        <w:tc>
          <w:tcPr>
            <w:tcW w:w="2055" w:type="dxa"/>
            <w:tcBorders/>
            <w:shd w:fill="auto" w:val="clear"/>
            <w:vAlign w:val="center"/>
          </w:tcPr>
          <w:p>
            <w:pPr>
              <w:pStyle w:val="TableContents"/>
              <w:spacing w:before="0" w:after="283"/>
              <w:rPr>
                <w:sz w:val="4"/>
                <w:szCs w:val="4"/>
              </w:rPr>
            </w:pPr>
            <w:r>
              <w:rPr>
                <w:sz w:val="4"/>
                <w:szCs w:val="4"/>
              </w:rPr>
            </w:r>
          </w:p>
        </w:tc>
        <w:tc>
          <w:tcPr>
            <w:tcW w:w="1805" w:type="dxa"/>
            <w:tcBorders/>
            <w:shd w:fill="auto" w:val="clear"/>
            <w:vAlign w:val="center"/>
          </w:tcPr>
          <w:p>
            <w:pPr>
              <w:pStyle w:val="TableContents"/>
              <w:spacing w:before="0" w:after="283"/>
              <w:rPr>
                <w:sz w:val="4"/>
                <w:szCs w:val="4"/>
              </w:rPr>
            </w:pPr>
            <w:r>
              <w:rPr>
                <w:sz w:val="4"/>
                <w:szCs w:val="4"/>
              </w:rPr>
            </w:r>
          </w:p>
        </w:tc>
        <w:tc>
          <w:tcPr>
            <w:tcW w:w="18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5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31,</w:t>
              <w:br/>
              <w:t>2022</w:t>
            </w:r>
          </w:p>
        </w:tc>
      </w:tr>
      <w:tr>
        <w:trPr/>
        <w:tc>
          <w:tcPr>
            <w:tcW w:w="56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receivables, net (included in other noncurrent assets, net)</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568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2,458</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1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2,411</w:t>
            </w:r>
            <w:r>
              <w:rPr>
                <w:color w:val="000000"/>
              </w:rPr>
              <w:t> </w:t>
            </w:r>
          </w:p>
        </w:tc>
        <w:tc>
          <w:tcPr>
            <w:tcW w:w="17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10" w:after="283"/>
        <w:rPr>
          <w:rFonts w:ascii="Helvetica;sans-serif" w:hAnsi="Helvetica;sans-serif"/>
          <w:b/>
          <w:color w:val="000000"/>
          <w:sz w:val="24"/>
        </w:rPr>
      </w:pPr>
      <w:r>
        <w:rPr>
          <w:rFonts w:ascii="Helvetica;sans-serif" w:hAnsi="Helvetica;sans-serif"/>
          <w:b/>
          <w:color w:val="000000"/>
          <w:sz w:val="24"/>
        </w:rPr>
        <w:t>Note 4: Programming and Production Costs</w:t>
      </w:r>
    </w:p>
    <w:tbl>
      <w:tblPr>
        <w:tblW w:w="6833" w:type="dxa"/>
        <w:jc w:val="center"/>
        <w:tblInd w:w="0" w:type="dxa"/>
        <w:tblCellMar>
          <w:top w:w="28" w:type="dxa"/>
          <w:left w:w="28" w:type="dxa"/>
          <w:bottom w:w="28" w:type="dxa"/>
          <w:right w:w="28" w:type="dxa"/>
        </w:tblCellMar>
      </w:tblPr>
      <w:tblGrid>
        <w:gridCol w:w="1308"/>
        <w:gridCol w:w="1148"/>
        <w:gridCol w:w="1159"/>
        <w:gridCol w:w="109"/>
        <w:gridCol w:w="109"/>
        <w:gridCol w:w="146"/>
        <w:gridCol w:w="146"/>
        <w:gridCol w:w="284"/>
        <w:gridCol w:w="850"/>
        <w:gridCol w:w="146"/>
        <w:gridCol w:w="109"/>
        <w:gridCol w:w="109"/>
        <w:gridCol w:w="109"/>
        <w:gridCol w:w="211"/>
        <w:gridCol w:w="736"/>
        <w:gridCol w:w="154"/>
      </w:tblGrid>
      <w:tr>
        <w:trPr/>
        <w:tc>
          <w:tcPr>
            <w:tcW w:w="1308"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2"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br/>
              <w:t>March 31,</w:t>
            </w:r>
          </w:p>
        </w:tc>
        <w:tc>
          <w:tcPr>
            <w:tcW w:w="1428" w:type="dxa"/>
            <w:gridSpan w:val="6"/>
            <w:tcBorders/>
            <w:shd w:fill="auto" w:val="clear"/>
          </w:tcPr>
          <w:p>
            <w:pPr>
              <w:pStyle w:val="TableContents"/>
              <w:spacing w:before="0" w:after="283"/>
              <w:rPr>
                <w:sz w:val="4"/>
                <w:szCs w:val="4"/>
              </w:rPr>
            </w:pPr>
            <w:r>
              <w:rPr>
                <w:sz w:val="4"/>
                <w:szCs w:val="4"/>
              </w:rPr>
            </w:r>
          </w:p>
        </w:tc>
      </w:tr>
      <w:tr>
        <w:trPr/>
        <w:tc>
          <w:tcPr>
            <w:tcW w:w="361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r>
      <w:tr>
        <w:trPr/>
        <w:tc>
          <w:tcPr>
            <w:tcW w:w="36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Video distribution programming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Film and television content: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Owned</w:t>
            </w:r>
            <w:r>
              <w:rPr>
                <w:rFonts w:ascii="Times New Roman;sans-serif" w:hAnsi="Times New Roman;sans-serif"/>
                <w:b w:val="false"/>
                <w:color w:val="000000"/>
                <w:sz w:val="13"/>
              </w:rPr>
              <w: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w:t>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r>
              <w:rPr>
                <w:rFonts w:ascii="Times New Roman;sans-serif" w:hAnsi="Times New Roman;sans-serif"/>
                <w:b w:val="false"/>
                <w:color w:val="000000"/>
                <w:sz w:val="20"/>
              </w:rPr>
              <w:t>Licensed, including sports rights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w:t>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r>
      <w:tr>
        <w:trPr/>
        <w:tc>
          <w:tcPr>
            <w:tcW w:w="361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Total programming and production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9,004</w:t>
            </w:r>
            <w:r>
              <w:rPr>
                <w:color w:val="000000"/>
              </w:rPr>
              <w:t> </w:t>
            </w:r>
          </w:p>
        </w:tc>
        <w:tc>
          <w:tcPr>
            <w:tcW w:w="1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10,570</w:t>
            </w: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60"/>
        <w:jc w:val="both"/>
        <w:rPr>
          <w:rFonts w:ascii="Times New Roman;sans-serif" w:hAnsi="Times New Roman;sans-serif"/>
          <w:b w:val="false"/>
          <w:color w:val="000000"/>
          <w:sz w:val="16"/>
        </w:rPr>
      </w:pPr>
      <w:r>
        <w:rPr>
          <w:rFonts w:ascii="Times New Roman;sans-serif" w:hAnsi="Times New Roman;sans-serif"/>
          <w:b w:val="false"/>
          <w:color w:val="000000"/>
          <w:sz w:val="16"/>
        </w:rPr>
        <w:t>(a) Amount includes amortization of owned content of $2.2 billion and $2.0 billion for the three months ended March 31, 2023 and 2022, respectively, as well as participations and residuals expenses.</w:t>
      </w:r>
    </w:p>
    <w:p>
      <w:pPr>
        <w:pStyle w:val="TextBody"/>
        <w:spacing w:lineRule="auto" w:line="288" w:before="180" w:after="120"/>
        <w:jc w:val="center"/>
        <w:rPr>
          <w:rFonts w:ascii="Helvetica;sans-serif" w:hAnsi="Helvetica;sans-serif"/>
          <w:b/>
          <w:color w:val="000000"/>
          <w:sz w:val="20"/>
        </w:rPr>
      </w:pPr>
      <w:r>
        <w:rPr>
          <w:rFonts w:ascii="Helvetica;sans-serif" w:hAnsi="Helvetica;sans-serif"/>
          <w:b/>
          <w:color w:val="000000"/>
          <w:sz w:val="20"/>
        </w:rPr>
        <w:t>Capitalized Film and Television Costs</w:t>
      </w:r>
    </w:p>
    <w:tbl>
      <w:tblPr>
        <w:tblW w:w="6002" w:type="dxa"/>
        <w:jc w:val="left"/>
        <w:tblInd w:w="0" w:type="dxa"/>
        <w:tblCellMar>
          <w:top w:w="28" w:type="dxa"/>
          <w:left w:w="28" w:type="dxa"/>
          <w:bottom w:w="28" w:type="dxa"/>
          <w:right w:w="28" w:type="dxa"/>
        </w:tblCellMar>
      </w:tblPr>
      <w:tblGrid>
        <w:gridCol w:w="1151"/>
        <w:gridCol w:w="952"/>
        <w:gridCol w:w="956"/>
        <w:gridCol w:w="211"/>
        <w:gridCol w:w="736"/>
        <w:gridCol w:w="109"/>
        <w:gridCol w:w="109"/>
        <w:gridCol w:w="109"/>
        <w:gridCol w:w="109"/>
        <w:gridCol w:w="215"/>
        <w:gridCol w:w="753"/>
        <w:gridCol w:w="111"/>
        <w:gridCol w:w="109"/>
        <w:gridCol w:w="109"/>
        <w:gridCol w:w="109"/>
        <w:gridCol w:w="154"/>
      </w:tblGrid>
      <w:tr>
        <w:trPr/>
        <w:tc>
          <w:tcPr>
            <w:tcW w:w="1151"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31,</w:t>
              <w:b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production and in development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Completed, not released</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 less amortization</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4,634 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Licensed, including sports advances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Film and television costs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12,612</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12,560</w:t>
            </w:r>
            <w:r>
              <w:rPr>
                <w:color w:val="000000"/>
              </w:rPr>
              <w:t> </w:t>
            </w:r>
          </w:p>
        </w:tc>
        <w:tc>
          <w:tcPr>
            <w:tcW w:w="1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10" w:after="120"/>
        <w:rPr>
          <w:rFonts w:ascii="Helvetica;sans-serif" w:hAnsi="Helvetica;sans-serif"/>
          <w:b/>
          <w:color w:val="000000"/>
          <w:sz w:val="24"/>
        </w:rPr>
      </w:pPr>
      <w:r>
        <w:rPr>
          <w:rFonts w:ascii="Helvetica;sans-serif" w:hAnsi="Helvetica;sans-serif"/>
          <w:b/>
          <w:color w:val="000000"/>
          <w:sz w:val="24"/>
        </w:rPr>
        <w:t>Note 5: Long-Term Debt</w:t>
      </w:r>
    </w:p>
    <w:p>
      <w:pPr>
        <w:pStyle w:val="TextBody"/>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our debt had a carrying value of $95.5 billion and an estimated fair value of $89.9 billion. As of December 31, 2022, our debt had a carrying value of $94.8 billion and an estimated fair value of $86.9 billion. The estimated fair value of our publicly traded debt was primarily based on Level 1 inputs that use quoted market value for the debt. The estimated fair value of debt for which there are no quoted market prices was based on Level 2 inputs that use interest rates available to us for debt with similar terms and remaining maturities.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10" w:after="283"/>
        <w:rPr>
          <w:rFonts w:ascii="Helvetica;sans-serif" w:hAnsi="Helvetica;sans-serif"/>
          <w:b/>
          <w:color w:val="000000"/>
          <w:sz w:val="24"/>
          <w:highlight w:val="white"/>
        </w:rPr>
      </w:pPr>
      <w:r>
        <w:rPr>
          <w:rFonts w:ascii="Helvetica;sans-serif" w:hAnsi="Helvetica;sans-serif"/>
          <w:b/>
          <w:color w:val="000000"/>
          <w:sz w:val="24"/>
          <w:highlight w:val="white"/>
        </w:rPr>
        <w:t>Note 6: Investments and Variable Interest Entities</w:t>
      </w:r>
    </w:p>
    <w:p>
      <w:pPr>
        <w:pStyle w:val="TextBody"/>
        <w:spacing w:lineRule="auto" w:line="288" w:before="60" w:after="120"/>
        <w:jc w:val="center"/>
        <w:rPr>
          <w:rFonts w:ascii="Helvetica;sans-serif" w:hAnsi="Helvetica;sans-serif"/>
          <w:b/>
          <w:color w:val="000000"/>
          <w:sz w:val="20"/>
        </w:rPr>
      </w:pPr>
      <w:r>
        <w:rPr>
          <w:rFonts w:ascii="Helvetica;sans-serif" w:hAnsi="Helvetica;sans-serif"/>
          <w:b/>
          <w:color w:val="000000"/>
          <w:sz w:val="20"/>
        </w:rPr>
        <w:t>Investment and Other Income (Loss), Net</w:t>
      </w:r>
    </w:p>
    <w:tbl>
      <w:tblPr>
        <w:tblW w:w="8154" w:type="dxa"/>
        <w:jc w:val="center"/>
        <w:tblInd w:w="0" w:type="dxa"/>
        <w:tblCellMar>
          <w:top w:w="28" w:type="dxa"/>
          <w:left w:w="28" w:type="dxa"/>
          <w:bottom w:w="28" w:type="dxa"/>
          <w:right w:w="28" w:type="dxa"/>
        </w:tblCellMar>
      </w:tblPr>
      <w:tblGrid>
        <w:gridCol w:w="1881"/>
        <w:gridCol w:w="1652"/>
        <w:gridCol w:w="1657"/>
        <w:gridCol w:w="109"/>
        <w:gridCol w:w="109"/>
        <w:gridCol w:w="168"/>
        <w:gridCol w:w="168"/>
        <w:gridCol w:w="326"/>
        <w:gridCol w:w="743"/>
        <w:gridCol w:w="168"/>
        <w:gridCol w:w="109"/>
        <w:gridCol w:w="109"/>
        <w:gridCol w:w="109"/>
        <w:gridCol w:w="211"/>
        <w:gridCol w:w="481"/>
        <w:gridCol w:w="154"/>
      </w:tblGrid>
      <w:tr>
        <w:trPr/>
        <w:tc>
          <w:tcPr>
            <w:tcW w:w="1881" w:type="dxa"/>
            <w:tcBorders/>
            <w:shd w:fill="auto" w:val="clear"/>
            <w:vAlign w:val="center"/>
          </w:tcPr>
          <w:p>
            <w:pPr>
              <w:pStyle w:val="TableContents"/>
              <w:spacing w:before="0" w:after="283"/>
              <w:rPr>
                <w:sz w:val="4"/>
                <w:szCs w:val="4"/>
              </w:rPr>
            </w:pPr>
            <w:r>
              <w:rPr>
                <w:sz w:val="4"/>
                <w:szCs w:val="4"/>
              </w:rPr>
            </w:r>
          </w:p>
        </w:tc>
        <w:tc>
          <w:tcPr>
            <w:tcW w:w="1652" w:type="dxa"/>
            <w:tcBorders/>
            <w:shd w:fill="auto" w:val="clear"/>
            <w:vAlign w:val="center"/>
          </w:tcPr>
          <w:p>
            <w:pPr>
              <w:pStyle w:val="TableContents"/>
              <w:spacing w:before="0" w:after="283"/>
              <w:rPr>
                <w:sz w:val="4"/>
                <w:szCs w:val="4"/>
              </w:rPr>
            </w:pPr>
            <w:r>
              <w:rPr>
                <w:sz w:val="4"/>
                <w:szCs w:val="4"/>
              </w:rPr>
            </w:r>
          </w:p>
        </w:tc>
        <w:tc>
          <w:tcPr>
            <w:tcW w:w="16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3"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br/>
              <w:t>March 31,</w:t>
            </w:r>
          </w:p>
        </w:tc>
        <w:tc>
          <w:tcPr>
            <w:tcW w:w="1173" w:type="dxa"/>
            <w:gridSpan w:val="6"/>
            <w:tcBorders/>
            <w:shd w:fill="auto" w:val="clear"/>
          </w:tcPr>
          <w:p>
            <w:pPr>
              <w:pStyle w:val="TableContents"/>
              <w:spacing w:before="0" w:after="283"/>
              <w:rPr>
                <w:sz w:val="4"/>
                <w:szCs w:val="4"/>
              </w:rPr>
            </w:pPr>
            <w:r>
              <w:rPr>
                <w:sz w:val="4"/>
                <w:szCs w:val="4"/>
              </w:rPr>
            </w:r>
          </w:p>
        </w:tc>
      </w:tr>
      <w:tr>
        <w:trPr/>
        <w:tc>
          <w:tcPr>
            <w:tcW w:w="51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2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r>
      <w:tr>
        <w:trPr/>
        <w:tc>
          <w:tcPr>
            <w:tcW w:w="51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net income (losses) of investees,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Realized and unrealized gains (losses) on equity securities,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(loss),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Investment and other income (loss),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3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607</w:t>
            </w:r>
            <w:r>
              <w:rPr>
                <w:color w:val="000000"/>
              </w:rPr>
              <w:t> </w:t>
            </w:r>
          </w:p>
        </w:tc>
        <w:tc>
          <w:tcPr>
            <w:tcW w:w="16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188</w:t>
            </w: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of unrealized gains (losses), net recognized in the three months ended March 31, 2023 and 2022 that related to marketable and nonmarketable equity securities still held as of the end of each reporting period was $(24) million and $90 million, respectively.</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84785"/>
                <wp:effectExtent l="0" t="0" r="0" b="0"/>
                <wp:wrapNone/>
                <wp:docPr id="15" name="Frame14"/>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jc w:val="both"/>
        <w:rPr/>
      </w:pPr>
      <w:hyperlink w:anchor="i6cbedffc79ba431f8c6c5489cc9b606c_7">
        <w:r>
          <w:rPr>
            <w:rStyle w:val="InternetLink"/>
            <w:rFonts w:ascii="Times New Roman;sans-serif" w:hAnsi="Times New Roman;sans-serif"/>
            <w:b/>
            <w:color w:val="0000FF"/>
            <w:sz w:val="20"/>
            <w:u w:val="single"/>
          </w:rPr>
          <w:t>Table of Contents</w:t>
        </w:r>
      </w:hyperlink>
    </w:p>
    <w:p>
      <w:pPr>
        <w:pStyle w:val="TextBody"/>
        <w:spacing w:before="0" w:after="0"/>
        <w:jc w:val="both"/>
        <w:rPr/>
      </w:pPr>
      <w:r>
        <w:rPr/>
      </w:r>
    </w:p>
    <w:p>
      <w:pPr>
        <w:pStyle w:val="TextBody"/>
        <w:spacing w:lineRule="auto" w:line="288" w:before="0" w:after="0"/>
        <w:rPr>
          <w:rFonts w:ascii="Helvetica;sans-serif" w:hAnsi="Helvetica;sans-serif"/>
          <w:b w:val="false"/>
          <w:color w:val="000000"/>
          <w:sz w:val="24"/>
        </w:rPr>
      </w:pPr>
      <w:r>
        <w:rPr>
          <w:rFonts w:ascii="Helvetica;sans-serif" w:hAnsi="Helvetica;sans-serif"/>
          <w:b w:val="false"/>
          <w:color w:val="000000"/>
          <w:sz w:val="24"/>
        </w:rPr>
        <w:t>Comcast Corporation</w:t>
      </w:r>
    </w:p>
    <w:p>
      <w:pPr>
        <w:pStyle w:val="TextBody"/>
        <w:spacing w:lineRule="auto" w:line="288" w:before="210" w:after="120"/>
        <w:jc w:val="center"/>
        <w:rPr>
          <w:rFonts w:ascii="Helvetica;sans-serif" w:hAnsi="Helvetica;sans-serif"/>
          <w:b/>
          <w:color w:val="000000"/>
          <w:sz w:val="20"/>
        </w:rPr>
      </w:pPr>
      <w:r>
        <w:rPr>
          <w:rFonts w:ascii="Helvetica;sans-serif" w:hAnsi="Helvetica;sans-serif"/>
          <w:b/>
          <w:color w:val="000000"/>
          <w:sz w:val="20"/>
        </w:rPr>
        <w:t>Investments</w:t>
      </w:r>
    </w:p>
    <w:tbl>
      <w:tblPr>
        <w:tblW w:w="7113" w:type="dxa"/>
        <w:jc w:val="left"/>
        <w:tblInd w:w="0" w:type="dxa"/>
        <w:tblCellMar>
          <w:top w:w="28" w:type="dxa"/>
          <w:left w:w="28" w:type="dxa"/>
          <w:bottom w:w="28" w:type="dxa"/>
          <w:right w:w="28" w:type="dxa"/>
        </w:tblCellMar>
      </w:tblPr>
      <w:tblGrid>
        <w:gridCol w:w="1550"/>
        <w:gridCol w:w="1360"/>
        <w:gridCol w:w="1365"/>
        <w:gridCol w:w="211"/>
        <w:gridCol w:w="631"/>
        <w:gridCol w:w="109"/>
        <w:gridCol w:w="109"/>
        <w:gridCol w:w="109"/>
        <w:gridCol w:w="109"/>
        <w:gridCol w:w="239"/>
        <w:gridCol w:w="717"/>
        <w:gridCol w:w="123"/>
        <w:gridCol w:w="109"/>
        <w:gridCol w:w="109"/>
        <w:gridCol w:w="109"/>
        <w:gridCol w:w="154"/>
      </w:tblGrid>
      <w:tr>
        <w:trPr/>
        <w:tc>
          <w:tcPr>
            <w:tcW w:w="1550" w:type="dxa"/>
            <w:tcBorders/>
            <w:shd w:fill="auto" w:val="clear"/>
            <w:vAlign w:val="center"/>
          </w:tcPr>
          <w:p>
            <w:pPr>
              <w:pStyle w:val="TableContents"/>
              <w:spacing w:before="0" w:after="283"/>
              <w:rPr>
                <w:sz w:val="4"/>
                <w:szCs w:val="4"/>
              </w:rPr>
            </w:pPr>
            <w:r>
              <w:rPr>
                <w:sz w:val="4"/>
                <w:szCs w:val="4"/>
              </w:rPr>
            </w:r>
          </w:p>
        </w:tc>
        <w:tc>
          <w:tcPr>
            <w:tcW w:w="1360" w:type="dxa"/>
            <w:tcBorders/>
            <w:shd w:fill="auto" w:val="clear"/>
            <w:vAlign w:val="center"/>
          </w:tcPr>
          <w:p>
            <w:pPr>
              <w:pStyle w:val="TableContents"/>
              <w:spacing w:before="0" w:after="283"/>
              <w:rPr>
                <w:sz w:val="4"/>
                <w:szCs w:val="4"/>
              </w:rPr>
            </w:pPr>
            <w:r>
              <w:rPr>
                <w:sz w:val="4"/>
                <w:szCs w:val="4"/>
              </w:rPr>
            </w:r>
          </w:p>
        </w:tc>
        <w:tc>
          <w:tcPr>
            <w:tcW w:w="136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31,</w:t>
              <w:b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equity securities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Nonmarketable equity securities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investments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Investment securing collateralized obligation</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investments</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7,834</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1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7,250</w:t>
            </w:r>
            <w:r>
              <w:rPr>
                <w:color w:val="000000"/>
              </w:rPr>
              <w:t> </w:t>
            </w:r>
          </w:p>
        </w:tc>
        <w:tc>
          <w:tcPr>
            <w:tcW w:w="12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80" w:after="120"/>
        <w:rPr/>
      </w:pPr>
      <w:r>
        <w:rPr>
          <w:rFonts w:ascii="Helvetica;sans-serif" w:hAnsi="Helvetica;sans-serif"/>
          <w:b/>
          <w:color w:val="000000"/>
          <w:sz w:val="20"/>
        </w:rPr>
        <w:t>Equity Me</w:t>
      </w:r>
      <w:r>
        <w:rPr>
          <w:rFonts w:ascii="Helvetica;sans-serif" w:hAnsi="Helvetica;sans-serif"/>
          <w:b/>
          <w:color w:val="000000"/>
          <w:sz w:val="20"/>
          <w:highlight w:val="white"/>
        </w:rPr>
        <w:t>thod Investments</w:t>
      </w:r>
    </w:p>
    <w:p>
      <w:pPr>
        <w:pStyle w:val="TextBody"/>
        <w:spacing w:lineRule="auto" w:line="288" w:before="80" w:after="1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amount of cash distributions received from equity method investments presented within operating activities in the condensed consolidated statements of cash flows in the three months ended March 31, 2023 and 2022 was $20 million and $32 million, respectively.</w:t>
      </w:r>
    </w:p>
    <w:p>
      <w:pPr>
        <w:pStyle w:val="TextBody"/>
        <w:spacing w:lineRule="auto" w:line="288" w:before="60" w:after="60"/>
        <w:jc w:val="both"/>
        <w:rPr>
          <w:rFonts w:ascii="Helvetica;sans-serif" w:hAnsi="Helvetica;sans-serif"/>
          <w:b/>
          <w:i/>
          <w:color w:val="000000"/>
          <w:sz w:val="20"/>
          <w:highlight w:val="white"/>
        </w:rPr>
      </w:pPr>
      <w:r>
        <w:rPr>
          <w:rFonts w:ascii="Helvetica;sans-serif" w:hAnsi="Helvetica;sans-serif"/>
          <w:b/>
          <w:i/>
          <w:color w:val="000000"/>
          <w:sz w:val="20"/>
          <w:highlight w:val="white"/>
        </w:rPr>
        <w:t>Atairos</w:t>
      </w:r>
    </w:p>
    <w:p>
      <w:pPr>
        <w:pStyle w:val="TextBody"/>
        <w:spacing w:lineRule="auto" w:line="288" w:before="60" w:after="1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Atairos is a variable interest entity (“VIE”) that follows investment company accounting and records its investments at their fair values each reporting period with the net gains or losses reflected in its statement of operations. We recognize our share of these gains and losses in equity in net income (losses) of investees, net. For the three months ended March 31, 2023 and 2022, we made cash capital contributions to Atairos totaling $14 million and $13 million, respectively. As of March 31, 2023 and December 31, 2022, our investment in Atairos, inclusive of certain distributions retained by Atairos on our behalf and classified as advances within other investments, was $4.8 billion and $4.3 billion, respectively. As of March 31, 2023, our remaining unfunded capital commitment was $1.5 billion.</w:t>
      </w:r>
    </w:p>
    <w:p>
      <w:pPr>
        <w:pStyle w:val="TextBody"/>
        <w:spacing w:lineRule="auto" w:line="288" w:before="60" w:after="60"/>
        <w:jc w:val="both"/>
        <w:rPr>
          <w:rFonts w:ascii="Helvetica;sans-serif" w:hAnsi="Helvetica;sans-serif"/>
          <w:b/>
          <w:i/>
          <w:color w:val="000000"/>
          <w:sz w:val="20"/>
          <w:highlight w:val="white"/>
        </w:rPr>
      </w:pPr>
      <w:r>
        <w:rPr>
          <w:rFonts w:ascii="Helvetica;sans-serif" w:hAnsi="Helvetica;sans-serif"/>
          <w:b/>
          <w:i/>
          <w:color w:val="000000"/>
          <w:sz w:val="20"/>
          <w:highlight w:val="white"/>
        </w:rPr>
        <w:t>Hulu and Collateralized Obligation</w:t>
      </w:r>
    </w:p>
    <w:p>
      <w:pPr>
        <w:pStyle w:val="TextBody"/>
        <w:spacing w:lineRule="auto" w:line="288" w:before="60" w:after="1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2019, we borrowed $5.2 billion under a term loan facility due March 2024 which is fully collateralized by the minimum guaranteed proceeds of the put/call option related to our investment in Hulu. As of both March 31, 2023 and December 31, 2022, the carrying value and estimated fair value of our collateralized obligation were each $5.2 billion. The estimated fair values were based on Level 2 inputs that use interest rates for debt with similar terms and remaining maturities. We present our investment in Hulu and the term loan separately in our condensed consolidated balance sheet in the captions “investment securing collateralized obligation” and “collateralized obligation,” respectively. The recorded value of our investment reflects our historical cost in applying the equity method and, as a result, is less than its fair value.</w:t>
      </w:r>
    </w:p>
    <w:p>
      <w:pPr>
        <w:pStyle w:val="TextBody"/>
        <w:spacing w:lineRule="auto" w:line="288" w:before="60" w:after="120"/>
        <w:rPr>
          <w:rFonts w:ascii="Helvetica;sans-serif" w:hAnsi="Helvetica;sans-serif"/>
          <w:b/>
          <w:color w:val="000000"/>
          <w:sz w:val="20"/>
          <w:highlight w:val="white"/>
        </w:rPr>
      </w:pPr>
      <w:r>
        <w:rPr>
          <w:rFonts w:ascii="Helvetica;sans-serif" w:hAnsi="Helvetica;sans-serif"/>
          <w:b/>
          <w:color w:val="000000"/>
          <w:sz w:val="20"/>
          <w:highlight w:val="white"/>
        </w:rPr>
        <w:t>Other Investments</w:t>
      </w:r>
    </w:p>
    <w:p>
      <w:pPr>
        <w:pStyle w:val="TextBody"/>
        <w:spacing w:lineRule="auto" w:line="288" w:before="60" w:after="1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Other investments include investments in certain short-term instruments with maturities over three months when purchased, such as commercial paper, certificates of deposit and U.S. government obligations, which are generally accounted for at amortized cost. There were no such investments as of March 31, 2023. These short-term instruments totaled $304 million as of December 31, 2022. The carrying amounts of these investments approximate their fair values, which are primarily based on Level 2 inputs that use interest rates for instruments with similar terms and remaining maturities. </w:t>
      </w:r>
    </w:p>
    <w:p>
      <w:pPr>
        <w:pStyle w:val="TextBody"/>
        <w:spacing w:lineRule="auto" w:line="288" w:before="60" w:after="120"/>
        <w:rPr>
          <w:rFonts w:ascii="Helvetica;sans-serif" w:hAnsi="Helvetica;sans-serif"/>
          <w:b/>
          <w:color w:val="000000"/>
          <w:sz w:val="20"/>
        </w:rPr>
      </w:pPr>
      <w:r>
        <w:rPr>
          <w:rFonts w:ascii="Helvetica;sans-serif" w:hAnsi="Helvetica;sans-serif"/>
          <w:b/>
          <w:color w:val="000000"/>
          <w:sz w:val="20"/>
        </w:rPr>
        <w:t>Consolidated Variable Interest Entity</w:t>
      </w:r>
    </w:p>
    <w:p>
      <w:pPr>
        <w:pStyle w:val="TextBody"/>
        <w:spacing w:lineRule="auto" w:line="288" w:before="60" w:after="60"/>
        <w:jc w:val="both"/>
        <w:rPr>
          <w:rFonts w:ascii="Helvetica;sans-serif" w:hAnsi="Helvetica;sans-serif"/>
          <w:b/>
          <w:i/>
          <w:color w:val="000000"/>
          <w:sz w:val="20"/>
          <w:highlight w:val="white"/>
        </w:rPr>
      </w:pPr>
      <w:r>
        <w:rPr>
          <w:rFonts w:ascii="Helvetica;sans-serif" w:hAnsi="Helvetica;sans-serif"/>
          <w:b/>
          <w:i/>
          <w:color w:val="000000"/>
          <w:sz w:val="20"/>
          <w:highlight w:val="white"/>
        </w:rPr>
        <w:t>Universal Beijing Resort</w:t>
      </w:r>
    </w:p>
    <w:p>
      <w:pPr>
        <w:pStyle w:val="TextBody"/>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own a 30% interest in a Universal theme park and resort in Beijing, China (“Universal Beijing Resort”), which opened in September 2021. Universal Beijing Resort is a consolidated VIE with the remaining interest owned by a consortium of Chinese state-owned companies. The construction was funded through a combination of debt financing and equity contributions from the partners in accordance with their equity interests. As of March 31, 2023, Universal Beijing Resort had $3.6 billion of debt outstanding, including $3.2 billion principal amount of a term loan outstanding under the debt financing agreement. </w:t>
      </w:r>
    </w:p>
    <w:p>
      <w:pPr>
        <w:pStyle w:val="TextBody"/>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our condensed consolidated balance sheet included assets and liabilities of Universal Beijing Resort totaling $8.3 billion and $7.4 billion, respectively. The assets and liabilities of Universal Beijing Resort primarily consist of property and equipment, operating lease assets and liabilities, and debt.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84785"/>
                <wp:effectExtent l="0" t="0" r="0" b="0"/>
                <wp:wrapNone/>
                <wp:docPr id="16" name="Frame15"/>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jc w:val="both"/>
        <w:rPr/>
      </w:pPr>
      <w:hyperlink w:anchor="i6cbedffc79ba431f8c6c5489cc9b606c_7">
        <w:r>
          <w:rPr>
            <w:rStyle w:val="InternetLink"/>
            <w:rFonts w:ascii="Times New Roman;sans-serif" w:hAnsi="Times New Roman;sans-serif"/>
            <w:b/>
            <w:color w:val="0000FF"/>
            <w:sz w:val="20"/>
            <w:u w:val="single"/>
          </w:rPr>
          <w:t>Table of Contents</w:t>
        </w:r>
      </w:hyperlink>
    </w:p>
    <w:p>
      <w:pPr>
        <w:pStyle w:val="TextBody"/>
        <w:spacing w:before="0" w:after="0"/>
        <w:jc w:val="both"/>
        <w:rPr/>
      </w:pPr>
      <w:r>
        <w:rPr/>
      </w:r>
    </w:p>
    <w:p>
      <w:pPr>
        <w:pStyle w:val="TextBody"/>
        <w:spacing w:lineRule="auto" w:line="288" w:before="0" w:after="0"/>
        <w:rPr>
          <w:rFonts w:ascii="Helvetica;sans-serif" w:hAnsi="Helvetica;sans-serif"/>
          <w:b w:val="false"/>
          <w:color w:val="000000"/>
          <w:sz w:val="24"/>
        </w:rPr>
      </w:pPr>
      <w:r>
        <w:rPr>
          <w:rFonts w:ascii="Helvetica;sans-serif" w:hAnsi="Helvetica;sans-serif"/>
          <w:b w:val="false"/>
          <w:color w:val="000000"/>
          <w:sz w:val="24"/>
        </w:rPr>
        <w:t>Comcast Corporation</w:t>
      </w:r>
    </w:p>
    <w:p>
      <w:pPr>
        <w:pStyle w:val="TextBody"/>
        <w:spacing w:lineRule="auto" w:line="288" w:before="210" w:after="120"/>
        <w:rPr>
          <w:rFonts w:ascii="Helvetica;sans-serif" w:hAnsi="Helvetica;sans-serif"/>
          <w:b/>
          <w:color w:val="000000"/>
          <w:sz w:val="24"/>
        </w:rPr>
      </w:pPr>
      <w:r>
        <w:rPr>
          <w:rFonts w:ascii="Helvetica;sans-serif" w:hAnsi="Helvetica;sans-serif"/>
          <w:b/>
          <w:color w:val="000000"/>
          <w:sz w:val="24"/>
        </w:rPr>
        <w:t>Note 7: Equity and Share-Based Compensation</w:t>
      </w:r>
    </w:p>
    <w:p>
      <w:pPr>
        <w:pStyle w:val="TextBody"/>
        <w:spacing w:lineRule="auto" w:line="288" w:before="60" w:after="120"/>
        <w:jc w:val="center"/>
        <w:rPr>
          <w:rFonts w:ascii="Helvetica;sans-serif" w:hAnsi="Helvetica;sans-serif"/>
          <w:b/>
          <w:color w:val="000000"/>
          <w:sz w:val="20"/>
        </w:rPr>
      </w:pPr>
      <w:r>
        <w:rPr>
          <w:rFonts w:ascii="Helvetica;sans-serif" w:hAnsi="Helvetica;sans-serif"/>
          <w:b/>
          <w:color w:val="000000"/>
          <w:sz w:val="20"/>
        </w:rPr>
        <w:t>Weighted-Average Common Shares Outstanding</w:t>
      </w:r>
    </w:p>
    <w:tbl>
      <w:tblPr>
        <w:tblW w:w="8718" w:type="dxa"/>
        <w:jc w:val="left"/>
        <w:tblInd w:w="0" w:type="dxa"/>
        <w:tblCellMar>
          <w:top w:w="28" w:type="dxa"/>
          <w:left w:w="28" w:type="dxa"/>
          <w:bottom w:w="28" w:type="dxa"/>
          <w:right w:w="28" w:type="dxa"/>
        </w:tblCellMar>
      </w:tblPr>
      <w:tblGrid>
        <w:gridCol w:w="2017"/>
        <w:gridCol w:w="1767"/>
        <w:gridCol w:w="1781"/>
        <w:gridCol w:w="109"/>
        <w:gridCol w:w="314"/>
        <w:gridCol w:w="314"/>
        <w:gridCol w:w="314"/>
        <w:gridCol w:w="314"/>
        <w:gridCol w:w="317"/>
        <w:gridCol w:w="109"/>
        <w:gridCol w:w="109"/>
        <w:gridCol w:w="109"/>
        <w:gridCol w:w="308"/>
        <w:gridCol w:w="308"/>
        <w:gridCol w:w="156"/>
        <w:gridCol w:w="109"/>
        <w:gridCol w:w="109"/>
        <w:gridCol w:w="154"/>
      </w:tblGrid>
      <w:tr>
        <w:trPr/>
        <w:tc>
          <w:tcPr>
            <w:tcW w:w="2017" w:type="dxa"/>
            <w:tcBorders/>
            <w:shd w:fill="auto" w:val="clear"/>
            <w:vAlign w:val="center"/>
          </w:tcPr>
          <w:p>
            <w:pPr>
              <w:pStyle w:val="TableContents"/>
              <w:spacing w:before="0" w:after="283"/>
              <w:rPr>
                <w:sz w:val="4"/>
                <w:szCs w:val="4"/>
              </w:rPr>
            </w:pPr>
            <w:r>
              <w:rPr>
                <w:sz w:val="4"/>
                <w:szCs w:val="4"/>
              </w:rPr>
            </w:r>
          </w:p>
        </w:tc>
        <w:tc>
          <w:tcPr>
            <w:tcW w:w="1767" w:type="dxa"/>
            <w:tcBorders/>
            <w:shd w:fill="auto" w:val="clear"/>
            <w:vAlign w:val="center"/>
          </w:tcPr>
          <w:p>
            <w:pPr>
              <w:pStyle w:val="TableContents"/>
              <w:spacing w:before="0" w:after="283"/>
              <w:rPr>
                <w:sz w:val="4"/>
                <w:szCs w:val="4"/>
              </w:rPr>
            </w:pPr>
            <w:r>
              <w:rPr>
                <w:sz w:val="4"/>
                <w:szCs w:val="4"/>
              </w:rPr>
            </w:r>
          </w:p>
        </w:tc>
        <w:tc>
          <w:tcPr>
            <w:tcW w:w="17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3"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br/>
              <w:t>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5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9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55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outstanding – basic</w:t>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outstanding – diluted</w:t>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4,227 </w:t>
            </w:r>
          </w:p>
        </w:tc>
        <w:tc>
          <w:tcPr>
            <w:tcW w:w="3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9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6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securities</w:t>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94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77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00" w:after="140"/>
        <w:jc w:val="both"/>
        <w:rPr>
          <w:rFonts w:ascii="Times New Roman;sans-serif" w:hAnsi="Times New Roman;sans-serif"/>
          <w:b w:val="false"/>
          <w:color w:val="000000"/>
          <w:sz w:val="20"/>
        </w:rPr>
      </w:pPr>
      <w:r>
        <w:rPr>
          <w:rFonts w:ascii="Times New Roman;sans-serif" w:hAnsi="Times New Roman;sans-serif"/>
          <w:b w:val="false"/>
          <w:color w:val="000000"/>
          <w:sz w:val="20"/>
        </w:rPr>
        <w:t>Diluted earnings per common share attributable to Comcast Corporation shareholders (“diluted EPS”) considers the impact of potentially dilutive securities using the treasury stock method. Antidilutive securities represent the number of potential common shares related to share-based compensation awards that were excluded from diluted EPS because their effect would have been antidilutive.</w:t>
      </w:r>
    </w:p>
    <w:p>
      <w:pPr>
        <w:pStyle w:val="TextBody"/>
        <w:spacing w:lineRule="auto" w:line="288" w:before="60" w:after="120"/>
        <w:jc w:val="center"/>
        <w:rPr>
          <w:rFonts w:ascii="Helvetica;sans-serif" w:hAnsi="Helvetica;sans-serif"/>
          <w:b/>
          <w:color w:val="000000"/>
          <w:sz w:val="20"/>
        </w:rPr>
      </w:pPr>
      <w:r>
        <w:rPr>
          <w:rFonts w:ascii="Helvetica;sans-serif" w:hAnsi="Helvetica;sans-serif"/>
          <w:b/>
          <w:color w:val="000000"/>
          <w:sz w:val="20"/>
        </w:rPr>
        <w:t>Accumulated Other Comprehensive Income (Loss)</w:t>
      </w:r>
    </w:p>
    <w:tbl>
      <w:tblPr>
        <w:tblW w:w="8446" w:type="dxa"/>
        <w:jc w:val="left"/>
        <w:tblInd w:w="0" w:type="dxa"/>
        <w:tblCellMar>
          <w:top w:w="28" w:type="dxa"/>
          <w:left w:w="28" w:type="dxa"/>
          <w:bottom w:w="28" w:type="dxa"/>
          <w:right w:w="28" w:type="dxa"/>
        </w:tblCellMar>
      </w:tblPr>
      <w:tblGrid>
        <w:gridCol w:w="2169"/>
        <w:gridCol w:w="1900"/>
        <w:gridCol w:w="1915"/>
        <w:gridCol w:w="211"/>
        <w:gridCol w:w="691"/>
        <w:gridCol w:w="109"/>
        <w:gridCol w:w="109"/>
        <w:gridCol w:w="109"/>
        <w:gridCol w:w="109"/>
        <w:gridCol w:w="224"/>
        <w:gridCol w:w="736"/>
        <w:gridCol w:w="164"/>
      </w:tblGrid>
      <w:tr>
        <w:trPr/>
        <w:tc>
          <w:tcPr>
            <w:tcW w:w="2169" w:type="dxa"/>
            <w:tcBorders/>
            <w:shd w:fill="auto" w:val="clear"/>
            <w:vAlign w:val="center"/>
          </w:tcPr>
          <w:p>
            <w:pPr>
              <w:pStyle w:val="TableContents"/>
              <w:spacing w:before="0" w:after="283"/>
              <w:rPr>
                <w:sz w:val="4"/>
                <w:szCs w:val="4"/>
              </w:rPr>
            </w:pPr>
            <w:r>
              <w:rPr>
                <w:sz w:val="4"/>
                <w:szCs w:val="4"/>
              </w:rPr>
            </w:r>
          </w:p>
        </w:tc>
        <w:tc>
          <w:tcPr>
            <w:tcW w:w="1900" w:type="dxa"/>
            <w:tcBorders/>
            <w:shd w:fill="auto" w:val="clear"/>
            <w:vAlign w:val="center"/>
          </w:tcPr>
          <w:p>
            <w:pPr>
              <w:pStyle w:val="TableContents"/>
              <w:spacing w:before="0" w:after="283"/>
              <w:rPr>
                <w:sz w:val="4"/>
                <w:szCs w:val="4"/>
              </w:rPr>
            </w:pPr>
            <w:r>
              <w:rPr>
                <w:sz w:val="4"/>
                <w:szCs w:val="4"/>
              </w:rPr>
            </w:r>
          </w:p>
        </w:tc>
        <w:tc>
          <w:tcPr>
            <w:tcW w:w="191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59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31,</w:t>
              <w:br/>
              <w:t>2022</w:t>
            </w:r>
          </w:p>
        </w:tc>
      </w:tr>
      <w:tr>
        <w:trPr/>
        <w:tc>
          <w:tcPr>
            <w:tcW w:w="59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translation adjustments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4"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gains (losses) on cash flow hedges</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gains (losses) on employee benefit obligations and other</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4"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r>
      <w:tr>
        <w:trPr/>
        <w:tc>
          <w:tcPr>
            <w:tcW w:w="598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Accumulated other comprehensive income (loss), net of deferred taxes</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(1,898)</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(2,611)</w:t>
            </w:r>
          </w:p>
        </w:tc>
        <w:tc>
          <w:tcPr>
            <w:tcW w:w="16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rPr>
          <w:rFonts w:ascii="Helvetica;sans-serif" w:hAnsi="Helvetica;sans-serif"/>
          <w:b/>
          <w:color w:val="000000"/>
          <w:sz w:val="20"/>
        </w:rPr>
      </w:pPr>
      <w:r>
        <w:rPr>
          <w:rFonts w:ascii="Helvetica;sans-serif" w:hAnsi="Helvetica;sans-serif"/>
          <w:b/>
          <w:color w:val="000000"/>
          <w:sz w:val="20"/>
        </w:rPr>
        <w:t>Share-Based Compensation</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share-based compensation plans consist primarily of awards of restricted share units (“RSUs”) and stock options to certain employees and directors as part of our approach to long-term incentive compensation. Additionally, through our employee stock purchase plans, employees are able to purchase shares of our common stock at a discount through payroll deductions.</w:t>
      </w:r>
    </w:p>
    <w:p>
      <w:pPr>
        <w:pStyle w:val="TextBody"/>
        <w:spacing w:lineRule="auto" w:line="288" w:before="76"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2023, we granted 22 million RSUs and 57 million stock options related to our annual management awards. The weighted-average fair values associated with these grants were $36.62 per RSU and $8.33 per stock option.</w:t>
      </w:r>
    </w:p>
    <w:p>
      <w:pPr>
        <w:pStyle w:val="TextBody"/>
        <w:spacing w:lineRule="auto" w:line="288" w:before="76"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and 2022, share-based compensation expense recognized in our condensed consolidated statements of income was $295 million and $300 million, respectively. As of March 31, 2023, we had unrecognized pretax compensation expense of $2.7 billion related to nonvested RSUs and nonvested stock options.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10" w:after="283"/>
        <w:rPr>
          <w:rFonts w:ascii="Helvetica;sans-serif" w:hAnsi="Helvetica;sans-serif"/>
          <w:b/>
          <w:color w:val="000000"/>
          <w:sz w:val="24"/>
        </w:rPr>
      </w:pPr>
      <w:r>
        <w:rPr>
          <w:rFonts w:ascii="Helvetica;sans-serif" w:hAnsi="Helvetica;sans-serif"/>
          <w:b/>
          <w:color w:val="000000"/>
          <w:sz w:val="24"/>
        </w:rPr>
        <w:t>Note 8: Supplemental Financial Information</w:t>
      </w:r>
    </w:p>
    <w:p>
      <w:pPr>
        <w:pStyle w:val="TextBody"/>
        <w:spacing w:lineRule="auto" w:line="288" w:before="60" w:after="120"/>
        <w:jc w:val="center"/>
        <w:rPr>
          <w:rFonts w:ascii="Helvetica;sans-serif" w:hAnsi="Helvetica;sans-serif"/>
          <w:b/>
          <w:color w:val="000000"/>
          <w:sz w:val="20"/>
        </w:rPr>
      </w:pPr>
      <w:r>
        <w:rPr>
          <w:rFonts w:ascii="Helvetica;sans-serif" w:hAnsi="Helvetica;sans-serif"/>
          <w:b/>
          <w:color w:val="000000"/>
          <w:sz w:val="20"/>
        </w:rPr>
        <w:t xml:space="preserve">Cash Payments for Interest and Income Taxes </w:t>
      </w:r>
    </w:p>
    <w:tbl>
      <w:tblPr>
        <w:tblW w:w="3128" w:type="dxa"/>
        <w:jc w:val="left"/>
        <w:tblInd w:w="0" w:type="dxa"/>
        <w:tblCellMar>
          <w:top w:w="28" w:type="dxa"/>
          <w:left w:w="28" w:type="dxa"/>
          <w:bottom w:w="28" w:type="dxa"/>
          <w:right w:w="28" w:type="dxa"/>
        </w:tblCellMar>
      </w:tblPr>
      <w:tblGrid>
        <w:gridCol w:w="429"/>
        <w:gridCol w:w="377"/>
        <w:gridCol w:w="378"/>
        <w:gridCol w:w="211"/>
        <w:gridCol w:w="466"/>
        <w:gridCol w:w="109"/>
        <w:gridCol w:w="109"/>
        <w:gridCol w:w="109"/>
        <w:gridCol w:w="109"/>
        <w:gridCol w:w="211"/>
        <w:gridCol w:w="466"/>
        <w:gridCol w:w="154"/>
      </w:tblGrid>
      <w:tr>
        <w:trPr/>
        <w:tc>
          <w:tcPr>
            <w:tcW w:w="429"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br/>
              <w:t>March 31,</w:t>
            </w:r>
          </w:p>
        </w:tc>
      </w:tr>
      <w:tr>
        <w:trPr/>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r>
      <w:tr>
        <w:trPr/>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4"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6" w:after="283"/>
        <w:jc w:val="both"/>
        <w:rPr>
          <w:rFonts w:ascii="Helvetica;sans-serif" w:hAnsi="Helvetica;sans-serif"/>
          <w:b/>
          <w:color w:val="000000"/>
          <w:sz w:val="20"/>
        </w:rPr>
      </w:pPr>
      <w:r>
        <w:rPr>
          <w:rFonts w:ascii="Helvetica;sans-serif" w:hAnsi="Helvetica;sans-serif"/>
          <w:b/>
          <w:color w:val="000000"/>
          <w:sz w:val="20"/>
        </w:rPr>
        <w:t>Noncash Activities</w:t>
      </w:r>
    </w:p>
    <w:p>
      <w:pPr>
        <w:pStyle w:val="TextBody"/>
        <w:spacing w:lineRule="auto" w:line="288" w:before="76"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w:t>
      </w:r>
    </w:p>
    <w:p>
      <w:pPr>
        <w:pStyle w:val="TextBody"/>
        <w:spacing w:lineRule="auto" w:line="288" w:before="76" w:after="283"/>
        <w:ind w:left="0" w:right="0" w:hanging="360"/>
        <w:jc w:val="both"/>
        <w:rPr/>
      </w:pPr>
      <w:r>
        <w:rPr>
          <w:color w:val="000000"/>
        </w:rPr>
        <w:t>•</w:t>
      </w:r>
      <w:r>
        <w:rPr>
          <w:rFonts w:ascii="Times New Roman;sans-serif" w:hAnsi="Times New Roman;sans-serif"/>
          <w:b w:val="false"/>
          <w:color w:val="000000"/>
          <w:sz w:val="20"/>
        </w:rPr>
        <w:t>we acquired $2.1 billion of property and equipment and intangible assets that were accrued but unpaid</w:t>
      </w:r>
    </w:p>
    <w:p>
      <w:pPr>
        <w:pStyle w:val="TextBody"/>
        <w:spacing w:lineRule="auto" w:line="288" w:before="76" w:after="283"/>
        <w:ind w:left="0" w:right="0" w:hanging="360"/>
        <w:jc w:val="both"/>
        <w:rPr/>
      </w:pPr>
      <w:r>
        <w:rPr>
          <w:color w:val="000000"/>
        </w:rPr>
        <w:t>•</w:t>
      </w:r>
      <w:r>
        <w:rPr>
          <w:rFonts w:ascii="Times New Roman;sans-serif" w:hAnsi="Times New Roman;sans-serif"/>
          <w:b w:val="false"/>
          <w:color w:val="000000"/>
          <w:sz w:val="20"/>
        </w:rPr>
        <w:t>we recorded a liability of $1.2 billion for a quarterly cash dividend of $0.29 per common share paid in April 2023</w:t>
      </w:r>
    </w:p>
    <w:p>
      <w:pPr>
        <w:pStyle w:val="TextBody"/>
        <w:spacing w:lineRule="auto" w:line="288" w:before="76"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w:t>
      </w:r>
    </w:p>
    <w:p>
      <w:pPr>
        <w:pStyle w:val="TextBody"/>
        <w:spacing w:lineRule="auto" w:line="288" w:before="76" w:after="283"/>
        <w:ind w:left="0" w:right="0" w:hanging="360"/>
        <w:jc w:val="both"/>
        <w:rPr/>
      </w:pPr>
      <w:r>
        <w:rPr>
          <w:color w:val="000000"/>
        </w:rPr>
        <w:t>•</w:t>
      </w:r>
      <w:r>
        <w:rPr>
          <w:rFonts w:ascii="Times New Roman;sans-serif" w:hAnsi="Times New Roman;sans-serif"/>
          <w:b w:val="false"/>
          <w:color w:val="000000"/>
          <w:sz w:val="20"/>
        </w:rPr>
        <w:t>we acquired $1.9 billion of property and equipment and intangible assets that were accrued but unpaid</w:t>
      </w:r>
    </w:p>
    <w:p>
      <w:pPr>
        <w:pStyle w:val="TextBody"/>
        <w:spacing w:lineRule="auto" w:line="288" w:before="76" w:after="283"/>
        <w:ind w:left="0" w:right="0" w:hanging="360"/>
        <w:jc w:val="both"/>
        <w:rPr/>
      </w:pPr>
      <w:r>
        <w:rPr>
          <w:color w:val="000000"/>
        </w:rPr>
        <w:t>•</w:t>
      </w:r>
      <w:r>
        <w:rPr>
          <w:rFonts w:ascii="Times New Roman;sans-serif" w:hAnsi="Times New Roman;sans-serif"/>
          <w:b w:val="false"/>
          <w:color w:val="000000"/>
          <w:sz w:val="20"/>
        </w:rPr>
        <w:t>we recorded a liability of $1.2 billion for a quarterly cash dividend of $0.27 per common share paid in April 2022</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84785"/>
                <wp:effectExtent l="0" t="0" r="0" b="0"/>
                <wp:wrapNone/>
                <wp:docPr id="17" name="Frame16"/>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jc w:val="both"/>
        <w:rPr/>
      </w:pPr>
      <w:hyperlink w:anchor="i6cbedffc79ba431f8c6c5489cc9b606c_7">
        <w:r>
          <w:rPr>
            <w:rStyle w:val="InternetLink"/>
            <w:rFonts w:ascii="Times New Roman;sans-serif" w:hAnsi="Times New Roman;sans-serif"/>
            <w:b/>
            <w:color w:val="0000FF"/>
            <w:sz w:val="20"/>
            <w:u w:val="single"/>
          </w:rPr>
          <w:t>Table of Contents</w:t>
        </w:r>
      </w:hyperlink>
    </w:p>
    <w:p>
      <w:pPr>
        <w:pStyle w:val="TextBody"/>
        <w:spacing w:before="0" w:after="0"/>
        <w:jc w:val="both"/>
        <w:rPr/>
      </w:pPr>
      <w:r>
        <w:rPr/>
      </w:r>
    </w:p>
    <w:p>
      <w:pPr>
        <w:pStyle w:val="TextBody"/>
        <w:spacing w:lineRule="auto" w:line="288" w:before="0" w:after="0"/>
        <w:rPr>
          <w:rFonts w:ascii="Helvetica;sans-serif" w:hAnsi="Helvetica;sans-serif"/>
          <w:b w:val="false"/>
          <w:color w:val="000000"/>
          <w:sz w:val="24"/>
        </w:rPr>
      </w:pPr>
      <w:r>
        <w:rPr>
          <w:rFonts w:ascii="Helvetica;sans-serif" w:hAnsi="Helvetica;sans-serif"/>
          <w:b w:val="false"/>
          <w:color w:val="000000"/>
          <w:sz w:val="24"/>
        </w:rPr>
        <w:t>Comcast Corporation</w:t>
      </w:r>
    </w:p>
    <w:p>
      <w:pPr>
        <w:pStyle w:val="TextBody"/>
        <w:spacing w:lineRule="auto" w:line="288" w:before="136" w:after="283"/>
        <w:rPr>
          <w:rFonts w:ascii="Helvetica;sans-serif" w:hAnsi="Helvetica;sans-serif"/>
          <w:b/>
          <w:color w:val="000000"/>
          <w:sz w:val="20"/>
        </w:rPr>
      </w:pPr>
      <w:r>
        <w:rPr>
          <w:rFonts w:ascii="Helvetica;sans-serif" w:hAnsi="Helvetica;sans-serif"/>
          <w:b/>
          <w:color w:val="000000"/>
          <w:sz w:val="20"/>
        </w:rPr>
        <w:t>Cash, Cash Equivalents and Restricted Cash</w:t>
      </w:r>
    </w:p>
    <w:p>
      <w:pPr>
        <w:pStyle w:val="TextBody"/>
        <w:spacing w:lineRule="auto" w:line="288" w:before="100" w:after="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a reconciliation of cash, cash equivalents and restricted cash reported in the condensed consolidated balance sheet to the total of the amounts reported in our condensed consolidated statements of cash flows. </w:t>
      </w:r>
    </w:p>
    <w:tbl>
      <w:tblPr>
        <w:tblW w:w="8913" w:type="dxa"/>
        <w:jc w:val="center"/>
        <w:tblInd w:w="0" w:type="dxa"/>
        <w:tblCellMar>
          <w:top w:w="28" w:type="dxa"/>
          <w:left w:w="28" w:type="dxa"/>
          <w:bottom w:w="28" w:type="dxa"/>
          <w:right w:w="28" w:type="dxa"/>
        </w:tblCellMar>
      </w:tblPr>
      <w:tblGrid>
        <w:gridCol w:w="2358"/>
        <w:gridCol w:w="2070"/>
        <w:gridCol w:w="2082"/>
        <w:gridCol w:w="211"/>
        <w:gridCol w:w="631"/>
        <w:gridCol w:w="109"/>
        <w:gridCol w:w="109"/>
        <w:gridCol w:w="109"/>
        <w:gridCol w:w="109"/>
        <w:gridCol w:w="238"/>
        <w:gridCol w:w="713"/>
        <w:gridCol w:w="174"/>
      </w:tblGrid>
      <w:tr>
        <w:trPr/>
        <w:tc>
          <w:tcPr>
            <w:tcW w:w="2358" w:type="dxa"/>
            <w:tcBorders/>
            <w:shd w:fill="auto" w:val="clear"/>
            <w:vAlign w:val="center"/>
          </w:tcPr>
          <w:p>
            <w:pPr>
              <w:pStyle w:val="TableContents"/>
              <w:spacing w:before="0" w:after="283"/>
              <w:rPr>
                <w:sz w:val="4"/>
                <w:szCs w:val="4"/>
              </w:rPr>
            </w:pPr>
            <w:r>
              <w:rPr>
                <w:sz w:val="4"/>
                <w:szCs w:val="4"/>
              </w:rPr>
            </w:r>
          </w:p>
        </w:tc>
        <w:tc>
          <w:tcPr>
            <w:tcW w:w="2070" w:type="dxa"/>
            <w:tcBorders/>
            <w:shd w:fill="auto" w:val="clear"/>
            <w:vAlign w:val="center"/>
          </w:tcPr>
          <w:p>
            <w:pPr>
              <w:pStyle w:val="TableContents"/>
              <w:spacing w:before="0" w:after="283"/>
              <w:rPr>
                <w:sz w:val="4"/>
                <w:szCs w:val="4"/>
              </w:rPr>
            </w:pPr>
            <w:r>
              <w:rPr>
                <w:sz w:val="4"/>
                <w:szCs w:val="4"/>
              </w:rPr>
            </w:r>
          </w:p>
        </w:tc>
        <w:tc>
          <w:tcPr>
            <w:tcW w:w="208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65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31,</w:t>
              <w:br/>
              <w:t>2022</w:t>
            </w:r>
          </w:p>
        </w:tc>
      </w:tr>
      <w:tr>
        <w:trPr/>
        <w:tc>
          <w:tcPr>
            <w:tcW w:w="65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current assets and other noncurrent assets, net</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1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end of period</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5,577</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1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4,782</w:t>
            </w:r>
            <w:r>
              <w:rPr>
                <w:color w:val="000000"/>
              </w:rPr>
              <w:t> </w:t>
            </w:r>
          </w:p>
        </w:tc>
        <w:tc>
          <w:tcPr>
            <w:tcW w:w="17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10" w:after="283"/>
        <w:rPr>
          <w:rFonts w:ascii="Helvetica;sans-serif" w:hAnsi="Helvetica;sans-serif"/>
          <w:b/>
          <w:color w:val="000000"/>
          <w:sz w:val="24"/>
        </w:rPr>
      </w:pPr>
      <w:r>
        <w:rPr>
          <w:rFonts w:ascii="Helvetica;sans-serif" w:hAnsi="Helvetica;sans-serif"/>
          <w:b/>
          <w:color w:val="000000"/>
          <w:sz w:val="24"/>
        </w:rPr>
        <w:t>Note 9: Commitments and Contingencies</w:t>
      </w:r>
    </w:p>
    <w:p>
      <w:pPr>
        <w:pStyle w:val="TextBody"/>
        <w:spacing w:lineRule="auto" w:line="288" w:before="136" w:after="283"/>
        <w:rPr>
          <w:rFonts w:ascii="Helvetica;sans-serif" w:hAnsi="Helvetica;sans-serif"/>
          <w:b/>
          <w:color w:val="000000"/>
          <w:sz w:val="20"/>
        </w:rPr>
      </w:pPr>
      <w:r>
        <w:rPr>
          <w:rFonts w:ascii="Helvetica;sans-serif" w:hAnsi="Helvetica;sans-serif"/>
          <w:b/>
          <w:color w:val="000000"/>
          <w:sz w:val="20"/>
        </w:rPr>
        <w:t>Contingencies</w:t>
      </w:r>
    </w:p>
    <w:p>
      <w:pPr>
        <w:pStyle w:val="TextBody"/>
        <w:spacing w:lineRule="auto" w:line="288" w:before="76" w:after="30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time-consuming and injure our reputation.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84785"/>
                <wp:effectExtent l="0" t="0" r="0" b="0"/>
                <wp:wrapNone/>
                <wp:docPr id="18" name="Frame17"/>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60" w:after="120"/>
        <w:jc w:val="both"/>
        <w:rPr/>
      </w:pPr>
      <w:hyperlink w:anchor="i6cbedffc79ba431f8c6c5489cc9b606c_7">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Helvetica;sans-serif" w:hAnsi="Helvetica;sans-serif"/>
          <w:b/>
          <w:color w:val="000000"/>
          <w:sz w:val="24"/>
        </w:rPr>
      </w:pPr>
      <w:r>
        <w:rPr>
          <w:rFonts w:ascii="Helvetica;sans-serif" w:hAnsi="Helvetica;sans-serif"/>
          <w:b/>
          <w:color w:val="000000"/>
          <w:sz w:val="24"/>
        </w:rPr>
        <w:t>ITEM 2: MANAGEMENT’S DISCUSSION AND ANALYSIS OF FINANCIAL CONDITION AND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is provided as a supplement to, and should be read in conjunction with, the condensed consolidated financial statements and related notes included in this Quarterly Report on Form 10-Q and our 2022 Annual Report on Form 10-K.</w:t>
      </w:r>
    </w:p>
    <w:p>
      <w:pPr>
        <w:pStyle w:val="TextBody"/>
        <w:spacing w:lineRule="auto" w:line="288" w:before="60" w:after="120"/>
        <w:rPr>
          <w:rFonts w:ascii="Helvetica;sans-serif" w:hAnsi="Helvetica;sans-serif"/>
          <w:b/>
          <w:color w:val="000000"/>
          <w:sz w:val="24"/>
        </w:rPr>
      </w:pPr>
      <w:r>
        <w:rPr>
          <w:rFonts w:ascii="Helvetica;sans-serif" w:hAnsi="Helvetica;sans-serif"/>
          <w:b/>
          <w:color w:val="000000"/>
          <w:sz w:val="24"/>
        </w:rPr>
        <w:t>Overview</w:t>
      </w:r>
    </w:p>
    <w:p>
      <w:pPr>
        <w:pStyle w:val="TextBody"/>
        <w:spacing w:lineRule="auto" w:line="288" w:before="0" w:after="0"/>
        <w:jc w:val="both"/>
        <w:rPr/>
      </w:pPr>
      <w:r>
        <w:rPr>
          <w:rFonts w:ascii="Times New Roman;sans-serif" w:hAnsi="Times New Roman;sans-serif"/>
          <w:b w:val="false"/>
          <w:color w:val="000000"/>
          <w:sz w:val="20"/>
        </w:rPr>
        <w:t>We are a global media and technology company with two primary businesses: Connectivity &amp; Platforms and Content &amp; Experiences. We present the operations of (1) our Connectivity &amp; Platforms business in two reportable business segments: Residential Connectivity &amp; Platforms and Business Services Connectivity and</w:t>
      </w:r>
      <w:r>
        <w:rPr>
          <w:color w:val="000000"/>
          <w:highlight w:val="white"/>
        </w:rPr>
        <w:t xml:space="preserve"> </w:t>
      </w:r>
      <w:r>
        <w:rPr>
          <w:rFonts w:ascii="Times New Roman;sans-serif" w:hAnsi="Times New Roman;sans-serif"/>
          <w:b w:val="false"/>
          <w:color w:val="000000"/>
          <w:sz w:val="20"/>
          <w:highlight w:val="white"/>
        </w:rPr>
        <w:t xml:space="preserve">(2) our Content &amp; Experiences business in three reportable business segments: Media, Studios and Theme Parks. Refer to Note 2 for information on our reportable business segments, including a description of the segment change implemented in the first quarter of 2023. All amounts are presented under the new segment structure.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40"/>
        <w:rPr>
          <w:rFonts w:ascii="Helvetica;sans-serif" w:hAnsi="Helvetica;sans-serif"/>
          <w:b/>
          <w:color w:val="000000"/>
          <w:sz w:val="24"/>
        </w:rPr>
      </w:pPr>
      <w:r>
        <w:rPr>
          <w:rFonts w:ascii="Helvetica;sans-serif" w:hAnsi="Helvetica;sans-serif"/>
          <w:b/>
          <w:color w:val="000000"/>
          <w:sz w:val="24"/>
        </w:rPr>
        <w:t>Consolidated Operating Results</w:t>
      </w:r>
    </w:p>
    <w:tbl>
      <w:tblPr>
        <w:tblW w:w="10205" w:type="dxa"/>
        <w:jc w:val="left"/>
        <w:tblInd w:w="0" w:type="dxa"/>
        <w:tblCellMar>
          <w:top w:w="28" w:type="dxa"/>
          <w:left w:w="28" w:type="dxa"/>
          <w:bottom w:w="28" w:type="dxa"/>
          <w:right w:w="28" w:type="dxa"/>
        </w:tblCellMar>
      </w:tblPr>
      <w:tblGrid>
        <w:gridCol w:w="2172"/>
        <w:gridCol w:w="1744"/>
        <w:gridCol w:w="1760"/>
        <w:gridCol w:w="109"/>
        <w:gridCol w:w="109"/>
        <w:gridCol w:w="109"/>
        <w:gridCol w:w="109"/>
        <w:gridCol w:w="128"/>
        <w:gridCol w:w="128"/>
        <w:gridCol w:w="248"/>
        <w:gridCol w:w="849"/>
        <w:gridCol w:w="128"/>
        <w:gridCol w:w="109"/>
        <w:gridCol w:w="109"/>
        <w:gridCol w:w="109"/>
        <w:gridCol w:w="211"/>
        <w:gridCol w:w="721"/>
        <w:gridCol w:w="109"/>
        <w:gridCol w:w="109"/>
        <w:gridCol w:w="109"/>
        <w:gridCol w:w="109"/>
        <w:gridCol w:w="282"/>
        <w:gridCol w:w="285"/>
        <w:gridCol w:w="350"/>
      </w:tblGrid>
      <w:tr>
        <w:trPr/>
        <w:tc>
          <w:tcPr>
            <w:tcW w:w="2172" w:type="dxa"/>
            <w:tcBorders/>
            <w:shd w:fill="auto" w:val="clear"/>
            <w:vAlign w:val="center"/>
          </w:tcPr>
          <w:p>
            <w:pPr>
              <w:pStyle w:val="TableContents"/>
              <w:spacing w:before="0" w:after="283"/>
              <w:rPr>
                <w:sz w:val="4"/>
                <w:szCs w:val="4"/>
              </w:rPr>
            </w:pPr>
            <w:r>
              <w:rPr>
                <w:sz w:val="4"/>
                <w:szCs w:val="4"/>
              </w:rPr>
            </w:r>
          </w:p>
        </w:tc>
        <w:tc>
          <w:tcPr>
            <w:tcW w:w="1744" w:type="dxa"/>
            <w:tcBorders/>
            <w:shd w:fill="auto" w:val="clear"/>
            <w:vAlign w:val="center"/>
          </w:tcPr>
          <w:p>
            <w:pPr>
              <w:pStyle w:val="TableContents"/>
              <w:spacing w:before="0" w:after="283"/>
              <w:rPr>
                <w:sz w:val="4"/>
                <w:szCs w:val="4"/>
              </w:rPr>
            </w:pPr>
            <w:r>
              <w:rPr>
                <w:sz w:val="4"/>
                <w:szCs w:val="4"/>
              </w:rPr>
            </w:r>
          </w:p>
        </w:tc>
        <w:tc>
          <w:tcPr>
            <w:tcW w:w="17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r>
      <w:tr>
        <w:trPr/>
        <w:tc>
          <w:tcPr>
            <w:tcW w:w="56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1"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Change</w:t>
            </w:r>
          </w:p>
        </w:tc>
        <w:tc>
          <w:tcPr>
            <w:tcW w:w="1244" w:type="dxa"/>
            <w:gridSpan w:val="6"/>
            <w:tcBorders/>
            <w:shd w:fill="auto" w:val="clear"/>
          </w:tcPr>
          <w:p>
            <w:pPr>
              <w:pStyle w:val="TableContents"/>
              <w:spacing w:before="0" w:after="283"/>
              <w:rPr>
                <w:sz w:val="4"/>
                <w:szCs w:val="4"/>
              </w:rPr>
            </w:pPr>
            <w:r>
              <w:rPr>
                <w:sz w:val="4"/>
                <w:szCs w:val="4"/>
              </w:rPr>
            </w:r>
          </w:p>
        </w:tc>
      </w:tr>
      <w:tr>
        <w:trPr/>
        <w:tc>
          <w:tcPr>
            <w:tcW w:w="56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per share data)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6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29,691 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Programming and production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9,004 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350"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promotion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9,301 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3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r>
      <w:tr>
        <w:trPr/>
        <w:tc>
          <w:tcPr>
            <w:tcW w:w="56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r>
      <w:tr>
        <w:trPr/>
        <w:tc>
          <w:tcPr>
            <w:tcW w:w="56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24,045 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5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and other income (loss),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56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5,243 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r>
      <w:tr>
        <w:trPr/>
        <w:tc>
          <w:tcPr>
            <w:tcW w:w="56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Net income (loss) attributable to noncontrolling interests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350"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Comcast Corporation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3,834</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3,549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8.0</w:t>
            </w:r>
            <w:r>
              <w:rPr>
                <w:color w:val="000000"/>
              </w:rPr>
              <w:t>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5676" w:type="dxa"/>
            <w:gridSpan w:val="3"/>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earnings per common share attributable to Comcast Corporation shareholders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9"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0.91</w:t>
            </w:r>
            <w:r>
              <w:rPr>
                <w:color w:val="000000"/>
              </w:rPr>
              <w:t> </w:t>
            </w:r>
          </w:p>
        </w:tc>
        <w:tc>
          <w:tcPr>
            <w:tcW w:w="128"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0.79</w:t>
            </w: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15.2</w:t>
            </w:r>
            <w:r>
              <w:rPr>
                <w:color w:val="000000"/>
              </w:rPr>
              <w:t> </w:t>
            </w:r>
          </w:p>
        </w:tc>
        <w:tc>
          <w:tcPr>
            <w:tcW w:w="350"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5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per common share attributable to Comcast Corporation shareholders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9"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0.91</w:t>
            </w: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0.78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16.7</w:t>
            </w:r>
            <w:r>
              <w:rPr>
                <w:color w:val="000000"/>
              </w:rPr>
              <w:t> </w:t>
            </w:r>
          </w:p>
        </w:tc>
        <w:tc>
          <w:tcPr>
            <w:tcW w:w="3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5676"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5"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76"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Adjusted EBITDA</w:t>
            </w:r>
            <w:r>
              <w:rPr>
                <w:rFonts w:ascii="Times New Roman;sans-serif" w:hAnsi="Times New Roman;sans-serif"/>
                <w:b w:val="false"/>
                <w:color w:val="000000"/>
                <w:sz w:val="13"/>
              </w:rPr>
              <w: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9,415</w:t>
            </w:r>
            <w:r>
              <w:rPr>
                <w:color w:val="000000"/>
              </w:rPr>
              <w:t> </w:t>
            </w:r>
          </w:p>
        </w:tc>
        <w:tc>
          <w:tcPr>
            <w:tcW w:w="12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9,150</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567"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2.9</w:t>
            </w:r>
            <w:r>
              <w:rPr>
                <w:color w:val="000000"/>
              </w:rPr>
              <w:t> </w:t>
            </w:r>
          </w:p>
        </w:tc>
        <w:tc>
          <w:tcPr>
            <w:tcW w:w="35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spacing w:lineRule="auto" w:line="288"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Percentage changes that are considered not meaningful are denoted with NM.</w:t>
      </w:r>
    </w:p>
    <w:p>
      <w:pPr>
        <w:pStyle w:val="TextBody"/>
        <w:spacing w:lineRule="auto" w:line="288" w:before="0" w:after="4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(a)Adjusted EBITDA is a non-GAAP financial measure. Refer to the “Non-GAAP Financial Measures” section on page 25 for additional information, including our definition and our use of Adjusted EBITDA, and for a reconciliation from net income attributable to Comcast Corporation to Adjusted EBITDA.</w:t>
      </w:r>
    </w:p>
    <w:p>
      <w:pPr>
        <w:pStyle w:val="TextBody"/>
        <w:spacing w:before="0" w:after="40"/>
        <w:jc w:val="both"/>
        <w:rPr/>
      </w:pPr>
      <w:r>
        <w:rPr/>
      </w:r>
    </w:p>
    <w:p>
      <w:pPr>
        <w:pStyle w:val="TextBody"/>
        <w:spacing w:lineRule="auto" w:line="288" w:before="60" w:after="60"/>
        <w:jc w:val="both"/>
        <w:rPr/>
      </w:pPr>
      <w:r>
        <w:rPr>
          <w:rFonts w:ascii="Helvetica;sans-serif" w:hAnsi="Helvetica;sans-serif"/>
          <w:b/>
          <w:color w:val="000000"/>
          <w:sz w:val="20"/>
        </w:rPr>
        <w:t>Consolidated revenue</w:t>
      </w:r>
      <w:r>
        <w:rPr>
          <w:color w:val="000000"/>
        </w:rPr>
        <w:t xml:space="preserve"> </w:t>
      </w:r>
      <w:r>
        <w:rPr>
          <w:rFonts w:ascii="Times New Roman;sans-serif" w:hAnsi="Times New Roman;sans-serif"/>
          <w:b w:val="false"/>
          <w:color w:val="000000"/>
          <w:sz w:val="20"/>
        </w:rPr>
        <w:t>decreased for the three months ended March 31, 2023, driven by decreases in the Content &amp; Experiences and Connectivity &amp; Platforms businesses. Revenue for our reportable business segments and other businesses is discussed separately below under the heading “Segment Operating Results.”</w:t>
      </w:r>
    </w:p>
    <w:p>
      <w:pPr>
        <w:pStyle w:val="TextBody"/>
        <w:spacing w:lineRule="auto" w:line="288" w:before="0" w:after="108"/>
        <w:jc w:val="both"/>
        <w:rPr/>
      </w:pPr>
      <w:r>
        <w:rPr>
          <w:rFonts w:ascii="Helvetica;sans-serif" w:hAnsi="Helvetica;sans-serif"/>
          <w:b/>
          <w:color w:val="000000"/>
          <w:sz w:val="20"/>
        </w:rPr>
        <w:t>Consolidated costs and expenses</w:t>
      </w:r>
      <w:r>
        <w:rPr>
          <w:rFonts w:ascii="Times New Roman;sans-serif" w:hAnsi="Times New Roman;sans-serif"/>
          <w:b w:val="false"/>
          <w:color w:val="000000"/>
          <w:sz w:val="20"/>
        </w:rPr>
        <w:t>, excluding depreciation and amortization expense, decreased for the three months ended March 31, 2023, driven by decreases in the Content &amp; Experiences and Connectivity &amp; Platforms businesses, partially offset by an increase in Corporate and Other. Costs and expenses for our reportable business segments and our corporate operations and other businesses are discussed separately below under the heading “Segment Operating Results.”</w:t>
      </w:r>
    </w:p>
    <w:p>
      <w:pPr>
        <w:pStyle w:val="TextBody"/>
        <w:spacing w:lineRule="auto" w:line="288" w:before="60" w:after="120"/>
        <w:jc w:val="both"/>
        <w:rPr/>
      </w:pPr>
      <w:r>
        <w:rPr>
          <w:rFonts w:ascii="Helvetica;sans-serif" w:hAnsi="Helvetica;sans-serif"/>
          <w:b/>
          <w:color w:val="000000"/>
          <w:sz w:val="20"/>
        </w:rPr>
        <w:t>Consolidated depreciation and amortization expense</w:t>
      </w:r>
      <w:r>
        <w:rPr>
          <w:color w:val="000000"/>
        </w:rPr>
        <w:t xml:space="preserve"> </w:t>
      </w:r>
      <w:r>
        <w:rPr>
          <w:rFonts w:ascii="Times New Roman;sans-serif" w:hAnsi="Times New Roman;sans-serif"/>
          <w:b w:val="false"/>
          <w:color w:val="000000"/>
          <w:sz w:val="20"/>
        </w:rPr>
        <w:t xml:space="preserve">increased for the three months ended March 31, 2023 primarily due to an increase in the amortization of software, partially offset by the impact of foreign currency.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84785"/>
                <wp:effectExtent l="0" t="0" r="0" b="0"/>
                <wp:wrapNone/>
                <wp:docPr id="19" name="Frame18"/>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60" w:after="120"/>
        <w:jc w:val="both"/>
        <w:rPr/>
      </w:pPr>
      <w:hyperlink w:anchor="i6cbedffc79ba431f8c6c5489cc9b606c_7">
        <w:r>
          <w:rPr>
            <w:rStyle w:val="InternetLink"/>
            <w:rFonts w:ascii="Times New Roman;sans-serif" w:hAnsi="Times New Roman;sans-serif"/>
            <w:b/>
            <w:color w:val="0000FF"/>
            <w:sz w:val="20"/>
            <w:u w:val="single"/>
          </w:rPr>
          <w:t>Table of Contents</w:t>
        </w:r>
      </w:hyperlink>
    </w:p>
    <w:p>
      <w:pPr>
        <w:pStyle w:val="TextBody"/>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from acquisition-related intangible assets totaled $556 million and $592 million for the three months ended March 31, 2023 and March 31, 2022, respectively. Amounts primarily relate to customer relationship intangible assets recorded in connection with the Sky transaction in 2018 and the NBCUniversal transaction in 2011.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60" w:after="283"/>
        <w:jc w:val="both"/>
        <w:rPr/>
      </w:pPr>
      <w:r>
        <w:rPr>
          <w:rFonts w:ascii="Helvetica;sans-serif" w:hAnsi="Helvetica;sans-serif"/>
          <w:b/>
          <w:color w:val="000000"/>
          <w:sz w:val="20"/>
        </w:rPr>
        <w:t xml:space="preserve">Consolidated interest expense </w:t>
      </w:r>
      <w:r>
        <w:rPr>
          <w:rFonts w:ascii="Times New Roman;sans-serif" w:hAnsi="Times New Roman;sans-serif"/>
          <w:b w:val="false"/>
          <w:color w:val="000000"/>
          <w:sz w:val="20"/>
        </w:rPr>
        <w:t>increased for the three months ended March 31, 2023</w:t>
      </w:r>
      <w:r>
        <w:rPr>
          <w:color w:val="000000"/>
          <w:highlight w:val="white"/>
        </w:rPr>
        <w:t xml:space="preserve"> </w:t>
      </w:r>
      <w:r>
        <w:rPr>
          <w:rFonts w:ascii="Times New Roman;sans-serif" w:hAnsi="Times New Roman;sans-serif"/>
          <w:b w:val="false"/>
          <w:color w:val="000000"/>
          <w:sz w:val="20"/>
        </w:rPr>
        <w:t>primarily due to higher weighted-average interest rates.</w:t>
      </w:r>
    </w:p>
    <w:p>
      <w:pPr>
        <w:pStyle w:val="TextBody"/>
        <w:spacing w:lineRule="auto" w:line="288" w:before="60" w:after="283"/>
        <w:jc w:val="both"/>
        <w:rPr/>
      </w:pPr>
      <w:r>
        <w:rPr>
          <w:rFonts w:ascii="Helvetica;sans-serif" w:hAnsi="Helvetica;sans-serif"/>
          <w:b/>
          <w:color w:val="000000"/>
          <w:sz w:val="20"/>
        </w:rPr>
        <w:t xml:space="preserve">Consolidated investment and other income (loss), net </w:t>
      </w:r>
      <w:r>
        <w:rPr>
          <w:rFonts w:ascii="Times New Roman;sans-serif" w:hAnsi="Times New Roman;sans-serif"/>
          <w:b w:val="false"/>
          <w:color w:val="000000"/>
          <w:sz w:val="20"/>
          <w:highlight w:val="white"/>
        </w:rPr>
        <w:t xml:space="preserve">increased for the three months ended March 31, 2023 compared to the same period in 2022. </w:t>
      </w:r>
    </w:p>
    <w:tbl>
      <w:tblPr>
        <w:tblW w:w="8590" w:type="dxa"/>
        <w:jc w:val="center"/>
        <w:tblInd w:w="0" w:type="dxa"/>
        <w:tblCellMar>
          <w:top w:w="28" w:type="dxa"/>
          <w:left w:w="28" w:type="dxa"/>
          <w:bottom w:w="28" w:type="dxa"/>
          <w:right w:w="28" w:type="dxa"/>
        </w:tblCellMar>
      </w:tblPr>
      <w:tblGrid>
        <w:gridCol w:w="1881"/>
        <w:gridCol w:w="1652"/>
        <w:gridCol w:w="1657"/>
        <w:gridCol w:w="109"/>
        <w:gridCol w:w="109"/>
        <w:gridCol w:w="109"/>
        <w:gridCol w:w="109"/>
        <w:gridCol w:w="168"/>
        <w:gridCol w:w="168"/>
        <w:gridCol w:w="326"/>
        <w:gridCol w:w="743"/>
        <w:gridCol w:w="168"/>
        <w:gridCol w:w="109"/>
        <w:gridCol w:w="109"/>
        <w:gridCol w:w="109"/>
        <w:gridCol w:w="211"/>
        <w:gridCol w:w="481"/>
        <w:gridCol w:w="109"/>
        <w:gridCol w:w="109"/>
        <w:gridCol w:w="154"/>
      </w:tblGrid>
      <w:tr>
        <w:trPr/>
        <w:tc>
          <w:tcPr>
            <w:tcW w:w="1881" w:type="dxa"/>
            <w:tcBorders/>
            <w:shd w:fill="auto" w:val="clear"/>
            <w:vAlign w:val="center"/>
          </w:tcPr>
          <w:p>
            <w:pPr>
              <w:pStyle w:val="TableContents"/>
              <w:spacing w:before="0" w:after="283"/>
              <w:rPr>
                <w:sz w:val="4"/>
                <w:szCs w:val="4"/>
              </w:rPr>
            </w:pPr>
            <w:r>
              <w:rPr>
                <w:sz w:val="4"/>
                <w:szCs w:val="4"/>
              </w:rPr>
            </w:r>
          </w:p>
        </w:tc>
        <w:tc>
          <w:tcPr>
            <w:tcW w:w="1652" w:type="dxa"/>
            <w:tcBorders/>
            <w:shd w:fill="auto" w:val="clear"/>
            <w:vAlign w:val="center"/>
          </w:tcPr>
          <w:p>
            <w:pPr>
              <w:pStyle w:val="TableContents"/>
              <w:spacing w:before="0" w:after="283"/>
              <w:rPr>
                <w:sz w:val="4"/>
                <w:szCs w:val="4"/>
              </w:rPr>
            </w:pPr>
            <w:r>
              <w:rPr>
                <w:sz w:val="4"/>
                <w:szCs w:val="4"/>
              </w:rPr>
            </w:r>
          </w:p>
        </w:tc>
        <w:tc>
          <w:tcPr>
            <w:tcW w:w="16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3"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br/>
              <w:t>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1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2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net income (losses) of investees,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and unrealized gains (losses) on equity securities,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(loss),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investment and other income (loss),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3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607</w:t>
            </w:r>
            <w:r>
              <w:rPr>
                <w:color w:val="000000"/>
              </w:rPr>
              <w:t> </w:t>
            </w:r>
          </w:p>
        </w:tc>
        <w:tc>
          <w:tcPr>
            <w:tcW w:w="16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188</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jc w:val="both"/>
        <w:rPr/>
      </w:pPr>
      <w:r>
        <w:rPr>
          <w:rFonts w:ascii="Times New Roman;sans-serif" w:hAnsi="Times New Roman;sans-serif"/>
          <w:b w:val="false"/>
          <w:color w:val="000000"/>
          <w:sz w:val="20"/>
        </w:rPr>
        <w:t>The chang</w:t>
      </w:r>
      <w:r>
        <w:rPr>
          <w:rFonts w:ascii="Times New Roman;sans-serif" w:hAnsi="Times New Roman;sans-serif"/>
          <w:b w:val="false"/>
          <w:color w:val="000000"/>
          <w:sz w:val="20"/>
          <w:highlight w:val="white"/>
        </w:rPr>
        <w:t>e in investment and other income (loss), net was primarily due to our investment in Atairos and changes in other income (loss), net and realized and unrealized gains (losses) on equity securities, net. The income (losses) at Atairos were driven by fair value adjustments on its underlying investments with income (loss) of $524 million and $78 million for the three months ended March 31, 2023 and March 31, 2022, respectively. The change in other income (loss), net for the three months ended March 31, 2023 compared to the s</w:t>
      </w:r>
      <w:r>
        <w:rPr>
          <w:rFonts w:ascii="Times New Roman;sans-serif" w:hAnsi="Times New Roman;sans-serif"/>
          <w:b w:val="false"/>
          <w:color w:val="000000"/>
          <w:sz w:val="20"/>
        </w:rPr>
        <w:t xml:space="preserve">ame period in 2022 primarily resulted from foreign exchange remeasurement losses in the prior year period, gains on insurance contracts compared to losses in the prior year period and increased interest income compared to the prior year period. </w:t>
      </w:r>
      <w:r>
        <w:rPr>
          <w:rFonts w:ascii="Times New Roman;sans-serif" w:hAnsi="Times New Roman;sans-serif"/>
          <w:b w:val="false"/>
          <w:color w:val="000000"/>
          <w:sz w:val="20"/>
          <w:highlight w:val="white"/>
        </w:rPr>
        <w:t xml:space="preserve">The change in realized and unrealized gains (losses) on equity securities, net for the three months ended March 31, 2023 compared to the same period in 2022 was primarily due to gains on nonmarketable securities in the prior year period, partially offset by losses on marketable securities in the prior year period.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60" w:after="120"/>
        <w:jc w:val="both"/>
        <w:rPr/>
      </w:pPr>
      <w:r>
        <w:rPr>
          <w:rFonts w:ascii="Helvetica;sans-serif" w:hAnsi="Helvetica;sans-serif"/>
          <w:b/>
          <w:color w:val="000000"/>
          <w:sz w:val="20"/>
          <w:highlight w:val="white"/>
        </w:rPr>
        <w:t>Consolidated income tax expense</w:t>
      </w:r>
      <w:r>
        <w:rPr>
          <w:color w:val="000000"/>
          <w:highlight w:val="white"/>
        </w:rPr>
        <w:t xml:space="preserve"> </w:t>
      </w:r>
      <w:r>
        <w:rPr>
          <w:rFonts w:ascii="Times New Roman;sans-serif" w:hAnsi="Times New Roman;sans-serif"/>
          <w:b w:val="false"/>
          <w:color w:val="000000"/>
          <w:sz w:val="20"/>
          <w:highlight w:val="white"/>
        </w:rPr>
        <w:t>for the three months ended March 31, 2023 and 2022 reflects an effective income tax rate that differs from the federal statutory rate due to state and foreign income taxes and adjustments associated with uncertain tax positions. The increase in income tax expense for the three months ended March 31, 2023 compared to the same period in 2022 was primarily driven by higher income before income taxes.</w:t>
      </w:r>
    </w:p>
    <w:p>
      <w:pPr>
        <w:pStyle w:val="TextBody"/>
        <w:spacing w:lineRule="auto" w:line="288" w:before="60" w:after="120"/>
        <w:jc w:val="both"/>
        <w:rPr/>
      </w:pPr>
      <w:r>
        <w:rPr>
          <w:rFonts w:ascii="Helvetica;sans-serif" w:hAnsi="Helvetica;sans-serif"/>
          <w:b/>
          <w:color w:val="000000"/>
          <w:sz w:val="20"/>
          <w:highlight w:val="white"/>
        </w:rPr>
        <w:t>Consolidated net income (loss) attributable to noncontrolling interests</w:t>
      </w:r>
      <w:r>
        <w:rPr>
          <w:color w:val="000000"/>
        </w:rPr>
        <w:t xml:space="preserve"> </w:t>
      </w:r>
      <w:r>
        <w:rPr>
          <w:rFonts w:ascii="Times New Roman;sans-serif" w:hAnsi="Times New Roman;sans-serif"/>
          <w:b w:val="false"/>
          <w:color w:val="000000"/>
          <w:sz w:val="20"/>
        </w:rPr>
        <w:t>changed</w:t>
      </w:r>
      <w:r>
        <w:rPr>
          <w:color w:val="000000"/>
          <w:highlight w:val="white"/>
        </w:rPr>
        <w:t xml:space="preserve"> </w:t>
      </w:r>
      <w:r>
        <w:rPr>
          <w:rFonts w:ascii="Times New Roman;sans-serif" w:hAnsi="Times New Roman;sans-serif"/>
          <w:b w:val="false"/>
          <w:color w:val="000000"/>
          <w:sz w:val="20"/>
          <w:highlight w:val="white"/>
        </w:rPr>
        <w:t>f</w:t>
      </w:r>
      <w:r>
        <w:rPr>
          <w:rFonts w:ascii="Times New Roman;sans-serif" w:hAnsi="Times New Roman;sans-serif"/>
          <w:b w:val="false"/>
          <w:color w:val="000000"/>
          <w:sz w:val="20"/>
        </w:rPr>
        <w:t xml:space="preserve">or the three months ended </w:t>
      </w:r>
      <w:r>
        <w:rPr>
          <w:rFonts w:ascii="Times New Roman;sans-serif" w:hAnsi="Times New Roman;sans-serif"/>
          <w:b w:val="false"/>
          <w:color w:val="000000"/>
          <w:sz w:val="20"/>
          <w:highlight w:val="white"/>
        </w:rPr>
        <w:t>March 31, 2023</w:t>
      </w:r>
      <w:r>
        <w:rPr>
          <w:color w:val="000000"/>
        </w:rPr>
        <w:t xml:space="preserve"> </w:t>
      </w:r>
      <w:r>
        <w:rPr>
          <w:rFonts w:ascii="Times New Roman;sans-serif" w:hAnsi="Times New Roman;sans-serif"/>
          <w:b w:val="false"/>
          <w:color w:val="000000"/>
          <w:sz w:val="20"/>
        </w:rPr>
        <w:t xml:space="preserve">compared with the same period in </w:t>
      </w:r>
      <w:r>
        <w:rPr>
          <w:rFonts w:ascii="Times New Roman;sans-serif" w:hAnsi="Times New Roman;sans-serif"/>
          <w:b w:val="false"/>
          <w:color w:val="000000"/>
          <w:sz w:val="20"/>
          <w:highlight w:val="white"/>
        </w:rPr>
        <w:t>2022</w:t>
      </w:r>
      <w:r>
        <w:rPr>
          <w:color w:val="000000"/>
        </w:rPr>
        <w:t xml:space="preserve"> </w:t>
      </w:r>
      <w:r>
        <w:rPr>
          <w:rFonts w:ascii="Times New Roman;sans-serif" w:hAnsi="Times New Roman;sans-serif"/>
          <w:b w:val="false"/>
          <w:color w:val="000000"/>
          <w:sz w:val="20"/>
        </w:rPr>
        <w:t xml:space="preserve">primarily due to lower losses at Universal Beijing Resort as a result of increased operations in the current year period, partially offset by losses in our Xumo streaming platform joint venture in the current year.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84785"/>
                <wp:effectExtent l="0" t="0" r="0" b="0"/>
                <wp:wrapNone/>
                <wp:docPr id="20" name="Frame19"/>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60" w:after="120"/>
        <w:jc w:val="both"/>
        <w:rPr/>
      </w:pPr>
      <w:hyperlink w:anchor="i6cbedffc79ba431f8c6c5489cc9b606c_7">
        <w:r>
          <w:rPr>
            <w:rStyle w:val="InternetLink"/>
            <w:rFonts w:ascii="Times New Roman;sans-serif" w:hAnsi="Times New Roman;sans-serif"/>
            <w:b/>
            <w:color w:val="0000FF"/>
            <w:sz w:val="20"/>
            <w:u w:val="single"/>
          </w:rPr>
          <w:t>Table of Contents</w:t>
        </w:r>
      </w:hyperlink>
    </w:p>
    <w:p>
      <w:pPr>
        <w:pStyle w:val="TextBody"/>
        <w:spacing w:lineRule="auto" w:line="288" w:before="240" w:after="60"/>
        <w:rPr>
          <w:rFonts w:ascii="Helvetica;sans-serif" w:hAnsi="Helvetica;sans-serif"/>
          <w:b/>
          <w:color w:val="000000"/>
          <w:sz w:val="24"/>
        </w:rPr>
      </w:pPr>
      <w:r>
        <w:rPr>
          <w:rFonts w:ascii="Helvetica;sans-serif" w:hAnsi="Helvetica;sans-serif"/>
          <w:b/>
          <w:color w:val="000000"/>
          <w:sz w:val="24"/>
        </w:rPr>
        <w:t>Segment Operating Results</w:t>
      </w:r>
    </w:p>
    <w:p>
      <w:pPr>
        <w:pStyle w:val="TextBody"/>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segment operating results are presented based on how we assess operating performance and internally report financial information. See Note 2 for additional information on our reportable business segments.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10" w:after="283"/>
        <w:rPr>
          <w:rFonts w:ascii="Helvetica;sans-serif" w:hAnsi="Helvetica;sans-serif"/>
          <w:b/>
          <w:color w:val="000000"/>
          <w:sz w:val="24"/>
        </w:rPr>
      </w:pPr>
      <w:r>
        <w:rPr>
          <w:rFonts w:ascii="Helvetica;sans-serif" w:hAnsi="Helvetica;sans-serif"/>
          <w:b/>
          <w:color w:val="000000"/>
          <w:sz w:val="24"/>
        </w:rPr>
        <w:t>Connectivity &amp; Platforms Results of Operations</w:t>
      </w:r>
    </w:p>
    <w:tbl>
      <w:tblPr>
        <w:tblW w:w="10205" w:type="dxa"/>
        <w:jc w:val="center"/>
        <w:tblInd w:w="0" w:type="dxa"/>
        <w:tblCellMar>
          <w:top w:w="28" w:type="dxa"/>
          <w:left w:w="28" w:type="dxa"/>
          <w:bottom w:w="28" w:type="dxa"/>
          <w:right w:w="28" w:type="dxa"/>
        </w:tblCellMar>
      </w:tblPr>
      <w:tblGrid>
        <w:gridCol w:w="1470"/>
        <w:gridCol w:w="1130"/>
        <w:gridCol w:w="905"/>
        <w:gridCol w:w="109"/>
        <w:gridCol w:w="109"/>
        <w:gridCol w:w="109"/>
        <w:gridCol w:w="109"/>
        <w:gridCol w:w="109"/>
        <w:gridCol w:w="113"/>
        <w:gridCol w:w="113"/>
        <w:gridCol w:w="219"/>
        <w:gridCol w:w="768"/>
        <w:gridCol w:w="314"/>
        <w:gridCol w:w="109"/>
        <w:gridCol w:w="109"/>
        <w:gridCol w:w="109"/>
        <w:gridCol w:w="211"/>
        <w:gridCol w:w="736"/>
        <w:gridCol w:w="301"/>
        <w:gridCol w:w="109"/>
        <w:gridCol w:w="109"/>
        <w:gridCol w:w="109"/>
        <w:gridCol w:w="366"/>
        <w:gridCol w:w="323"/>
        <w:gridCol w:w="901"/>
        <w:gridCol w:w="109"/>
        <w:gridCol w:w="109"/>
        <w:gridCol w:w="109"/>
        <w:gridCol w:w="227"/>
        <w:gridCol w:w="228"/>
        <w:gridCol w:w="354"/>
      </w:tblGrid>
      <w:tr>
        <w:trPr/>
        <w:tc>
          <w:tcPr>
            <w:tcW w:w="1470"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r>
      <w:tr>
        <w:trPr/>
        <w:tc>
          <w:tcPr>
            <w:tcW w:w="3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7"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16"/>
              </w:rPr>
              <w:t>Constant Currency Change</w:t>
            </w:r>
            <w:r>
              <w:rPr>
                <w:rFonts w:ascii="Times New Roman;sans-serif" w:hAnsi="Times New Roman;sans-serif"/>
                <w:b w:val="false"/>
                <w:color w:val="000000"/>
                <w:sz w:val="10"/>
              </w:rPr>
              <w:t>(b)</w:t>
            </w:r>
          </w:p>
        </w:tc>
        <w:tc>
          <w:tcPr>
            <w:tcW w:w="1136" w:type="dxa"/>
            <w:gridSpan w:val="6"/>
            <w:tcBorders/>
            <w:shd w:fill="auto" w:val="clear"/>
          </w:tcPr>
          <w:p>
            <w:pPr>
              <w:pStyle w:val="TableContents"/>
              <w:spacing w:before="0" w:after="283"/>
              <w:rPr>
                <w:sz w:val="4"/>
                <w:szCs w:val="4"/>
              </w:rPr>
            </w:pPr>
            <w:r>
              <w:rPr>
                <w:sz w:val="4"/>
                <w:szCs w:val="4"/>
              </w:rPr>
            </w:r>
          </w:p>
        </w:tc>
      </w:tr>
      <w:tr>
        <w:trPr/>
        <w:tc>
          <w:tcPr>
            <w:tcW w:w="3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35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Connectivity &amp; Platforms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17,869 </w:t>
            </w:r>
          </w:p>
        </w:tc>
        <w:tc>
          <w:tcPr>
            <w:tcW w:w="3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18,340 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Services Connectivity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2,283 </w:t>
            </w:r>
          </w:p>
        </w:tc>
        <w:tc>
          <w:tcPr>
            <w:tcW w:w="3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9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3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Connectivity &amp; Platforms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20,153</w:t>
            </w:r>
            <w:r>
              <w:rPr>
                <w:color w:val="000000"/>
              </w:rPr>
              <w:t>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20,512</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8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(0.1)</w:t>
            </w:r>
          </w:p>
        </w:tc>
        <w:tc>
          <w:tcPr>
            <w:tcW w:w="35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5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Connectivity &amp; Platforms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6,762 </w:t>
            </w:r>
          </w:p>
        </w:tc>
        <w:tc>
          <w:tcPr>
            <w:tcW w:w="3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6,611 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Services Connectivity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1,332 </w:t>
            </w:r>
          </w:p>
        </w:tc>
        <w:tc>
          <w:tcPr>
            <w:tcW w:w="3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9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3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Connectivity &amp; Platforms 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8,093</w:t>
            </w:r>
            <w:r>
              <w:rPr>
                <w:color w:val="000000"/>
              </w:rPr>
              <w:t>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7,844</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8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3.2</w:t>
            </w:r>
            <w:r>
              <w:rPr>
                <w:color w:val="000000"/>
              </w:rPr>
              <w:t> </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3.9</w:t>
            </w:r>
            <w:r>
              <w:rPr>
                <w:color w:val="000000"/>
              </w:rPr>
              <w:t> </w:t>
            </w:r>
          </w:p>
        </w:tc>
        <w:tc>
          <w:tcPr>
            <w:tcW w:w="35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5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Adjusted EBITDA Margin</w:t>
            </w:r>
            <w:r>
              <w:rPr>
                <w:rFonts w:ascii="Times New Roman;sans-serif" w:hAnsi="Times New Roman;sans-serif"/>
                <w:b/>
                <w:color w:val="000000"/>
                <w:sz w:val="13"/>
              </w:rPr>
              <w: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Connectivity &amp; Platforms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3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bps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bps</w:t>
            </w:r>
          </w:p>
        </w:tc>
      </w:tr>
      <w:tr>
        <w:trPr/>
        <w:tc>
          <w:tcPr>
            <w:tcW w:w="3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Services Connectivity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3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bps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bps</w:t>
            </w:r>
          </w:p>
        </w:tc>
      </w:tr>
      <w:tr>
        <w:trPr/>
        <w:tc>
          <w:tcPr>
            <w:tcW w:w="350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Connectivity &amp; Platforms Adjusted EBITDA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98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40.2</w:t>
            </w:r>
            <w:r>
              <w:rPr>
                <w:color w:val="000000"/>
              </w:rPr>
              <w:t> </w:t>
            </w:r>
          </w:p>
        </w:tc>
        <w:tc>
          <w:tcPr>
            <w:tcW w:w="3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38.2</w:t>
            </w:r>
            <w:r>
              <w:rPr>
                <w:color w:val="000000"/>
              </w:rPr>
              <w:t> </w:t>
            </w:r>
          </w:p>
        </w:tc>
        <w:tc>
          <w:tcPr>
            <w:tcW w:w="3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200 bps</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80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160 bps</w:t>
            </w:r>
          </w:p>
        </w:tc>
      </w:tr>
    </w:tbl>
    <w:p>
      <w:pPr>
        <w:pStyle w:val="TextBody"/>
        <w:spacing w:lineRule="auto" w:line="288" w:before="0" w:after="4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(a)Our Adjusted EBITDA margin is Adjusted EBITDA as a percentage of revenue. We believe this metric is useful particularly as we continue to focus on growing our high-margin businesses and improving overall operating cost management. Change in Adjusted EBITDA margin reflects the year-over-year basis point change. </w:t>
      </w:r>
    </w:p>
    <w:p>
      <w:pPr>
        <w:pStyle w:val="TextBody"/>
        <w:spacing w:lineRule="auto" w:line="288" w:before="0" w:after="4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(b)Constant currency is a non-GAAP financial measure. Refer to the “Non-GAAP Financial Measures” section on page 25 for additional information, including our definition and our use of constant currency, and for a reconciliation of constant currency amounts.</w:t>
      </w:r>
    </w:p>
    <w:p>
      <w:pPr>
        <w:pStyle w:val="TextBody"/>
        <w:spacing w:lineRule="auto" w:line="288" w:before="60" w:after="120"/>
        <w:ind w:left="0" w:right="0" w:firstLine="9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focus on growing our higher-margin connectivity businesses while managing overall operating costs. We also continue to invest in our network to support higher-speed broadband offerings and to expand the number of homes and businesses passed. Our customer relationships growth has slowed primarily reflecting continued low domestic household move levels and an increasingly competitive environment. We believe our residential connectivity revenue will increase as a result of growth in average domestic broadband revenue per customer, as well as increases in domestic wireless and international connectivity revenue. At the same time, we expect continued declines in video revenue as a result of domestic customer net losses due to shifting video consumption patterns and the competitive environment, although customer net losses typically partially mitigate the impact of continued rate increases on programming expenses. We also expect continued declines in other revenue in wireline voice revenue. Global economic conditions and consumer sentiment have in the past, and may continue to, adversely impact demand for our products and services and our results of operations. In addition, currency exchange rates have impacted our Residential Connectivity &amp; Platforms segment results as a result of the strengthening of the U.S. dollar, relative primarily to the British pound and euro.</w:t>
      </w:r>
    </w:p>
    <w:p>
      <w:pPr>
        <w:pStyle w:val="TextBody"/>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Business Services Connectivity segment will continue to grow by offering competitive services, including to medium-sized and enterprise customers.</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84785"/>
                <wp:effectExtent l="0" t="0" r="0" b="0"/>
                <wp:wrapNone/>
                <wp:docPr id="21" name="Frame20"/>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60" w:after="120"/>
        <w:jc w:val="both"/>
        <w:rPr/>
      </w:pPr>
      <w:hyperlink w:anchor="i6cbedffc79ba431f8c6c5489cc9b606c_7">
        <w:r>
          <w:rPr>
            <w:rStyle w:val="InternetLink"/>
            <w:rFonts w:ascii="Times New Roman;sans-serif" w:hAnsi="Times New Roman;sans-serif"/>
            <w:b/>
            <w:color w:val="0000FF"/>
            <w:sz w:val="20"/>
            <w:u w:val="single"/>
          </w:rPr>
          <w:t>Table of Contents</w:t>
        </w:r>
      </w:hyperlink>
    </w:p>
    <w:p>
      <w:pPr>
        <w:pStyle w:val="TextBody"/>
        <w:spacing w:lineRule="auto" w:line="288" w:before="60" w:after="120"/>
        <w:rPr>
          <w:rFonts w:ascii="Helvetica;sans-serif" w:hAnsi="Helvetica;sans-serif"/>
          <w:b/>
          <w:color w:val="000000"/>
          <w:sz w:val="20"/>
          <w:highlight w:val="white"/>
        </w:rPr>
      </w:pPr>
      <w:r>
        <w:rPr>
          <w:rFonts w:ascii="Helvetica;sans-serif" w:hAnsi="Helvetica;sans-serif"/>
          <w:b/>
          <w:color w:val="000000"/>
          <w:sz w:val="20"/>
          <w:highlight w:val="white"/>
        </w:rPr>
        <w:t>Connectivity &amp; Platforms Customer Metrics</w:t>
      </w:r>
    </w:p>
    <w:tbl>
      <w:tblPr>
        <w:tblW w:w="10205" w:type="dxa"/>
        <w:jc w:val="left"/>
        <w:tblInd w:w="0" w:type="dxa"/>
        <w:tblCellMar>
          <w:top w:w="28" w:type="dxa"/>
          <w:left w:w="28" w:type="dxa"/>
          <w:bottom w:w="28" w:type="dxa"/>
          <w:right w:w="28" w:type="dxa"/>
        </w:tblCellMar>
      </w:tblPr>
      <w:tblGrid>
        <w:gridCol w:w="2066"/>
        <w:gridCol w:w="1814"/>
        <w:gridCol w:w="1833"/>
        <w:gridCol w:w="360"/>
        <w:gridCol w:w="361"/>
        <w:gridCol w:w="156"/>
        <w:gridCol w:w="360"/>
        <w:gridCol w:w="361"/>
        <w:gridCol w:w="192"/>
        <w:gridCol w:w="109"/>
        <w:gridCol w:w="165"/>
        <w:gridCol w:w="453"/>
        <w:gridCol w:w="428"/>
        <w:gridCol w:w="428"/>
        <w:gridCol w:w="294"/>
        <w:gridCol w:w="281"/>
        <w:gridCol w:w="277"/>
        <w:gridCol w:w="109"/>
        <w:gridCol w:w="158"/>
      </w:tblGrid>
      <w:tr>
        <w:trPr/>
        <w:tc>
          <w:tcPr>
            <w:tcW w:w="2066" w:type="dxa"/>
            <w:tcBorders/>
            <w:shd w:fill="auto" w:val="clear"/>
            <w:vAlign w:val="center"/>
          </w:tcPr>
          <w:p>
            <w:pPr>
              <w:pStyle w:val="TableContents"/>
              <w:spacing w:before="0" w:after="283"/>
              <w:rPr>
                <w:sz w:val="4"/>
                <w:szCs w:val="4"/>
              </w:rPr>
            </w:pPr>
            <w:r>
              <w:rPr>
                <w:sz w:val="4"/>
                <w:szCs w:val="4"/>
              </w:rPr>
            </w:r>
          </w:p>
        </w:tc>
        <w:tc>
          <w:tcPr>
            <w:tcW w:w="1814" w:type="dxa"/>
            <w:tcBorders/>
            <w:shd w:fill="auto" w:val="clear"/>
            <w:vAlign w:val="center"/>
          </w:tcPr>
          <w:p>
            <w:pPr>
              <w:pStyle w:val="TableContents"/>
              <w:spacing w:before="0" w:after="283"/>
              <w:rPr>
                <w:sz w:val="4"/>
                <w:szCs w:val="4"/>
              </w:rPr>
            </w:pPr>
            <w:r>
              <w:rPr>
                <w:sz w:val="4"/>
                <w:szCs w:val="4"/>
              </w:rPr>
            </w:r>
          </w:p>
        </w:tc>
        <w:tc>
          <w:tcPr>
            <w:tcW w:w="1833"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7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9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2161"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Net Additions / (Losses)</w:t>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7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90"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474" w:type="dxa"/>
            <w:gridSpan w:val="4"/>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br/>
              <w:t>March 31,</w:t>
            </w:r>
          </w:p>
        </w:tc>
        <w:tc>
          <w:tcPr>
            <w:tcW w:w="85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tcPr>
          <w:p>
            <w:pPr>
              <w:pStyle w:val="TableContents"/>
              <w:spacing w:before="0" w:after="283"/>
              <w:rPr>
                <w:sz w:val="4"/>
                <w:szCs w:val="4"/>
              </w:rPr>
            </w:pPr>
            <w:r>
              <w:rPr>
                <w:sz w:val="4"/>
                <w:szCs w:val="4"/>
              </w:rPr>
            </w:r>
          </w:p>
        </w:tc>
      </w:tr>
      <w:tr>
        <w:trPr/>
        <w:tc>
          <w:tcPr>
            <w:tcW w:w="57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8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9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16"/>
              </w:rPr>
              <w:t>2022</w:t>
            </w:r>
            <w:r>
              <w:rPr>
                <w:rFonts w:ascii="Times New Roman;sans-serif" w:hAnsi="Times New Roman;sans-serif"/>
                <w:b w:val="false"/>
                <w:color w:val="000000"/>
                <w:sz w:val="10"/>
              </w:rPr>
              <w:t>(d)</w:t>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3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8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16"/>
              </w:rPr>
              <w:t>2022</w:t>
            </w:r>
            <w:r>
              <w:rPr>
                <w:rFonts w:ascii="Times New Roman;sans-serif" w:hAnsi="Times New Roman;sans-serif"/>
                <w:b w:val="false"/>
                <w:color w:val="000000"/>
                <w:sz w:val="10"/>
              </w:rPr>
              <w:t>(d)</w:t>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71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Customer relationships</w:t>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3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71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Domestic Residential Connectivity &amp; Platforms customer relationships</w:t>
            </w:r>
            <w:r>
              <w:rPr>
                <w:rFonts w:ascii="Times New Roman;sans-serif" w:hAnsi="Times New Roman;sans-serif"/>
                <w:b w:val="false"/>
                <w:color w:val="000000"/>
                <w:sz w:val="13"/>
              </w:rPr>
              <w:t>(a)</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31,993 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4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713"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International Residential Connectivity &amp; Platforms customer relationships</w:t>
            </w:r>
            <w:r>
              <w:rPr>
                <w:rFonts w:ascii="Times New Roman;sans-serif" w:hAnsi="Times New Roman;sans-serif"/>
                <w:b w:val="false"/>
                <w:color w:val="000000"/>
                <w:sz w:val="13"/>
              </w:rPr>
              <w:t>(a)</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17,908 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4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71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Business Services Connectivity customer relationships</w:t>
            </w:r>
            <w:r>
              <w:rPr>
                <w:rFonts w:ascii="Times New Roman;sans-serif" w:hAnsi="Times New Roman;sans-serif"/>
                <w:b w:val="false"/>
                <w:color w:val="000000"/>
                <w:sz w:val="13"/>
              </w:rPr>
              <w:t>(b)</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7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Connectivity &amp; Platforms customer relationships</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52,494 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4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ind w:left="0" w:right="0" w:hanging="360"/>
              <w:rPr>
                <w:sz w:val="4"/>
                <w:szCs w:val="4"/>
              </w:rPr>
            </w:pPr>
            <w:r>
              <w:rPr>
                <w:sz w:val="4"/>
                <w:szCs w:val="4"/>
              </w:rPr>
            </w:r>
          </w:p>
        </w:tc>
      </w:tr>
      <w:tr>
        <w:trPr/>
        <w:tc>
          <w:tcPr>
            <w:tcW w:w="571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Domestic broadband</w:t>
            </w:r>
          </w:p>
        </w:tc>
        <w:tc>
          <w:tcPr>
            <w:tcW w:w="87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30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713"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customers</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29,836 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ind w:left="0" w:right="0" w:hanging="180"/>
              <w:rPr>
                <w:sz w:val="4"/>
                <w:szCs w:val="4"/>
              </w:rPr>
            </w:pPr>
            <w:r>
              <w:rPr>
                <w:sz w:val="4"/>
                <w:szCs w:val="4"/>
              </w:rPr>
            </w:r>
          </w:p>
        </w:tc>
      </w:tr>
      <w:tr>
        <w:trPr/>
        <w:tc>
          <w:tcPr>
            <w:tcW w:w="57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customers</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7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domestic broadband customers</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32,324 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32,320 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71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Domestic wireless </w:t>
            </w:r>
          </w:p>
        </w:tc>
        <w:tc>
          <w:tcPr>
            <w:tcW w:w="87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30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71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Total domestic wireless lines</w:t>
            </w:r>
            <w:r>
              <w:rPr>
                <w:rFonts w:ascii="Times New Roman;sans-serif" w:hAnsi="Times New Roman;sans-serif"/>
                <w:b w:val="false"/>
                <w:color w:val="000000"/>
                <w:sz w:val="13"/>
              </w:rPr>
              <w:t>(c)</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4,298 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4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ind w:left="0" w:right="0" w:hanging="360"/>
              <w:rPr>
                <w:sz w:val="4"/>
                <w:szCs w:val="4"/>
              </w:rPr>
            </w:pPr>
            <w:r>
              <w:rPr>
                <w:sz w:val="4"/>
                <w:szCs w:val="4"/>
              </w:rPr>
            </w:r>
          </w:p>
        </w:tc>
      </w:tr>
      <w:tr>
        <w:trPr/>
        <w:tc>
          <w:tcPr>
            <w:tcW w:w="571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Domestic video</w:t>
            </w:r>
          </w:p>
        </w:tc>
        <w:tc>
          <w:tcPr>
            <w:tcW w:w="87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30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713"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domestic video customers</w:t>
            </w:r>
          </w:p>
        </w:tc>
        <w:tc>
          <w:tcPr>
            <w:tcW w:w="721"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15,528 </w:t>
            </w:r>
          </w:p>
        </w:tc>
        <w:tc>
          <w:tcPr>
            <w:tcW w:w="156"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721"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17,664 </w:t>
            </w:r>
          </w:p>
        </w:tc>
        <w:tc>
          <w:tcPr>
            <w:tcW w:w="192"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881"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w:t>
            </w:r>
          </w:p>
        </w:tc>
        <w:tc>
          <w:tcPr>
            <w:tcW w:w="428"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575"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w:t>
            </w:r>
          </w:p>
        </w:tc>
        <w:tc>
          <w:tcPr>
            <w:tcW w:w="277"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713"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91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309"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713"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91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309"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713"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91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309"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713"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91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309"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4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(a)Residential Connectivity &amp; Platforms customer relationships generally represent the number of residential customer locations that subscribe to at least one of our services. International Residential Connectivity &amp; Platforms customer relationships represent customers receiving Sky services in the Connectivity &amp; Platforms markets. Previously reported total Sky customer relationships of approximately 23 million as of December 31, 2022 also included approximately 5 million customer relationships receiving Sky services outside of the Connectivity &amp; Platforms markets. Because each of our services includes a variety of product tiers, which may change from time to time, net additions or losses in any one period will reflect a mix of customers at various tiers. </w:t>
      </w:r>
    </w:p>
    <w:p>
      <w:pPr>
        <w:pStyle w:val="TextBody"/>
        <w:spacing w:lineRule="auto" w:line="288" w:before="0" w:after="40"/>
        <w:ind w:left="0" w:right="0" w:hanging="270"/>
        <w:jc w:val="both"/>
        <w:rPr/>
      </w:pPr>
      <w:r>
        <w:rPr>
          <w:rFonts w:ascii="Times New Roman;sans-serif" w:hAnsi="Times New Roman;sans-serif"/>
          <w:b w:val="false"/>
          <w:color w:val="000000"/>
          <w:sz w:val="16"/>
        </w:rPr>
        <w:t>(b)Business Services Connectivity customer metrics are gener</w:t>
      </w:r>
      <w:r>
        <w:rPr>
          <w:rFonts w:ascii="Times New Roman;sans-serif" w:hAnsi="Times New Roman;sans-serif"/>
          <w:b w:val="false"/>
          <w:color w:val="000000"/>
          <w:sz w:val="16"/>
          <w:highlight w:val="white"/>
        </w:rPr>
        <w:t>ally counted based on the number of locations receiving services, including locations within our distribution system in the United States, as well as locations outside of our distribution system both in the United States and internationally. Certain arrangements whereby third parties provide connectivity services leveraging our distribution system are also generally counted based on the number of locations served.</w:t>
      </w:r>
    </w:p>
    <w:p>
      <w:pPr>
        <w:pStyle w:val="TextBody"/>
        <w:spacing w:lineRule="auto" w:line="288" w:before="0" w:after="40"/>
        <w:ind w:left="0" w:right="0" w:hanging="270"/>
        <w:jc w:val="both"/>
        <w:rPr/>
      </w:pPr>
      <w:r>
        <w:rPr>
          <w:rFonts w:ascii="Times New Roman;sans-serif" w:hAnsi="Times New Roman;sans-serif"/>
          <w:b w:val="false"/>
          <w:color w:val="000000"/>
          <w:sz w:val="16"/>
          <w:highlight w:val="white"/>
        </w:rPr>
        <w:t>(c)Domestic wireless lines represent the number of residential and business customers</w:t>
      </w:r>
      <w:r>
        <w:rPr>
          <w:color w:val="000000"/>
        </w:rPr>
        <w:t>’</w:t>
      </w:r>
      <w:r>
        <w:rPr>
          <w:color w:val="000000"/>
          <w:highlight w:val="white"/>
        </w:rPr>
        <w:t xml:space="preserve"> </w:t>
      </w:r>
      <w:r>
        <w:rPr>
          <w:rFonts w:ascii="Times New Roman;sans-serif" w:hAnsi="Times New Roman;sans-serif"/>
          <w:b w:val="false"/>
          <w:color w:val="000000"/>
          <w:sz w:val="16"/>
          <w:highlight w:val="white"/>
        </w:rPr>
        <w:t>wireless devices. An individual customer relationship may have multiple wireless lines.</w:t>
      </w:r>
    </w:p>
    <w:p>
      <w:pPr>
        <w:pStyle w:val="TextBody"/>
        <w:spacing w:lineRule="auto" w:line="288" w:before="0" w:after="40"/>
        <w:ind w:left="0" w:right="0" w:hanging="270"/>
        <w:jc w:val="both"/>
        <w:rPr/>
      </w:pPr>
      <w:r>
        <w:rPr>
          <w:rFonts w:ascii="Times New Roman;sans-serif" w:hAnsi="Times New Roman;sans-serif"/>
          <w:b w:val="false"/>
          <w:color w:val="000000"/>
          <w:sz w:val="16"/>
          <w:highlight w:val="white"/>
        </w:rPr>
        <w:t>(d)</w:t>
      </w:r>
      <w:r>
        <w:rPr>
          <w:rFonts w:ascii="Times New Roman;sans-serif" w:hAnsi="Times New Roman;sans-serif"/>
          <w:b w:val="false"/>
          <w:color w:val="000000"/>
          <w:sz w:val="16"/>
        </w:rPr>
        <w:t xml:space="preserve">Customer metrics for 2022 have been updated to reflect the new segment presentation, and to align methodologies for counting business customer metrics to: (1) include locations receiving our services outside of our distribution system and (2) now count certain customers based on the number of locations receiving services, including arrangements whereby third parties provide connectivity services leveraging our distribution system. These changes in methodology were not material to any period presented. </w:t>
      </w:r>
    </w:p>
    <w:p>
      <w:pPr>
        <w:pStyle w:val="TextBody"/>
        <w:spacing w:before="60" w:after="108"/>
        <w:jc w:val="both"/>
        <w:rPr/>
      </w:pPr>
      <w:r>
        <w:rPr/>
      </w:r>
    </w:p>
    <w:tbl>
      <w:tblPr>
        <w:tblW w:w="10205" w:type="dxa"/>
        <w:jc w:val="center"/>
        <w:tblInd w:w="0" w:type="dxa"/>
        <w:tblCellMar>
          <w:top w:w="28" w:type="dxa"/>
          <w:left w:w="28" w:type="dxa"/>
          <w:bottom w:w="28" w:type="dxa"/>
          <w:right w:w="28" w:type="dxa"/>
        </w:tblCellMar>
      </w:tblPr>
      <w:tblGrid>
        <w:gridCol w:w="1539"/>
        <w:gridCol w:w="1351"/>
        <w:gridCol w:w="1358"/>
        <w:gridCol w:w="109"/>
        <w:gridCol w:w="109"/>
        <w:gridCol w:w="109"/>
        <w:gridCol w:w="121"/>
        <w:gridCol w:w="121"/>
        <w:gridCol w:w="235"/>
        <w:gridCol w:w="805"/>
        <w:gridCol w:w="121"/>
        <w:gridCol w:w="109"/>
        <w:gridCol w:w="109"/>
        <w:gridCol w:w="109"/>
        <w:gridCol w:w="211"/>
        <w:gridCol w:w="721"/>
        <w:gridCol w:w="109"/>
        <w:gridCol w:w="455"/>
        <w:gridCol w:w="455"/>
        <w:gridCol w:w="457"/>
        <w:gridCol w:w="223"/>
        <w:gridCol w:w="225"/>
        <w:gridCol w:w="271"/>
        <w:gridCol w:w="223"/>
        <w:gridCol w:w="225"/>
        <w:gridCol w:w="325"/>
      </w:tblGrid>
      <w:tr>
        <w:trPr/>
        <w:tc>
          <w:tcPr>
            <w:tcW w:w="1539"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3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r>
      <w:tr>
        <w:trPr/>
        <w:tc>
          <w:tcPr>
            <w:tcW w:w="42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3"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Change</w:t>
            </w:r>
          </w:p>
        </w:tc>
        <w:tc>
          <w:tcPr>
            <w:tcW w:w="136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16"/>
              </w:rPr>
              <w:t>Constant Currency Change</w:t>
            </w:r>
            <w:r>
              <w:rPr>
                <w:rFonts w:ascii="Times New Roman;sans-serif" w:hAnsi="Times New Roman;sans-serif"/>
                <w:b w:val="false"/>
                <w:color w:val="000000"/>
                <w:sz w:val="10"/>
              </w:rPr>
              <w:t>(a)</w:t>
            </w:r>
          </w:p>
        </w:tc>
        <w:tc>
          <w:tcPr>
            <w:tcW w:w="1492" w:type="dxa"/>
            <w:gridSpan w:val="6"/>
            <w:tcBorders/>
            <w:shd w:fill="auto" w:val="clear"/>
          </w:tcPr>
          <w:p>
            <w:pPr>
              <w:pStyle w:val="TableContents"/>
              <w:spacing w:before="0" w:after="283"/>
              <w:rPr>
                <w:sz w:val="4"/>
                <w:szCs w:val="4"/>
              </w:rPr>
            </w:pPr>
            <w:r>
              <w:rPr>
                <w:sz w:val="4"/>
                <w:szCs w:val="4"/>
              </w:rPr>
            </w:r>
          </w:p>
        </w:tc>
      </w:tr>
      <w:tr>
        <w:trPr/>
        <w:tc>
          <w:tcPr>
            <w:tcW w:w="42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136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24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monthly total Connectivity &amp; Platforms revenue per customer relationship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48"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monthly total Connectivity &amp; Platforms Adjusted EBITDA per customer relationship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5"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51.42 </w:t>
            </w:r>
          </w:p>
        </w:tc>
        <w:tc>
          <w:tcPr>
            <w:tcW w:w="121"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49.85 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36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448"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8"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25"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4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(a)Constant currency is a non-GAAP financial measure. Refer to the “Non-GAAP Financial Measures” section on page 25 for additional information, including our definition and our use of constant currency, and for a reconciliation of constant currency amounts.</w:t>
      </w:r>
    </w:p>
    <w:p>
      <w:pPr>
        <w:pStyle w:val="TextBody"/>
        <w:spacing w:before="0" w:after="40"/>
        <w:rPr/>
      </w:pPr>
      <w:r>
        <w:rPr/>
      </w:r>
    </w:p>
    <w:p>
      <w:pPr>
        <w:pStyle w:val="TextBody"/>
        <w:spacing w:lineRule="auto" w:line="288" w:before="36" w:after="108"/>
        <w:jc w:val="both"/>
        <w:rPr>
          <w:rFonts w:ascii="Times New Roman;sans-serif" w:hAnsi="Times New Roman;sans-serif"/>
          <w:b w:val="false"/>
          <w:color w:val="000000"/>
          <w:sz w:val="20"/>
        </w:rPr>
      </w:pPr>
      <w:r>
        <w:rPr>
          <w:rFonts w:ascii="Times New Roman;sans-serif" w:hAnsi="Times New Roman;sans-serif"/>
          <w:b w:val="false"/>
          <w:color w:val="000000"/>
          <w:sz w:val="20"/>
        </w:rPr>
        <w:t>Average monthly total revenue per customer relationship is impacted by rate adjustments and changes in the types and levels of services received by our residential and business customers, as well as changes in advertising and other revenue and in foreign currency exchange rates. While revenue from our individual service offerings is also impacted by changes in the allocation of revenue among services sold in a bundle, the allocation does not impact average monthly total revenue per customer relationship. Each of our services has a different contribution to Adjusted EBITDA margin. We use average monthly Adjusted EBITDA per customer relationship to evaluate the profitability of our customer base across our service offerings. We believe both metrics are useful to understand the trends in our business, and average monthly Adjusted EBITDA per customer relationship is useful particularly as we continue to focus on growing our higher-margin businesses.</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84785"/>
                <wp:effectExtent l="0" t="0" r="0" b="0"/>
                <wp:wrapNone/>
                <wp:docPr id="22" name="Frame21"/>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60" w:after="120"/>
        <w:jc w:val="both"/>
        <w:rPr/>
      </w:pPr>
      <w:hyperlink w:anchor="i6cbedffc79ba431f8c6c5489cc9b606c_7">
        <w:r>
          <w:rPr>
            <w:rStyle w:val="InternetLink"/>
            <w:rFonts w:ascii="Times New Roman;sans-serif" w:hAnsi="Times New Roman;sans-serif"/>
            <w:b/>
            <w:color w:val="0000FF"/>
            <w:sz w:val="20"/>
            <w:u w:val="single"/>
          </w:rPr>
          <w:t>Table of Contents</w:t>
        </w:r>
      </w:hyperlink>
    </w:p>
    <w:p>
      <w:pPr>
        <w:pStyle w:val="TextBody"/>
        <w:spacing w:lineRule="auto" w:line="288" w:before="0" w:after="108"/>
        <w:jc w:val="both"/>
        <w:rPr>
          <w:rFonts w:ascii="Helvetica;sans-serif" w:hAnsi="Helvetica;sans-serif"/>
          <w:b/>
          <w:color w:val="000000"/>
          <w:sz w:val="20"/>
          <w:highlight w:val="white"/>
        </w:rPr>
      </w:pPr>
      <w:r>
        <w:rPr>
          <w:rFonts w:ascii="Helvetica;sans-serif" w:hAnsi="Helvetica;sans-serif"/>
          <w:b/>
          <w:color w:val="000000"/>
          <w:sz w:val="20"/>
          <w:highlight w:val="white"/>
        </w:rPr>
        <w:t>Connectivity &amp; Platforms — Supplemental Costs and Expenses Information</w:t>
      </w:r>
    </w:p>
    <w:p>
      <w:pPr>
        <w:pStyle w:val="TextBody"/>
        <w:spacing w:lineRule="auto" w:line="288" w:before="36" w:after="10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Connectivity &amp; Platforms supplemental costs and expenses information in the table below is presented on an aggregate basis across the Connectivity &amp; Platforms segments as the segments use certain shared infrastructure, including the cable distribution network in the United States. Costs and expenses information reported separately for the Residential Connectivity &amp; Platforms and Business Services Connectivity segments include each segment’s direct costs and an allocation of shared costs. </w:t>
      </w:r>
    </w:p>
    <w:tbl>
      <w:tblPr>
        <w:tblW w:w="10205" w:type="dxa"/>
        <w:jc w:val="left"/>
        <w:tblInd w:w="0" w:type="dxa"/>
        <w:tblCellMar>
          <w:top w:w="28" w:type="dxa"/>
          <w:left w:w="28" w:type="dxa"/>
          <w:bottom w:w="28" w:type="dxa"/>
          <w:right w:w="28" w:type="dxa"/>
        </w:tblCellMar>
      </w:tblPr>
      <w:tblGrid>
        <w:gridCol w:w="1313"/>
        <w:gridCol w:w="1101"/>
        <w:gridCol w:w="1061"/>
        <w:gridCol w:w="109"/>
        <w:gridCol w:w="109"/>
        <w:gridCol w:w="109"/>
        <w:gridCol w:w="109"/>
        <w:gridCol w:w="109"/>
        <w:gridCol w:w="126"/>
        <w:gridCol w:w="126"/>
        <w:gridCol w:w="246"/>
        <w:gridCol w:w="859"/>
        <w:gridCol w:w="126"/>
        <w:gridCol w:w="109"/>
        <w:gridCol w:w="109"/>
        <w:gridCol w:w="109"/>
        <w:gridCol w:w="211"/>
        <w:gridCol w:w="736"/>
        <w:gridCol w:w="109"/>
        <w:gridCol w:w="563"/>
        <w:gridCol w:w="563"/>
        <w:gridCol w:w="566"/>
        <w:gridCol w:w="230"/>
        <w:gridCol w:w="232"/>
        <w:gridCol w:w="301"/>
        <w:gridCol w:w="254"/>
        <w:gridCol w:w="257"/>
        <w:gridCol w:w="353"/>
      </w:tblGrid>
      <w:tr>
        <w:trPr/>
        <w:tc>
          <w:tcPr>
            <w:tcW w:w="1313"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r>
      <w:tr>
        <w:trPr/>
        <w:tc>
          <w:tcPr>
            <w:tcW w:w="34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3"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Change</w:t>
            </w:r>
          </w:p>
        </w:tc>
        <w:tc>
          <w:tcPr>
            <w:tcW w:w="169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16"/>
              </w:rPr>
              <w:t>Constant Currency Change</w:t>
            </w:r>
            <w:r>
              <w:rPr>
                <w:rFonts w:ascii="Times New Roman;sans-serif" w:hAnsi="Times New Roman;sans-serif"/>
                <w:b w:val="false"/>
                <w:color w:val="000000"/>
                <w:sz w:val="10"/>
              </w:rPr>
              <w:t>(g)</w:t>
            </w:r>
          </w:p>
        </w:tc>
        <w:tc>
          <w:tcPr>
            <w:tcW w:w="1627" w:type="dxa"/>
            <w:gridSpan w:val="6"/>
            <w:tcBorders/>
            <w:shd w:fill="auto" w:val="clear"/>
          </w:tcPr>
          <w:p>
            <w:pPr>
              <w:pStyle w:val="TableContents"/>
              <w:spacing w:before="0" w:after="283"/>
              <w:rPr>
                <w:sz w:val="4"/>
                <w:szCs w:val="4"/>
              </w:rPr>
            </w:pPr>
            <w:r>
              <w:rPr>
                <w:sz w:val="4"/>
                <w:szCs w:val="4"/>
              </w:rPr>
            </w:r>
          </w:p>
        </w:tc>
      </w:tr>
      <w:tr>
        <w:trPr/>
        <w:tc>
          <w:tcPr>
            <w:tcW w:w="34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16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34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Programming</w:t>
            </w:r>
            <w:r>
              <w:rPr>
                <w:rFonts w:ascii="Times New Roman;sans-serif" w:hAnsi="Times New Roman;sans-serif"/>
                <w:b w:val="false"/>
                <w:color w:val="000000"/>
                <w:sz w:val="13"/>
              </w:rPr>
              <w: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Technical and support</w:t>
            </w:r>
            <w:r>
              <w:rPr>
                <w:rFonts w:ascii="Times New Roman;sans-serif" w:hAnsi="Times New Roman;sans-serif"/>
                <w:b w:val="false"/>
                <w:color w:val="000000"/>
                <w:sz w:val="13"/>
              </w:rPr>
              <w:t>(b)</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Direct product costs</w:t>
            </w:r>
            <w:r>
              <w:rPr>
                <w:rFonts w:ascii="Times New Roman;sans-serif" w:hAnsi="Times New Roman;sans-serif"/>
                <w:b w:val="false"/>
                <w:color w:val="000000"/>
                <w:sz w:val="13"/>
              </w:rPr>
              <w:t>(c)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3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Marketing and promotion</w:t>
            </w:r>
            <w:r>
              <w:rPr>
                <w:rFonts w:ascii="Times New Roman;sans-serif" w:hAnsi="Times New Roman;sans-serif"/>
                <w:b w:val="false"/>
                <w:color w:val="000000"/>
                <w:sz w:val="13"/>
              </w:rPr>
              <w:t>(d)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3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Customer service</w:t>
            </w:r>
            <w:r>
              <w:rPr>
                <w:rFonts w:ascii="Times New Roman;sans-serif" w:hAnsi="Times New Roman;sans-serif"/>
                <w:b w:val="false"/>
                <w:color w:val="000000"/>
                <w:sz w:val="13"/>
              </w:rPr>
              <w:t>(e)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(f)</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Connectivity &amp; Platforms 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12,059</w:t>
            </w:r>
            <w:r>
              <w:rPr>
                <w:color w:val="000000"/>
              </w:rPr>
              <w:t> </w:t>
            </w:r>
          </w:p>
        </w:tc>
        <w:tc>
          <w:tcPr>
            <w:tcW w:w="1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12,668</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692"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462"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(4.8)</w:t>
            </w:r>
          </w:p>
        </w:tc>
        <w:tc>
          <w:tcPr>
            <w:tcW w:w="30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1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(2.6)</w:t>
            </w:r>
          </w:p>
        </w:tc>
        <w:tc>
          <w:tcPr>
            <w:tcW w:w="35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spacing w:lineRule="auto" w:line="288" w:before="0" w:after="4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(a)Programming expenses, which represent our most significant operating expense, are the fees we incur to provide video services to our customers, and primarily include fees related to the distribution of television network programming and fees charged for retransmission of the signals from local broadcast television stations. These expenses also include the costs of content on the Sky-branded entertainment television channels, including amortization of licensed programming.</w:t>
      </w:r>
    </w:p>
    <w:p>
      <w:pPr>
        <w:pStyle w:val="TextBody"/>
        <w:spacing w:lineRule="auto" w:line="288" w:before="0" w:after="4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(b)Technical and support expenses primarily include costs for labor to complete service call and installation activities; and costs for network operations and satellite transmission, product development, fulfillment and provisioning.</w:t>
      </w:r>
    </w:p>
    <w:p>
      <w:pPr>
        <w:pStyle w:val="TextBody"/>
        <w:spacing w:lineRule="auto" w:line="288" w:before="0" w:after="4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(c)Direct product costs primarily include access fees related to using wireless and broadband networks owned by third parties to deliver our services and costs of products sold, including wireless devices and Sky Glass smart televisions.</w:t>
      </w:r>
    </w:p>
    <w:p>
      <w:pPr>
        <w:pStyle w:val="TextBody"/>
        <w:spacing w:lineRule="auto" w:line="288" w:before="0" w:after="4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(d)Marketing and promotion expenses include the costs associated with attracting new customers and promoting our service offerings.</w:t>
      </w:r>
    </w:p>
    <w:p>
      <w:pPr>
        <w:pStyle w:val="TextBody"/>
        <w:spacing w:lineRule="auto" w:line="288" w:before="0" w:after="4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(e)Customer service expenses include the personnel and other costs associated with customer service and certain selling activities.</w:t>
      </w:r>
    </w:p>
    <w:p>
      <w:pPr>
        <w:pStyle w:val="TextBody"/>
        <w:spacing w:lineRule="auto" w:line="288" w:before="0" w:after="4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(f)Other expenses primarily include administrative personnel costs; franchise and other regulatory fees; fees paid to third parties where we represent the advertising sales efforts; other business support costs, including building and office expenses, taxes and billing costs; and bad debt.</w:t>
      </w:r>
    </w:p>
    <w:p>
      <w:pPr>
        <w:pStyle w:val="TextBody"/>
        <w:spacing w:lineRule="auto" w:line="288" w:before="0" w:after="4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(g)Constant currency is a non-GAAP financial measure. Refer to the “Non-GAAP Financial Measures” section on page 25 for additional information, including our definition and our use of constant currency, and for a reconciliation of constant currency amounts.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10" w:after="283"/>
        <w:rPr>
          <w:rFonts w:ascii="Helvetica;sans-serif" w:hAnsi="Helvetica;sans-serif"/>
          <w:b/>
          <w:color w:val="000000"/>
          <w:sz w:val="24"/>
        </w:rPr>
      </w:pPr>
      <w:r>
        <w:rPr>
          <w:rFonts w:ascii="Helvetica;sans-serif" w:hAnsi="Helvetica;sans-serif"/>
          <w:b/>
          <w:color w:val="000000"/>
          <w:sz w:val="24"/>
        </w:rPr>
        <w:t>Residential Connectivity &amp; Platforms Segment Results of Operations</w:t>
      </w:r>
    </w:p>
    <w:tbl>
      <w:tblPr>
        <w:tblW w:w="9862" w:type="dxa"/>
        <w:jc w:val="left"/>
        <w:tblInd w:w="0" w:type="dxa"/>
        <w:tblCellMar>
          <w:top w:w="28" w:type="dxa"/>
          <w:left w:w="28" w:type="dxa"/>
          <w:bottom w:w="28" w:type="dxa"/>
          <w:right w:w="28" w:type="dxa"/>
        </w:tblCellMar>
      </w:tblPr>
      <w:tblGrid>
        <w:gridCol w:w="1024"/>
        <w:gridCol w:w="789"/>
        <w:gridCol w:w="767"/>
        <w:gridCol w:w="109"/>
        <w:gridCol w:w="109"/>
        <w:gridCol w:w="109"/>
        <w:gridCol w:w="109"/>
        <w:gridCol w:w="109"/>
        <w:gridCol w:w="146"/>
        <w:gridCol w:w="146"/>
        <w:gridCol w:w="284"/>
        <w:gridCol w:w="850"/>
        <w:gridCol w:w="146"/>
        <w:gridCol w:w="109"/>
        <w:gridCol w:w="109"/>
        <w:gridCol w:w="109"/>
        <w:gridCol w:w="211"/>
        <w:gridCol w:w="631"/>
        <w:gridCol w:w="109"/>
        <w:gridCol w:w="689"/>
        <w:gridCol w:w="689"/>
        <w:gridCol w:w="692"/>
        <w:gridCol w:w="291"/>
        <w:gridCol w:w="294"/>
        <w:gridCol w:w="301"/>
        <w:gridCol w:w="291"/>
        <w:gridCol w:w="294"/>
        <w:gridCol w:w="346"/>
      </w:tblGrid>
      <w:tr>
        <w:trPr/>
        <w:tc>
          <w:tcPr>
            <w:tcW w:w="1024"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r>
      <w:tr>
        <w:trPr/>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2"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Change</w:t>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16"/>
              </w:rPr>
              <w:t>Constant Currency Change</w:t>
            </w:r>
            <w:r>
              <w:rPr>
                <w:rFonts w:ascii="Times New Roman;sans-serif" w:hAnsi="Times New Roman;sans-serif"/>
                <w:b w:val="false"/>
                <w:color w:val="000000"/>
                <w:sz w:val="10"/>
              </w:rPr>
              <w:t>(a)</w:t>
            </w:r>
          </w:p>
        </w:tc>
        <w:tc>
          <w:tcPr>
            <w:tcW w:w="1817" w:type="dxa"/>
            <w:gridSpan w:val="6"/>
            <w:tcBorders/>
            <w:shd w:fill="auto" w:val="clear"/>
          </w:tcPr>
          <w:p>
            <w:pPr>
              <w:pStyle w:val="TableContents"/>
              <w:spacing w:before="0" w:after="283"/>
              <w:rPr>
                <w:sz w:val="4"/>
                <w:szCs w:val="4"/>
              </w:rPr>
            </w:pPr>
            <w:r>
              <w:rPr>
                <w:sz w:val="4"/>
                <w:szCs w:val="4"/>
              </w:rPr>
            </w:r>
          </w:p>
        </w:tc>
      </w:tr>
      <w:tr>
        <w:trPr/>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20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 broadband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6,343 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 wireless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3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connectivity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3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residential connectivity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Video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7,382 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3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17,869</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18,340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(2.6)</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(0.7)</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Programming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4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6,508 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6,762</w:t>
            </w:r>
            <w:r>
              <w:rPr>
                <w:color w:val="000000"/>
              </w:rPr>
              <w:t> </w:t>
            </w:r>
          </w:p>
        </w:tc>
        <w:tc>
          <w:tcPr>
            <w:tcW w:w="1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6,611</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070"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2.3</w:t>
            </w:r>
            <w:r>
              <w:rPr>
                <w:color w:val="000000"/>
              </w:rPr>
              <w:t> </w:t>
            </w:r>
          </w:p>
        </w:tc>
        <w:tc>
          <w:tcPr>
            <w:tcW w:w="30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85"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3.2</w:t>
            </w:r>
            <w:r>
              <w:rPr>
                <w:color w:val="000000"/>
              </w:rPr>
              <w:t> </w:t>
            </w:r>
          </w:p>
        </w:tc>
        <w:tc>
          <w:tcPr>
            <w:tcW w:w="3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spacing w:lineRule="auto" w:line="288" w:before="0" w:after="4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(a)Constant currency is a non-GAAP financial measure. Refer to the “Non-GAAP Financial Measures” section on page 25 for additional information, including our definition and our use of constant currency, and for a reconciliation of constant currency amounts.</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84785"/>
                <wp:effectExtent l="0" t="0" r="0" b="0"/>
                <wp:wrapNone/>
                <wp:docPr id="23" name="Frame22"/>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60" w:after="120"/>
        <w:jc w:val="both"/>
        <w:rPr/>
      </w:pPr>
      <w:hyperlink w:anchor="i6cbedffc79ba431f8c6c5489cc9b606c_7">
        <w:r>
          <w:rPr>
            <w:rStyle w:val="InternetLink"/>
            <w:rFonts w:ascii="Times New Roman;sans-serif" w:hAnsi="Times New Roman;sans-serif"/>
            <w:b/>
            <w:color w:val="0000FF"/>
            <w:sz w:val="20"/>
            <w:u w:val="single"/>
          </w:rPr>
          <w:t>Table of Contents</w:t>
        </w:r>
      </w:hyperlink>
    </w:p>
    <w:p>
      <w:pPr>
        <w:pStyle w:val="TextBody"/>
        <w:spacing w:lineRule="auto" w:line="288" w:before="60" w:after="120"/>
        <w:jc w:val="both"/>
        <w:rPr>
          <w:rFonts w:ascii="Helvetica;sans-serif" w:hAnsi="Helvetica;sans-serif"/>
          <w:b/>
          <w:color w:val="000000"/>
          <w:sz w:val="20"/>
        </w:rPr>
      </w:pPr>
      <w:r>
        <w:rPr>
          <w:rFonts w:ascii="Helvetica;sans-serif" w:hAnsi="Helvetica;sans-serif"/>
          <w:b/>
          <w:color w:val="000000"/>
          <w:sz w:val="20"/>
        </w:rPr>
        <w:t>Residential Connectivity &amp; Platforms Segment – Revenue</w:t>
      </w:r>
    </w:p>
    <w:p>
      <w:pPr>
        <w:pStyle w:val="TextBody"/>
        <w:spacing w:lineRule="auto" w:line="288" w:before="60" w:after="60"/>
        <w:jc w:val="both"/>
        <w:rPr/>
      </w:pPr>
      <w:r>
        <w:rPr>
          <w:rFonts w:ascii="Helvetica;sans-serif" w:hAnsi="Helvetica;sans-serif"/>
          <w:b/>
          <w:i/>
          <w:color w:val="000000"/>
          <w:sz w:val="20"/>
        </w:rPr>
        <w:t>Domestic broadband revenue</w:t>
      </w:r>
      <w:r>
        <w:rPr>
          <w:color w:val="000000"/>
          <w:highlight w:val="white"/>
        </w:rPr>
        <w:t xml:space="preserve"> </w:t>
      </w:r>
      <w:r>
        <w:rPr>
          <w:rFonts w:ascii="Times New Roman;sans-serif" w:hAnsi="Times New Roman;sans-serif"/>
          <w:b w:val="false"/>
          <w:color w:val="000000"/>
          <w:sz w:val="20"/>
          <w:highlight w:val="white"/>
        </w:rPr>
        <w:t>consists of revenue from sales of broadband services to residential customers in the United States, including equipment and installation services. Domestic broadband revenue also includes revenue related to our customers</w:t>
      </w:r>
      <w:r>
        <w:rPr>
          <w:color w:val="000000"/>
        </w:rPr>
        <w:t>’</w:t>
      </w:r>
      <w:r>
        <w:rPr>
          <w:color w:val="000000"/>
          <w:highlight w:val="white"/>
        </w:rPr>
        <w:t xml:space="preserve"> </w:t>
      </w:r>
      <w:r>
        <w:rPr>
          <w:rFonts w:ascii="Times New Roman;sans-serif" w:hAnsi="Times New Roman;sans-serif"/>
          <w:b w:val="false"/>
          <w:color w:val="000000"/>
          <w:sz w:val="20"/>
          <w:highlight w:val="white"/>
        </w:rPr>
        <w:t>use of Flex streaming devices and commission revenue related to sales of third-party direct-to-consumer (“DTC”) streaming services</w:t>
      </w:r>
      <w:r>
        <w:rPr>
          <w:rFonts w:ascii="Times New Roman;sans-serif" w:hAnsi="Times New Roman;sans-serif"/>
          <w:b w:val="false"/>
          <w:color w:val="000000"/>
          <w:sz w:val="20"/>
        </w:rPr>
        <w:t>.</w:t>
      </w:r>
    </w:p>
    <w:p>
      <w:pPr>
        <w:pStyle w:val="TextBody"/>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Domestic broadband revenue increased for the three months ended March 31, 2023 compared to the same period in 2022 primarily due to an increase in average rates.</w:t>
      </w:r>
    </w:p>
    <w:p>
      <w:pPr>
        <w:pStyle w:val="TextBody"/>
        <w:spacing w:lineRule="auto" w:line="288" w:before="60" w:after="60"/>
        <w:jc w:val="both"/>
        <w:rPr/>
      </w:pPr>
      <w:r>
        <w:rPr>
          <w:rFonts w:ascii="Helvetica;sans-serif" w:hAnsi="Helvetica;sans-serif"/>
          <w:b/>
          <w:i/>
          <w:color w:val="000000"/>
          <w:sz w:val="20"/>
        </w:rPr>
        <w:t xml:space="preserve">Domestic wireless revenue </w:t>
      </w:r>
      <w:r>
        <w:rPr>
          <w:rFonts w:ascii="Times New Roman;sans-serif" w:hAnsi="Times New Roman;sans-serif"/>
          <w:b w:val="false"/>
          <w:color w:val="000000"/>
          <w:sz w:val="20"/>
        </w:rPr>
        <w:t>consists of revenue from sales of wireless services and devices, including handsets, tablets and smart watches, to residential customers in the United States.</w:t>
      </w:r>
    </w:p>
    <w:p>
      <w:pPr>
        <w:pStyle w:val="TextBody"/>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Domestic wireless revenue increased for the three months ended March 31, 2023 compared to the same period in 2022 due to an increase in the number of customer lines and device sales.</w:t>
      </w:r>
    </w:p>
    <w:p>
      <w:pPr>
        <w:pStyle w:val="TextBody"/>
        <w:spacing w:lineRule="auto" w:line="288" w:before="60" w:after="60"/>
        <w:jc w:val="both"/>
        <w:rPr/>
      </w:pPr>
      <w:r>
        <w:rPr>
          <w:rFonts w:ascii="Helvetica;sans-serif" w:hAnsi="Helvetica;sans-serif"/>
          <w:b/>
          <w:i/>
          <w:color w:val="000000"/>
          <w:sz w:val="20"/>
        </w:rPr>
        <w:t xml:space="preserve">International connectivity revenue </w:t>
      </w:r>
      <w:r>
        <w:rPr>
          <w:rFonts w:ascii="Times New Roman;sans-serif" w:hAnsi="Times New Roman;sans-serif"/>
          <w:b w:val="false"/>
          <w:color w:val="000000"/>
          <w:sz w:val="20"/>
        </w:rPr>
        <w:t>consists of revenue from sales of broadband services, including equipment and installation services, wireless services and wireless devices to residential customers in the Connectivity &amp; Platforms markets in Europe, as well as commission revenue related to sales of third-party DTC streaming services.</w:t>
      </w:r>
    </w:p>
    <w:p>
      <w:pPr>
        <w:pStyle w:val="TextBody"/>
        <w:spacing w:lineRule="auto" w:line="288" w:before="60" w:after="120"/>
        <w:jc w:val="both"/>
        <w:rPr/>
      </w:pPr>
      <w:r>
        <w:rPr>
          <w:rFonts w:ascii="Times New Roman;sans-serif" w:hAnsi="Times New Roman;sans-serif"/>
          <w:b w:val="false"/>
          <w:color w:val="000000"/>
          <w:sz w:val="20"/>
        </w:rPr>
        <w:t>International connectivity revenue increased for the three</w:t>
      </w:r>
      <w:r>
        <w:rPr>
          <w:color w:val="000000"/>
          <w:highlight w:val="white"/>
        </w:rPr>
        <w:t xml:space="preserve"> </w:t>
      </w:r>
      <w:r>
        <w:rPr>
          <w:rFonts w:ascii="Times New Roman;sans-serif" w:hAnsi="Times New Roman;sans-serif"/>
          <w:b w:val="false"/>
          <w:color w:val="000000"/>
          <w:sz w:val="20"/>
          <w:highlight w:val="white"/>
        </w:rPr>
        <w:t>months ended March 31, 2023 compared to the same period in 2022</w:t>
      </w:r>
      <w:r>
        <w:rPr>
          <w:color w:val="000000"/>
        </w:rPr>
        <w:t xml:space="preserve"> </w:t>
      </w:r>
      <w:r>
        <w:rPr>
          <w:rFonts w:ascii="Times New Roman;sans-serif" w:hAnsi="Times New Roman;sans-serif"/>
          <w:b w:val="false"/>
          <w:color w:val="000000"/>
          <w:sz w:val="20"/>
        </w:rPr>
        <w:t>due to increases in wireless revenue, resulting from increases in sales of wireless devices and wireless services, and broadband revenue. Wireless and broadband revenues were negatively impacted by foreign currency.</w:t>
      </w:r>
    </w:p>
    <w:p>
      <w:pPr>
        <w:pStyle w:val="TextBody"/>
        <w:spacing w:lineRule="auto" w:line="288" w:before="60" w:after="60"/>
        <w:jc w:val="both"/>
        <w:rPr/>
      </w:pPr>
      <w:r>
        <w:rPr>
          <w:rFonts w:ascii="Helvetica;sans-serif" w:hAnsi="Helvetica;sans-serif"/>
          <w:b/>
          <w:i/>
          <w:color w:val="000000"/>
          <w:sz w:val="20"/>
          <w:highlight w:val="white"/>
        </w:rPr>
        <w:t xml:space="preserve">Video </w:t>
      </w:r>
      <w:r>
        <w:rPr>
          <w:rFonts w:ascii="Helvetica;sans-serif" w:hAnsi="Helvetica;sans-serif"/>
          <w:b/>
          <w:i/>
          <w:color w:val="000000"/>
          <w:sz w:val="20"/>
        </w:rPr>
        <w:t xml:space="preserve">revenue </w:t>
      </w:r>
      <w:r>
        <w:rPr>
          <w:rFonts w:ascii="Times New Roman;sans-serif" w:hAnsi="Times New Roman;sans-serif"/>
          <w:b w:val="false"/>
          <w:color w:val="000000"/>
          <w:sz w:val="20"/>
        </w:rPr>
        <w:t>consists of revenue from sales of video services to residential and business customers across the Connectivity &amp; Platforms markets, including equipment and installation services. Video includes pay-per-view and other transactional revenue and franchise fees, as well as revenue from sales of certain hardware, including Sky Glass smart televisions.</w:t>
      </w:r>
    </w:p>
    <w:p>
      <w:pPr>
        <w:pStyle w:val="TextBody"/>
        <w:spacing w:lineRule="auto" w:line="288" w:before="60" w:after="120"/>
        <w:jc w:val="both"/>
        <w:rPr/>
      </w:pPr>
      <w:r>
        <w:rPr>
          <w:rFonts w:ascii="Times New Roman;sans-serif" w:hAnsi="Times New Roman;sans-serif"/>
          <w:b w:val="false"/>
          <w:color w:val="000000"/>
          <w:sz w:val="20"/>
        </w:rPr>
        <w:t>Video r</w:t>
      </w:r>
      <w:r>
        <w:rPr>
          <w:rFonts w:ascii="Times New Roman;sans-serif" w:hAnsi="Times New Roman;sans-serif"/>
          <w:b w:val="false"/>
          <w:color w:val="000000"/>
          <w:sz w:val="20"/>
          <w:highlight w:val="white"/>
        </w:rPr>
        <w:t xml:space="preserve">evenue decreased for the </w:t>
      </w:r>
      <w:r>
        <w:rPr>
          <w:rFonts w:ascii="Times New Roman;sans-serif" w:hAnsi="Times New Roman;sans-serif"/>
          <w:b w:val="false"/>
          <w:color w:val="000000"/>
          <w:sz w:val="20"/>
        </w:rPr>
        <w:t>three</w:t>
      </w:r>
      <w:r>
        <w:rPr>
          <w:color w:val="000000"/>
          <w:highlight w:val="white"/>
        </w:rPr>
        <w:t xml:space="preserve"> </w:t>
      </w:r>
      <w:r>
        <w:rPr>
          <w:rFonts w:ascii="Times New Roman;sans-serif" w:hAnsi="Times New Roman;sans-serif"/>
          <w:b w:val="false"/>
          <w:color w:val="000000"/>
          <w:sz w:val="20"/>
          <w:highlight w:val="white"/>
        </w:rPr>
        <w:t>months ended March 31, 2023 compared to the same period in 2022 due to a decline in the number of video customers and the negative impact of foreign currency, partially offset by an increase in average rates.</w:t>
      </w:r>
    </w:p>
    <w:p>
      <w:pPr>
        <w:pStyle w:val="TextBody"/>
        <w:spacing w:lineRule="auto" w:line="288" w:before="60" w:after="60"/>
        <w:jc w:val="both"/>
        <w:rPr/>
      </w:pPr>
      <w:r>
        <w:rPr>
          <w:rFonts w:ascii="Helvetica;sans-serif" w:hAnsi="Helvetica;sans-serif"/>
          <w:b/>
          <w:i/>
          <w:color w:val="000000"/>
          <w:sz w:val="20"/>
          <w:highlight w:val="white"/>
        </w:rPr>
        <w:t xml:space="preserve">Advertising </w:t>
      </w:r>
      <w:r>
        <w:rPr>
          <w:rFonts w:ascii="Helvetica;sans-serif" w:hAnsi="Helvetica;sans-serif"/>
          <w:b/>
          <w:i/>
          <w:color w:val="000000"/>
          <w:sz w:val="20"/>
        </w:rPr>
        <w:t xml:space="preserve">revenue </w:t>
      </w:r>
      <w:r>
        <w:rPr>
          <w:rFonts w:ascii="Times New Roman;sans-serif" w:hAnsi="Times New Roman;sans-serif"/>
          <w:b w:val="false"/>
          <w:color w:val="000000"/>
          <w:sz w:val="20"/>
        </w:rPr>
        <w:t>includes revenue from the sale of advertising across our platforms in the Connectivity &amp; Platforms markets, including advertising as part of our distribution agreements with linear television networks in the United States, and advertising on Sky-branded entertainment television channels and digital properties. Advertising also includes revenue where we represent the sales efforts of third parties and from our advanced advertising businesses.</w:t>
      </w:r>
    </w:p>
    <w:p>
      <w:pPr>
        <w:pStyle w:val="TextBody"/>
        <w:spacing w:lineRule="auto" w:line="288" w:before="60" w:after="120"/>
        <w:jc w:val="both"/>
        <w:rPr/>
      </w:pPr>
      <w:r>
        <w:rPr>
          <w:rFonts w:ascii="Times New Roman;sans-serif" w:hAnsi="Times New Roman;sans-serif"/>
          <w:b w:val="false"/>
          <w:color w:val="000000"/>
          <w:sz w:val="20"/>
        </w:rPr>
        <w:t>Advertising revenue decreased for the three</w:t>
      </w:r>
      <w:r>
        <w:rPr>
          <w:color w:val="000000"/>
          <w:highlight w:val="white"/>
        </w:rPr>
        <w:t xml:space="preserve"> </w:t>
      </w:r>
      <w:r>
        <w:rPr>
          <w:rFonts w:ascii="Times New Roman;sans-serif" w:hAnsi="Times New Roman;sans-serif"/>
          <w:b w:val="false"/>
          <w:color w:val="000000"/>
          <w:sz w:val="20"/>
          <w:highlight w:val="white"/>
        </w:rPr>
        <w:t>months ended March 31, 2023 compared to the same period in 2022</w:t>
      </w:r>
      <w:r>
        <w:rPr>
          <w:color w:val="000000"/>
        </w:rPr>
        <w:t xml:space="preserve"> </w:t>
      </w:r>
      <w:r>
        <w:rPr>
          <w:rFonts w:ascii="Times New Roman;sans-serif" w:hAnsi="Times New Roman;sans-serif"/>
          <w:b w:val="false"/>
          <w:color w:val="000000"/>
          <w:sz w:val="20"/>
        </w:rPr>
        <w:t>primarily due to overall market weakness, the negative impact of foreign currency and a decline in domestic political advertising in the current year period.</w:t>
      </w:r>
    </w:p>
    <w:p>
      <w:pPr>
        <w:pStyle w:val="TextBody"/>
        <w:spacing w:lineRule="auto" w:line="288" w:before="60" w:after="60"/>
        <w:jc w:val="both"/>
        <w:rPr/>
      </w:pPr>
      <w:r>
        <w:rPr>
          <w:rFonts w:ascii="Helvetica;sans-serif" w:hAnsi="Helvetica;sans-serif"/>
          <w:b/>
          <w:i/>
          <w:color w:val="000000"/>
          <w:sz w:val="20"/>
          <w:highlight w:val="white"/>
        </w:rPr>
        <w:t xml:space="preserve">Other </w:t>
      </w:r>
      <w:r>
        <w:rPr>
          <w:rFonts w:ascii="Helvetica;sans-serif" w:hAnsi="Helvetica;sans-serif"/>
          <w:b/>
          <w:i/>
          <w:color w:val="000000"/>
          <w:sz w:val="20"/>
        </w:rPr>
        <w:t xml:space="preserve">revenue </w:t>
      </w:r>
      <w:r>
        <w:rPr>
          <w:rFonts w:ascii="Times New Roman;sans-serif" w:hAnsi="Times New Roman;sans-serif"/>
          <w:b w:val="false"/>
          <w:color w:val="000000"/>
          <w:sz w:val="20"/>
        </w:rPr>
        <w:t xml:space="preserve">includes revenue in the Connectivity &amp; Platforms markets from sales of wireline voice services to residential customers; our residential security and automation services businesses; the licensing of our technology platforms to other multichannel video providers; the distribution of our Sky-branded entertainment television channels on third-party platforms; commissions from electronic retailing networks; and certain billing and collection fees. </w:t>
      </w:r>
    </w:p>
    <w:p>
      <w:pPr>
        <w:pStyle w:val="TextBody"/>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revenue decreased for the three months ended March 31, 2023 compared to the same period in 2022 primarily due to a decrease in voice revenue driven by a decline in the number of residential wireline voice customers and a decrease due to the negative impact of foreign currency. </w:t>
      </w:r>
    </w:p>
    <w:p>
      <w:pPr>
        <w:pStyle w:val="TextBody"/>
        <w:spacing w:lineRule="auto" w:line="288" w:before="0" w:after="108"/>
        <w:jc w:val="both"/>
        <w:rPr>
          <w:rFonts w:ascii="Helvetica;sans-serif" w:hAnsi="Helvetica;sans-serif"/>
          <w:b/>
          <w:color w:val="000000"/>
          <w:sz w:val="20"/>
          <w:highlight w:val="white"/>
        </w:rPr>
      </w:pPr>
      <w:r>
        <w:rPr>
          <w:rFonts w:ascii="Helvetica;sans-serif" w:hAnsi="Helvetica;sans-serif"/>
          <w:b/>
          <w:color w:val="000000"/>
          <w:sz w:val="20"/>
          <w:highlight w:val="white"/>
        </w:rPr>
        <w:t>Residential Connectivity &amp; Platforms Segment – Costs and Expenses</w:t>
      </w:r>
    </w:p>
    <w:p>
      <w:pPr>
        <w:pStyle w:val="TextBody"/>
        <w:spacing w:lineRule="auto" w:line="288" w:before="60" w:after="60"/>
        <w:jc w:val="both"/>
        <w:rPr/>
      </w:pPr>
      <w:r>
        <w:rPr>
          <w:rFonts w:ascii="Helvetica;sans-serif" w:hAnsi="Helvetica;sans-serif"/>
          <w:b/>
          <w:i/>
          <w:color w:val="000000"/>
          <w:sz w:val="20"/>
        </w:rPr>
        <w:t>Programming expenses</w:t>
      </w:r>
      <w:r>
        <w:rPr>
          <w:color w:val="000000"/>
          <w:highlight w:val="white"/>
        </w:rPr>
        <w:t xml:space="preserve"> </w:t>
      </w:r>
      <w:r>
        <w:rPr>
          <w:rFonts w:ascii="Times New Roman;sans-serif" w:hAnsi="Times New Roman;sans-serif"/>
          <w:b w:val="false"/>
          <w:color w:val="000000"/>
          <w:sz w:val="20"/>
          <w:highlight w:val="white"/>
        </w:rPr>
        <w:t>decreased for the three months ended March 31, 2023 compared to the same period in 2022 primarily due to a decline in the number of domestic video subscribers and the impact of foreign currency, partially offset by domestic contractual rate increases and an increase in programming expenses for international sports channels.</w:t>
      </w:r>
    </w:p>
    <w:p>
      <w:pPr>
        <w:pStyle w:val="TextBody"/>
        <w:spacing w:lineRule="auto" w:line="288" w:before="60" w:after="60"/>
        <w:jc w:val="both"/>
        <w:rPr/>
      </w:pPr>
      <w:r>
        <w:rPr>
          <w:rFonts w:ascii="Helvetica;sans-serif" w:hAnsi="Helvetica;sans-serif"/>
          <w:b/>
          <w:i/>
          <w:color w:val="000000"/>
          <w:sz w:val="20"/>
        </w:rPr>
        <w:t>Other expenses</w:t>
      </w:r>
      <w:r>
        <w:rPr>
          <w:color w:val="000000"/>
        </w:rPr>
        <w:t xml:space="preserve"> </w:t>
      </w:r>
      <w:r>
        <w:rPr>
          <w:rFonts w:ascii="Times New Roman;sans-serif" w:hAnsi="Times New Roman;sans-serif"/>
          <w:b w:val="false"/>
          <w:color w:val="000000"/>
          <w:sz w:val="20"/>
        </w:rPr>
        <w:t>decreased for the three months ended March 31, 2023 compared to the same period in 2022 primarily due to the impact of foreign currency, decreased spending on marketing and promotion, lower technical and support costs, and a decrease in fees paid to third-party channels relating to advertising sales. These decreases were partially offset by increased direct product costs associated with our wireless service resulting from increases in device sales and the number of customers receiving the service.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84785"/>
                <wp:effectExtent l="0" t="0" r="0" b="0"/>
                <wp:wrapNone/>
                <wp:docPr id="24" name="Frame23"/>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60" w:after="120"/>
        <w:jc w:val="both"/>
        <w:rPr/>
      </w:pPr>
      <w:hyperlink w:anchor="i6cbedffc79ba431f8c6c5489cc9b606c_7">
        <w:r>
          <w:rPr>
            <w:rStyle w:val="InternetLink"/>
            <w:rFonts w:ascii="Times New Roman;sans-serif" w:hAnsi="Times New Roman;sans-serif"/>
            <w:b/>
            <w:color w:val="0000FF"/>
            <w:sz w:val="20"/>
            <w:u w:val="single"/>
          </w:rPr>
          <w:t>Table of Contents</w:t>
        </w:r>
      </w:hyperlink>
    </w:p>
    <w:p>
      <w:pPr>
        <w:pStyle w:val="TextBody"/>
        <w:spacing w:lineRule="auto" w:line="288" w:before="210" w:after="283"/>
        <w:rPr>
          <w:rFonts w:ascii="Helvetica;sans-serif" w:hAnsi="Helvetica;sans-serif"/>
          <w:b/>
          <w:color w:val="000000"/>
          <w:sz w:val="24"/>
        </w:rPr>
      </w:pPr>
      <w:r>
        <w:rPr>
          <w:rFonts w:ascii="Helvetica;sans-serif" w:hAnsi="Helvetica;sans-serif"/>
          <w:b/>
          <w:color w:val="000000"/>
          <w:sz w:val="24"/>
        </w:rPr>
        <w:t>Business Services Connectivity Segment Results of Operations</w:t>
      </w:r>
    </w:p>
    <w:tbl>
      <w:tblPr>
        <w:tblW w:w="6183" w:type="dxa"/>
        <w:jc w:val="left"/>
        <w:tblInd w:w="0" w:type="dxa"/>
        <w:tblCellMar>
          <w:top w:w="28" w:type="dxa"/>
          <w:left w:w="28" w:type="dxa"/>
          <w:bottom w:w="28" w:type="dxa"/>
          <w:right w:w="28" w:type="dxa"/>
        </w:tblCellMar>
      </w:tblPr>
      <w:tblGrid>
        <w:gridCol w:w="614"/>
        <w:gridCol w:w="539"/>
        <w:gridCol w:w="541"/>
        <w:gridCol w:w="109"/>
        <w:gridCol w:w="109"/>
        <w:gridCol w:w="109"/>
        <w:gridCol w:w="109"/>
        <w:gridCol w:w="109"/>
        <w:gridCol w:w="146"/>
        <w:gridCol w:w="146"/>
        <w:gridCol w:w="284"/>
        <w:gridCol w:w="850"/>
        <w:gridCol w:w="146"/>
        <w:gridCol w:w="109"/>
        <w:gridCol w:w="109"/>
        <w:gridCol w:w="109"/>
        <w:gridCol w:w="211"/>
        <w:gridCol w:w="631"/>
        <w:gridCol w:w="109"/>
        <w:gridCol w:w="109"/>
        <w:gridCol w:w="109"/>
        <w:gridCol w:w="109"/>
        <w:gridCol w:w="210"/>
        <w:gridCol w:w="211"/>
        <w:gridCol w:w="346"/>
      </w:tblGrid>
      <w:tr>
        <w:trPr/>
        <w:tc>
          <w:tcPr>
            <w:tcW w:w="614"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2"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Change</w:t>
            </w:r>
          </w:p>
        </w:tc>
        <w:tc>
          <w:tcPr>
            <w:tcW w:w="1094" w:type="dxa"/>
            <w:gridSpan w:val="6"/>
            <w:tcBorders/>
            <w:shd w:fill="auto" w:val="clea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1,332</w:t>
            </w:r>
            <w:r>
              <w:rPr>
                <w:color w:val="000000"/>
              </w:rPr>
              <w:t> </w:t>
            </w:r>
          </w:p>
        </w:tc>
        <w:tc>
          <w:tcPr>
            <w:tcW w:w="14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1,233</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8.0</w:t>
            </w:r>
            <w:r>
              <w:rPr>
                <w:color w:val="000000"/>
              </w:rPr>
              <w:t> </w:t>
            </w:r>
          </w:p>
        </w:tc>
        <w:tc>
          <w:tcPr>
            <w:tcW w:w="34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spacing w:lineRule="auto" w:line="288" w:before="60" w:after="60"/>
        <w:jc w:val="both"/>
        <w:rPr/>
      </w:pPr>
      <w:r>
        <w:rPr>
          <w:rFonts w:ascii="Helvetica;sans-serif" w:hAnsi="Helvetica;sans-serif"/>
          <w:b/>
          <w:i/>
          <w:color w:val="000000"/>
          <w:sz w:val="20"/>
        </w:rPr>
        <w:t>Business services connectivity revenue</w:t>
      </w:r>
      <w:r>
        <w:rPr>
          <w:color w:val="000000"/>
        </w:rPr>
        <w:t xml:space="preserve"> </w:t>
      </w:r>
      <w:r>
        <w:rPr>
          <w:rFonts w:ascii="Times New Roman;sans-serif" w:hAnsi="Times New Roman;sans-serif"/>
          <w:b w:val="false"/>
          <w:color w:val="000000"/>
          <w:sz w:val="20"/>
        </w:rPr>
        <w:t>primarily consists of revenue from our connectivity service offerings for small business locations, which include broadband, voice and wireless services, as well as our solutions for medium-sized customers and larger enterprises.</w:t>
      </w:r>
    </w:p>
    <w:p>
      <w:pPr>
        <w:pStyle w:val="TextBody"/>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Business services connectivity revenue increased for the three months ended March 31, 2023 compared to the same period in 2022 primarily due to an increase in revenue from small business customers driven by an increase in average rates, and an increase in revenue from medium-sized and enterprise customers. </w:t>
      </w:r>
    </w:p>
    <w:p>
      <w:pPr>
        <w:pStyle w:val="TextBody"/>
        <w:spacing w:lineRule="auto" w:line="288" w:before="60" w:after="60"/>
        <w:jc w:val="both"/>
        <w:rPr/>
      </w:pPr>
      <w:r>
        <w:rPr>
          <w:rFonts w:ascii="Helvetica;sans-serif" w:hAnsi="Helvetica;sans-serif"/>
          <w:b/>
          <w:i/>
          <w:color w:val="000000"/>
          <w:sz w:val="20"/>
        </w:rPr>
        <w:t>Business services connectivity costs and expenses</w:t>
      </w:r>
      <w:r>
        <w:rPr>
          <w:color w:val="000000"/>
        </w:rPr>
        <w:t xml:space="preserve"> </w:t>
      </w:r>
      <w:r>
        <w:rPr>
          <w:rFonts w:ascii="Times New Roman;sans-serif" w:hAnsi="Times New Roman;sans-serif"/>
          <w:b w:val="false"/>
          <w:color w:val="000000"/>
          <w:sz w:val="20"/>
        </w:rPr>
        <w:t>increased for the three months ended March 31, 2023 compared to the same period in 2022 primarily due to an increase in direct product costs.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10" w:after="283"/>
        <w:rPr>
          <w:rFonts w:ascii="Helvetica;sans-serif" w:hAnsi="Helvetica;sans-serif"/>
          <w:b/>
          <w:color w:val="000000"/>
          <w:sz w:val="24"/>
        </w:rPr>
      </w:pPr>
      <w:r>
        <w:rPr>
          <w:rFonts w:ascii="Helvetica;sans-serif" w:hAnsi="Helvetica;sans-serif"/>
          <w:b/>
          <w:color w:val="000000"/>
          <w:sz w:val="24"/>
        </w:rPr>
        <w:t>Content &amp; Experiences Results of Operations</w:t>
      </w:r>
    </w:p>
    <w:tbl>
      <w:tblPr>
        <w:tblW w:w="8915" w:type="dxa"/>
        <w:jc w:val="center"/>
        <w:tblInd w:w="0" w:type="dxa"/>
        <w:tblCellMar>
          <w:top w:w="28" w:type="dxa"/>
          <w:left w:w="28" w:type="dxa"/>
          <w:bottom w:w="28" w:type="dxa"/>
          <w:right w:w="28" w:type="dxa"/>
        </w:tblCellMar>
      </w:tblPr>
      <w:tblGrid>
        <w:gridCol w:w="1654"/>
        <w:gridCol w:w="1274"/>
        <w:gridCol w:w="1227"/>
        <w:gridCol w:w="109"/>
        <w:gridCol w:w="109"/>
        <w:gridCol w:w="109"/>
        <w:gridCol w:w="109"/>
        <w:gridCol w:w="109"/>
        <w:gridCol w:w="134"/>
        <w:gridCol w:w="134"/>
        <w:gridCol w:w="261"/>
        <w:gridCol w:w="910"/>
        <w:gridCol w:w="134"/>
        <w:gridCol w:w="109"/>
        <w:gridCol w:w="109"/>
        <w:gridCol w:w="109"/>
        <w:gridCol w:w="211"/>
        <w:gridCol w:w="736"/>
        <w:gridCol w:w="109"/>
        <w:gridCol w:w="109"/>
        <w:gridCol w:w="109"/>
        <w:gridCol w:w="109"/>
        <w:gridCol w:w="293"/>
        <w:gridCol w:w="293"/>
        <w:gridCol w:w="346"/>
      </w:tblGrid>
      <w:tr>
        <w:trPr/>
        <w:tc>
          <w:tcPr>
            <w:tcW w:w="1654"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c>
          <w:tcPr>
            <w:tcW w:w="12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3"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Change</w:t>
            </w:r>
          </w:p>
        </w:tc>
        <w:tc>
          <w:tcPr>
            <w:tcW w:w="1259" w:type="dxa"/>
            <w:gridSpan w:val="6"/>
            <w:tcBorders/>
            <w:shd w:fill="auto" w:val="clea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1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6,152 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3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Studios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Theme Parks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3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Headquarters and 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3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3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Content &amp; Experiences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10,259</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11,339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(9.5)</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155" w:type="dxa"/>
            <w:gridSpan w:val="3"/>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05"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3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Studios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3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Theme Parks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w:t>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Headquarters and 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3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15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Content &amp; Experiences 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6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1,607</w:t>
            </w:r>
            <w:r>
              <w:rPr>
                <w:color w:val="000000"/>
              </w:rPr>
              <w:t> </w:t>
            </w:r>
          </w:p>
        </w:tc>
        <w:tc>
          <w:tcPr>
            <w:tcW w:w="13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1,623</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w:t>
            </w:r>
          </w:p>
        </w:tc>
        <w:tc>
          <w:tcPr>
            <w:tcW w:w="3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spacing w:lineRule="auto" w:line="288"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Percentage changes that are considered not meaningful are denoted with NM.</w:t>
      </w:r>
    </w:p>
    <w:p>
      <w:pPr>
        <w:pStyle w:val="TextBody"/>
        <w:spacing w:lineRule="auto" w:line="288" w:before="96" w:after="108"/>
        <w:jc w:val="both"/>
        <w:rPr>
          <w:rFonts w:ascii="Times New Roman;sans-serif" w:hAnsi="Times New Roman;sans-serif"/>
          <w:b w:val="false"/>
          <w:color w:val="000000"/>
          <w:sz w:val="20"/>
        </w:rPr>
      </w:pPr>
      <w:r>
        <w:rPr>
          <w:rFonts w:ascii="Times New Roman;sans-serif" w:hAnsi="Times New Roman;sans-serif"/>
          <w:b w:val="false"/>
          <w:color w:val="000000"/>
          <w:sz w:val="20"/>
        </w:rPr>
        <w:t>We operate our Media segment as a combined television and streaming business. We expect that the number of subscribers and audience ratings at our linear networks will continue to decline as a result of the competitive environment and shifting video consumption patterns, which we aim to mitigate over time by continued growth in Peacock paid subscribers and advertising revenue. We expect to continue to incur significant costs related to additional content and marketing at Peacock, with such costs increasing in 2023. Revenue and programming expenses are also impacted by the timing of certain sporting events, including the Olympics, Super Bowl and FIFA World Cup in 2022. Global economic conditions and consumer sentiment have in the past, and may continue to, adversely impact demand for our products and services and our results of operations. In addition, currency exchange rates have impacted revenue and programming and production costs at our international networks as a result of the strengthening of the U.S. dollar, relative primarily to the British pound and euro.</w:t>
      </w:r>
    </w:p>
    <w:p>
      <w:pPr>
        <w:pStyle w:val="TextBody"/>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Studios segment generates revenue primarily from third parties and from licensing content to our Media segment. While results of operations for our Studios segment are not impacted, results for our total Content &amp; Experiences business may be impacted as the Studios segment licenses content to the Media segment, including for Peacock, rather than licensing the content to third parties.</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84785"/>
                <wp:effectExtent l="0" t="0" r="0" b="0"/>
                <wp:wrapNone/>
                <wp:docPr id="25" name="Frame24"/>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60" w:after="120"/>
        <w:jc w:val="both"/>
        <w:rPr/>
      </w:pPr>
      <w:hyperlink w:anchor="i6cbedffc79ba431f8c6c5489cc9b606c_7">
        <w:r>
          <w:rPr>
            <w:rStyle w:val="InternetLink"/>
            <w:rFonts w:ascii="Times New Roman;sans-serif" w:hAnsi="Times New Roman;sans-serif"/>
            <w:b/>
            <w:color w:val="0000FF"/>
            <w:sz w:val="20"/>
            <w:u w:val="single"/>
          </w:rPr>
          <w:t>Table of Contents</w:t>
        </w:r>
      </w:hyperlink>
    </w:p>
    <w:p>
      <w:pPr>
        <w:pStyle w:val="TextBody"/>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invest significantly in existing and new theme park attractions, hotels and infrastructure, including Epic Universe in Orlando, which we believe will have a positive impact on attendance and guest spending at our theme parks. Our results in prior periods were impacted by temporary restrictions and closures at our international theme parks due to COVID-19. In addition, currency exchange rates have impacted our international theme park results as a result of the strengthening of the U.S. dollar, particularly against the Japanese yen and Chinese yuan.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36" w:after="283"/>
        <w:rPr>
          <w:rFonts w:ascii="Helvetica;sans-serif" w:hAnsi="Helvetica;sans-serif"/>
          <w:b/>
          <w:color w:val="000000"/>
          <w:sz w:val="24"/>
        </w:rPr>
      </w:pPr>
      <w:r>
        <w:rPr>
          <w:rFonts w:ascii="Helvetica;sans-serif" w:hAnsi="Helvetica;sans-serif"/>
          <w:b/>
          <w:color w:val="000000"/>
          <w:sz w:val="24"/>
        </w:rPr>
        <w:t>Media Segment Results of Operations</w:t>
      </w:r>
    </w:p>
    <w:tbl>
      <w:tblPr>
        <w:tblW w:w="7159" w:type="dxa"/>
        <w:jc w:val="center"/>
        <w:tblInd w:w="0" w:type="dxa"/>
        <w:tblCellMar>
          <w:top w:w="28" w:type="dxa"/>
          <w:left w:w="28" w:type="dxa"/>
          <w:bottom w:w="28" w:type="dxa"/>
          <w:right w:w="28" w:type="dxa"/>
        </w:tblCellMar>
      </w:tblPr>
      <w:tblGrid>
        <w:gridCol w:w="1006"/>
        <w:gridCol w:w="777"/>
        <w:gridCol w:w="721"/>
        <w:gridCol w:w="109"/>
        <w:gridCol w:w="109"/>
        <w:gridCol w:w="109"/>
        <w:gridCol w:w="109"/>
        <w:gridCol w:w="109"/>
        <w:gridCol w:w="148"/>
        <w:gridCol w:w="148"/>
        <w:gridCol w:w="288"/>
        <w:gridCol w:w="841"/>
        <w:gridCol w:w="148"/>
        <w:gridCol w:w="109"/>
        <w:gridCol w:w="109"/>
        <w:gridCol w:w="109"/>
        <w:gridCol w:w="211"/>
        <w:gridCol w:w="631"/>
        <w:gridCol w:w="109"/>
        <w:gridCol w:w="109"/>
        <w:gridCol w:w="109"/>
        <w:gridCol w:w="109"/>
        <w:gridCol w:w="293"/>
        <w:gridCol w:w="293"/>
        <w:gridCol w:w="346"/>
      </w:tblGrid>
      <w:tr>
        <w:trPr/>
        <w:tc>
          <w:tcPr>
            <w:tcW w:w="1006"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3"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Change</w:t>
            </w:r>
          </w:p>
        </w:tc>
        <w:tc>
          <w:tcPr>
            <w:tcW w:w="1259" w:type="dxa"/>
            <w:gridSpan w:val="6"/>
            <w:tcBorders/>
            <w:shd w:fill="auto" w:val="clear"/>
          </w:tcPr>
          <w:p>
            <w:pPr>
              <w:pStyle w:val="TableContents"/>
              <w:spacing w:before="0" w:after="283"/>
              <w:rPr>
                <w:sz w:val="4"/>
                <w:szCs w:val="4"/>
              </w:rPr>
            </w:pPr>
            <w:r>
              <w:rPr>
                <w:sz w:val="4"/>
                <w:szCs w:val="4"/>
              </w:rPr>
            </w:r>
          </w:p>
        </w:tc>
      </w:tr>
      <w:tr>
        <w:trPr/>
        <w:tc>
          <w:tcPr>
            <w:tcW w:w="25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2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2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 advertising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w:t>
            </w:r>
          </w:p>
        </w:tc>
        <w:tc>
          <w:tcPr>
            <w:tcW w:w="3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 distribution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3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networks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3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6,152</w:t>
            </w: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7,758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(20.7)</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Programming and production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34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promotion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c>
          <w:tcPr>
            <w:tcW w:w="34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3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28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880</w:t>
            </w:r>
            <w:r>
              <w:rPr>
                <w:color w:val="000000"/>
              </w:rPr>
              <w:t> </w:t>
            </w:r>
          </w:p>
        </w:tc>
        <w:tc>
          <w:tcPr>
            <w:tcW w:w="14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1,181</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(25.5)</w:t>
            </w:r>
          </w:p>
        </w:tc>
        <w:tc>
          <w:tcPr>
            <w:tcW w:w="3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spacing w:lineRule="auto" w:line="288" w:before="96" w:after="108"/>
        <w:rPr>
          <w:rFonts w:ascii="Helvetica;sans-serif" w:hAnsi="Helvetica;sans-serif"/>
          <w:b/>
          <w:color w:val="000000"/>
          <w:sz w:val="20"/>
        </w:rPr>
      </w:pPr>
      <w:r>
        <w:rPr>
          <w:rFonts w:ascii="Helvetica;sans-serif" w:hAnsi="Helvetica;sans-serif"/>
          <w:b/>
          <w:color w:val="000000"/>
          <w:sz w:val="20"/>
        </w:rPr>
        <w:t>Media Segment – Revenue</w:t>
      </w:r>
    </w:p>
    <w:p>
      <w:pPr>
        <w:pStyle w:val="TextBody"/>
        <w:spacing w:lineRule="auto" w:line="288" w:before="60" w:after="120"/>
        <w:jc w:val="both"/>
        <w:rPr/>
      </w:pPr>
      <w:r>
        <w:rPr>
          <w:rFonts w:ascii="Times New Roman;sans-serif" w:hAnsi="Times New Roman;sans-serif"/>
          <w:b w:val="false"/>
          <w:color w:val="000000"/>
          <w:sz w:val="20"/>
          <w:highlight w:val="white"/>
        </w:rPr>
        <w:t xml:space="preserve">Revenue decreased for the three months ended </w:t>
      </w:r>
      <w:r>
        <w:rPr>
          <w:rFonts w:ascii="Times New Roman;sans-serif" w:hAnsi="Times New Roman;sans-serif"/>
          <w:b w:val="false"/>
          <w:color w:val="000000"/>
          <w:sz w:val="20"/>
        </w:rPr>
        <w:t>March 31, 2023</w:t>
      </w:r>
      <w:r>
        <w:rPr>
          <w:color w:val="000000"/>
          <w:highlight w:val="white"/>
        </w:rPr>
        <w:t xml:space="preserve"> </w:t>
      </w:r>
      <w:r>
        <w:rPr>
          <w:rFonts w:ascii="Times New Roman;sans-serif" w:hAnsi="Times New Roman;sans-serif"/>
          <w:b w:val="false"/>
          <w:color w:val="000000"/>
          <w:sz w:val="20"/>
          <w:highlight w:val="white"/>
        </w:rPr>
        <w:t>compared to the same period in 2022 primarily due to our broadcasts of the Beijing Olympics and Super Bowl in the first quarter of 2022. Excluding incremental revenue associated with our broadcasts of these events, revenue decreased for the three months ended March 31, 2023 driven by declines in domestic advertising and other revenue, partially offset by an increase in domestic distribution revenue.</w:t>
      </w:r>
    </w:p>
    <w:tbl>
      <w:tblPr>
        <w:tblW w:w="10205" w:type="dxa"/>
        <w:jc w:val="left"/>
        <w:tblInd w:w="0" w:type="dxa"/>
        <w:tblCellMar>
          <w:top w:w="28" w:type="dxa"/>
          <w:left w:w="28" w:type="dxa"/>
          <w:bottom w:w="28" w:type="dxa"/>
          <w:right w:w="28" w:type="dxa"/>
        </w:tblCellMar>
      </w:tblPr>
      <w:tblGrid>
        <w:gridCol w:w="1866"/>
        <w:gridCol w:w="1600"/>
        <w:gridCol w:w="1602"/>
        <w:gridCol w:w="109"/>
        <w:gridCol w:w="109"/>
        <w:gridCol w:w="109"/>
        <w:gridCol w:w="109"/>
        <w:gridCol w:w="109"/>
        <w:gridCol w:w="732"/>
        <w:gridCol w:w="733"/>
        <w:gridCol w:w="211"/>
        <w:gridCol w:w="631"/>
        <w:gridCol w:w="109"/>
        <w:gridCol w:w="211"/>
        <w:gridCol w:w="631"/>
        <w:gridCol w:w="109"/>
        <w:gridCol w:w="109"/>
        <w:gridCol w:w="109"/>
        <w:gridCol w:w="109"/>
        <w:gridCol w:w="289"/>
        <w:gridCol w:w="289"/>
        <w:gridCol w:w="320"/>
      </w:tblGrid>
      <w:tr>
        <w:trPr/>
        <w:tc>
          <w:tcPr>
            <w:tcW w:w="1866"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16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r>
      <w:tr>
        <w:trPr/>
        <w:tc>
          <w:tcPr>
            <w:tcW w:w="50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5" w:type="dxa"/>
            <w:gridSpan w:val="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br/>
              <w:t>March 31,</w:t>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Change</w:t>
            </w:r>
          </w:p>
        </w:tc>
        <w:tc>
          <w:tcPr>
            <w:tcW w:w="1225" w:type="dxa"/>
            <w:gridSpan w:val="6"/>
            <w:tcBorders/>
            <w:shd w:fill="auto" w:val="clear"/>
          </w:tcPr>
          <w:p>
            <w:pPr>
              <w:pStyle w:val="TableContents"/>
              <w:spacing w:before="0" w:after="283"/>
              <w:rPr>
                <w:sz w:val="4"/>
                <w:szCs w:val="4"/>
              </w:rPr>
            </w:pPr>
            <w:r>
              <w:rPr>
                <w:sz w:val="4"/>
                <w:szCs w:val="4"/>
              </w:rPr>
            </w:r>
          </w:p>
        </w:tc>
      </w:tr>
      <w:tr>
        <w:trPr/>
        <w:tc>
          <w:tcPr>
            <w:tcW w:w="50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06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6,152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7,758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Olympics and Super Bowl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50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Total revenue, excluding Olympics and Super Bowl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w:t>
            </w:r>
          </w:p>
        </w:tc>
        <w:tc>
          <w:tcPr>
            <w:tcW w:w="63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i/>
                <w:color w:val="000000"/>
                <w:sz w:val="20"/>
              </w:rPr>
              <w:t>6,152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w:t>
            </w:r>
          </w:p>
        </w:tc>
        <w:tc>
          <w:tcPr>
            <w:tcW w:w="63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i/>
                <w:color w:val="000000"/>
                <w:sz w:val="20"/>
              </w:rPr>
              <w:t>6,276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w:t>
            </w:r>
          </w:p>
        </w:tc>
        <w:tc>
          <w:tcPr>
            <w:tcW w:w="3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0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domestic advertising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2,025</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3,310</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w:t>
            </w:r>
          </w:p>
        </w:tc>
        <w:tc>
          <w:tcPr>
            <w:tcW w:w="32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Olympics and Super Bowl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50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Domestic advertising revenue, excluding Olympics and Super Bowl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w:t>
            </w:r>
          </w:p>
        </w:tc>
        <w:tc>
          <w:tcPr>
            <w:tcW w:w="63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i/>
                <w:color w:val="000000"/>
                <w:sz w:val="20"/>
              </w:rPr>
              <w:t>2,025</w:t>
            </w: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w:t>
            </w:r>
          </w:p>
        </w:tc>
        <w:tc>
          <w:tcPr>
            <w:tcW w:w="63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i/>
                <w:color w:val="000000"/>
                <w:sz w:val="20"/>
              </w:rPr>
              <w:t>2,156</w:t>
            </w: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(6.1)</w:t>
            </w:r>
          </w:p>
        </w:tc>
        <w:tc>
          <w:tcPr>
            <w:tcW w:w="32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06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domestic distribution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2,709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2,938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Olympics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5068"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Domestic distribution revenue, excluding Olympics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w:t>
            </w:r>
          </w:p>
        </w:tc>
        <w:tc>
          <w:tcPr>
            <w:tcW w:w="631"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i/>
                <w:color w:val="000000"/>
                <w:sz w:val="20"/>
              </w:rPr>
              <w:t>2,709</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w:t>
            </w:r>
          </w:p>
        </w:tc>
        <w:tc>
          <w:tcPr>
            <w:tcW w:w="631"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i/>
                <w:color w:val="000000"/>
                <w:sz w:val="20"/>
              </w:rPr>
              <w:t>2,611</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578"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3.8 </w:t>
            </w:r>
          </w:p>
        </w:tc>
        <w:tc>
          <w:tcPr>
            <w:tcW w:w="320"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TextBody"/>
        <w:spacing w:lineRule="auto" w:line="288" w:before="0" w:after="40"/>
        <w:jc w:val="both"/>
        <w:rPr>
          <w:rFonts w:ascii="Times New Roman;sans-serif" w:hAnsi="Times New Roman;sans-serif"/>
          <w:b w:val="false"/>
          <w:color w:val="000000"/>
          <w:sz w:val="16"/>
        </w:rPr>
      </w:pPr>
      <w:r>
        <w:rPr>
          <w:rFonts w:ascii="Times New Roman;sans-serif" w:hAnsi="Times New Roman;sans-serif"/>
          <w:b w:val="false"/>
          <w:color w:val="000000"/>
          <w:sz w:val="16"/>
        </w:rPr>
        <w:t>Percentage changes that are considered not meaningful are denoted with NM.</w:t>
      </w:r>
    </w:p>
    <w:p>
      <w:pPr>
        <w:pStyle w:val="TextBody"/>
        <w:spacing w:lineRule="auto" w:line="288" w:before="60" w:after="60"/>
        <w:jc w:val="both"/>
        <w:rPr/>
      </w:pPr>
      <w:r>
        <w:rPr>
          <w:rFonts w:ascii="Helvetica;sans-serif" w:hAnsi="Helvetica;sans-serif"/>
          <w:b/>
          <w:i/>
          <w:color w:val="000000"/>
          <w:sz w:val="20"/>
        </w:rPr>
        <w:t>Domestic advertising revenue</w:t>
      </w:r>
      <w:r>
        <w:rPr>
          <w:color w:val="000000"/>
        </w:rPr>
        <w:t xml:space="preserve"> </w:t>
      </w:r>
      <w:r>
        <w:rPr>
          <w:rFonts w:ascii="Times New Roman;sans-serif" w:hAnsi="Times New Roman;sans-serif"/>
          <w:b w:val="false"/>
          <w:color w:val="000000"/>
          <w:sz w:val="20"/>
        </w:rPr>
        <w:t>consists of revenue generated from sales of advertising on our television networks, Peacock and other digital properties operating predominantly in the United States.</w:t>
      </w:r>
    </w:p>
    <w:p>
      <w:pPr>
        <w:pStyle w:val="TextBody"/>
        <w:spacing w:lineRule="auto" w:line="288" w:before="60" w:after="1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Domestic advertising revenue decreased for the three months ended March 31, 2023 compared to the same period in 2022 primarily due to our broadcasts of the Beijing Olympics and Super Bowl in the first quarter of 2022. Excluding the incremental revenue associated with our broadcasts of these events, domestic advertising revenue decreased for the three months ended March 31, 2023, primarily due to a decrease in revenue at our networks driven by continued audience ratings declines, partially offset by an increase in revenue at Peacock.</w:t>
      </w:r>
    </w:p>
    <w:p>
      <w:pPr>
        <w:pStyle w:val="TextBody"/>
        <w:spacing w:lineRule="auto" w:line="288" w:before="60" w:after="60"/>
        <w:jc w:val="both"/>
        <w:rPr/>
      </w:pPr>
      <w:r>
        <w:rPr>
          <w:rFonts w:ascii="Helvetica;sans-serif" w:hAnsi="Helvetica;sans-serif"/>
          <w:b/>
          <w:i/>
          <w:color w:val="000000"/>
          <w:sz w:val="20"/>
        </w:rPr>
        <w:t>Domestic distribution revenue</w:t>
      </w:r>
      <w:r>
        <w:rPr>
          <w:color w:val="000000"/>
        </w:rPr>
        <w:t xml:space="preserve"> </w:t>
      </w:r>
      <w:r>
        <w:rPr>
          <w:rFonts w:ascii="Times New Roman;sans-serif" w:hAnsi="Times New Roman;sans-serif"/>
          <w:b w:val="false"/>
          <w:color w:val="000000"/>
          <w:sz w:val="20"/>
        </w:rPr>
        <w:t>primarily includes revenue generated from the distribution of our television network programming for networks operating predominantly in the United States to traditional and virtual multichannel video providers, and from NBC-affiliated and Telemundo-affiliated local broadcast stations. Our revenue from distribution agreements is generally based on the number of subscribers receiving the programming and the fees charged per subscriber. Distribution revenue also includes Peacock subscription fees.</w:t>
      </w:r>
      <w:r>
        <w:rPr>
          <w:color w:val="000000"/>
          <w:highlight w:val="white"/>
        </w:rPr>
        <w:t xml:space="preserve">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84785"/>
                <wp:effectExtent l="0" t="0" r="0" b="0"/>
                <wp:wrapNone/>
                <wp:docPr id="26" name="Frame25"/>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60" w:after="120"/>
        <w:jc w:val="both"/>
        <w:rPr/>
      </w:pPr>
      <w:hyperlink w:anchor="i6cbedffc79ba431f8c6c5489cc9b606c_7">
        <w:r>
          <w:rPr>
            <w:rStyle w:val="InternetLink"/>
            <w:rFonts w:ascii="Times New Roman;sans-serif" w:hAnsi="Times New Roman;sans-serif"/>
            <w:b/>
            <w:color w:val="0000FF"/>
            <w:sz w:val="20"/>
            <w:u w:val="single"/>
          </w:rPr>
          <w:t>Table of Contents</w:t>
        </w:r>
      </w:hyperlink>
    </w:p>
    <w:p>
      <w:pPr>
        <w:pStyle w:val="TextBody"/>
        <w:spacing w:lineRule="auto" w:line="288" w:before="60" w:after="1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Domestic distribution revenue decreased for the three months ended March 31, 2023 compared to the same period in 2022 primarily due to our broadcast of the Beijing Olympics in the first quarter of 2022. Excluding the incremental revenue associated with our broadcast of the Beijing Olympics, domestic distribution revenue increased for the three months ended March 31, 2023 primarily due to an increase in Peacock paid subscribers, partially offset by a decrease in revenue at our networks. The decrease at our networks was primarily due to a decline in the number of subscribers, partially offset by contractual rate increases.</w:t>
      </w:r>
    </w:p>
    <w:p>
      <w:pPr>
        <w:pStyle w:val="TextBody"/>
        <w:spacing w:lineRule="auto" w:line="288" w:before="60" w:after="60"/>
        <w:jc w:val="both"/>
        <w:rPr/>
      </w:pPr>
      <w:r>
        <w:rPr>
          <w:rFonts w:ascii="Helvetica;sans-serif" w:hAnsi="Helvetica;sans-serif"/>
          <w:b/>
          <w:i/>
          <w:color w:val="000000"/>
          <w:sz w:val="20"/>
        </w:rPr>
        <w:t>International networks revenue</w:t>
      </w:r>
      <w:r>
        <w:rPr>
          <w:color w:val="000000"/>
        </w:rPr>
        <w:t xml:space="preserve"> </w:t>
      </w:r>
      <w:r>
        <w:rPr>
          <w:rFonts w:ascii="Times New Roman;sans-serif" w:hAnsi="Times New Roman;sans-serif"/>
          <w:b w:val="false"/>
          <w:color w:val="000000"/>
          <w:sz w:val="20"/>
        </w:rPr>
        <w:t>consists of revenue generated by our networks operating predominantly outside the United States, including most of the Sky Sports channels. This revenue primarily results from the distribution of network programming to multichannel video providers and other platforms, as well as sales of advertising. A significant portion of this revenue comes from the Residential Connectivity &amp; Platforms segment.</w:t>
      </w:r>
    </w:p>
    <w:p>
      <w:pPr>
        <w:pStyle w:val="TextBody"/>
        <w:spacing w:lineRule="auto" w:line="288" w:before="60" w:after="120"/>
        <w:jc w:val="both"/>
        <w:rPr/>
      </w:pPr>
      <w:r>
        <w:rPr>
          <w:rFonts w:ascii="Times New Roman;sans-serif" w:hAnsi="Times New Roman;sans-serif"/>
          <w:b w:val="false"/>
          <w:color w:val="000000"/>
          <w:sz w:val="20"/>
        </w:rPr>
        <w:t>International networks revenue in</w:t>
      </w:r>
      <w:r>
        <w:rPr>
          <w:rFonts w:ascii="Times New Roman;sans-serif" w:hAnsi="Times New Roman;sans-serif"/>
          <w:b w:val="false"/>
          <w:color w:val="000000"/>
          <w:sz w:val="20"/>
          <w:highlight w:val="white"/>
        </w:rPr>
        <w:t xml:space="preserve">creased for the three months ended March 31, 2023 compared to the same period in 2022 </w:t>
      </w:r>
      <w:r>
        <w:rPr>
          <w:rFonts w:ascii="Times New Roman;sans-serif" w:hAnsi="Times New Roman;sans-serif"/>
          <w:b w:val="false"/>
          <w:color w:val="000000"/>
          <w:sz w:val="20"/>
        </w:rPr>
        <w:t>primarily due to an increase in revenue associated with the distribution of sports channels, partially offset by a decrease from the negative impact of foreign currency.</w:t>
      </w:r>
    </w:p>
    <w:p>
      <w:pPr>
        <w:pStyle w:val="TextBody"/>
        <w:spacing w:lineRule="auto" w:line="288" w:before="60" w:after="60"/>
        <w:jc w:val="both"/>
        <w:rPr/>
      </w:pPr>
      <w:r>
        <w:rPr>
          <w:rFonts w:ascii="Helvetica;sans-serif" w:hAnsi="Helvetica;sans-serif"/>
          <w:b/>
          <w:i/>
          <w:color w:val="000000"/>
          <w:sz w:val="20"/>
        </w:rPr>
        <w:t>Other revenue</w:t>
      </w:r>
      <w:r>
        <w:rPr>
          <w:color w:val="000000"/>
        </w:rPr>
        <w:t xml:space="preserve"> </w:t>
      </w:r>
      <w:r>
        <w:rPr>
          <w:rFonts w:ascii="Times New Roman;sans-serif" w:hAnsi="Times New Roman;sans-serif"/>
          <w:b w:val="false"/>
          <w:color w:val="000000"/>
          <w:sz w:val="20"/>
        </w:rPr>
        <w:t>consists primarily of revenue from the licensing of our owned content and technology, and revenue generated by various digital properties.</w:t>
      </w:r>
    </w:p>
    <w:p>
      <w:pPr>
        <w:pStyle w:val="TextBody"/>
        <w:spacing w:lineRule="auto" w:line="288" w:before="60" w:after="120"/>
        <w:jc w:val="both"/>
        <w:rPr/>
      </w:pPr>
      <w:r>
        <w:rPr>
          <w:rFonts w:ascii="Times New Roman;sans-serif" w:hAnsi="Times New Roman;sans-serif"/>
          <w:b w:val="false"/>
          <w:color w:val="000000"/>
          <w:sz w:val="20"/>
        </w:rPr>
        <w:t xml:space="preserve">Other revenue decreased for the </w:t>
      </w:r>
      <w:r>
        <w:rPr>
          <w:rFonts w:ascii="Times New Roman;sans-serif" w:hAnsi="Times New Roman;sans-serif"/>
          <w:b w:val="false"/>
          <w:color w:val="000000"/>
          <w:sz w:val="20"/>
          <w:highlight w:val="white"/>
        </w:rPr>
        <w:t xml:space="preserve">three </w:t>
      </w:r>
      <w:r>
        <w:rPr>
          <w:rFonts w:ascii="Times New Roman;sans-serif" w:hAnsi="Times New Roman;sans-serif"/>
          <w:b w:val="false"/>
          <w:color w:val="000000"/>
          <w:sz w:val="20"/>
        </w:rPr>
        <w:t xml:space="preserve">months ended </w:t>
      </w:r>
      <w:r>
        <w:rPr>
          <w:rFonts w:ascii="Times New Roman;sans-serif" w:hAnsi="Times New Roman;sans-serif"/>
          <w:b w:val="false"/>
          <w:color w:val="000000"/>
          <w:sz w:val="20"/>
          <w:highlight w:val="white"/>
        </w:rPr>
        <w:t>March 31, 2023 compared to the same period in 2022</w:t>
      </w:r>
      <w:r>
        <w:rPr>
          <w:color w:val="000000"/>
        </w:rPr>
        <w:t xml:space="preserve"> </w:t>
      </w:r>
      <w:r>
        <w:rPr>
          <w:rFonts w:ascii="Times New Roman;sans-serif" w:hAnsi="Times New Roman;sans-serif"/>
          <w:b w:val="false"/>
          <w:color w:val="000000"/>
          <w:sz w:val="20"/>
        </w:rPr>
        <w:t>primarily due to a decrease in content licensing.</w:t>
      </w:r>
    </w:p>
    <w:p>
      <w:pPr>
        <w:pStyle w:val="TextBody"/>
        <w:spacing w:lineRule="auto" w:line="288" w:before="60" w:after="12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 * *</w:t>
      </w:r>
    </w:p>
    <w:p>
      <w:pPr>
        <w:pStyle w:val="TextBody"/>
        <w:spacing w:lineRule="auto" w:line="288" w:before="60" w:after="1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Revenue included $685 million and $472 million related to Peacock for the three months ended March 31, 2023 and 2022, respectively. We had 22 million and 13 million paid subscribers of Peacock as of March 31, 2023 and 2022, respectively. Peacock paid subscribers represent customers from which Peacock receives a subscription fee on a retail or wholesale basis. Paid subscribers do not include certain customers that receive Peacock as part of bundled services where Peacock does not receive fees.</w:t>
      </w:r>
    </w:p>
    <w:p>
      <w:pPr>
        <w:pStyle w:val="TextBody"/>
        <w:spacing w:lineRule="auto" w:line="288" w:before="60" w:after="120"/>
        <w:rPr>
          <w:rFonts w:ascii="Helvetica;sans-serif" w:hAnsi="Helvetica;sans-serif"/>
          <w:b/>
          <w:color w:val="000000"/>
          <w:sz w:val="20"/>
          <w:highlight w:val="white"/>
        </w:rPr>
      </w:pPr>
      <w:r>
        <w:rPr>
          <w:rFonts w:ascii="Helvetica;sans-serif" w:hAnsi="Helvetica;sans-serif"/>
          <w:b/>
          <w:color w:val="000000"/>
          <w:sz w:val="20"/>
          <w:highlight w:val="white"/>
        </w:rPr>
        <w:t>Media Segment – Costs and Expenses</w:t>
      </w:r>
    </w:p>
    <w:p>
      <w:pPr>
        <w:pStyle w:val="TextBody"/>
        <w:spacing w:lineRule="auto" w:line="288" w:before="60" w:after="60"/>
        <w:jc w:val="both"/>
        <w:rPr/>
      </w:pPr>
      <w:r>
        <w:rPr>
          <w:rFonts w:ascii="Helvetica;sans-serif" w:hAnsi="Helvetica;sans-serif"/>
          <w:b/>
          <w:i/>
          <w:color w:val="000000"/>
          <w:sz w:val="20"/>
        </w:rPr>
        <w:t>Programming and production costs</w:t>
      </w:r>
      <w:r>
        <w:rPr>
          <w:color w:val="000000"/>
        </w:rPr>
        <w:t xml:space="preserve"> </w:t>
      </w:r>
      <w:r>
        <w:rPr>
          <w:rFonts w:ascii="Times New Roman;sans-serif" w:hAnsi="Times New Roman;sans-serif"/>
          <w:b w:val="false"/>
          <w:color w:val="000000"/>
          <w:sz w:val="20"/>
        </w:rPr>
        <w:t>include the amortization of owned and licensed programming, including sports rights, direct production costs, production overhead, on-air talent costs and costs associated with the distribution of our programming to third-party networks and other distribution platforms.</w:t>
      </w:r>
    </w:p>
    <w:p>
      <w:pPr>
        <w:pStyle w:val="TextBody"/>
        <w:spacing w:lineRule="auto" w:line="288" w:before="60" w:after="120"/>
        <w:jc w:val="both"/>
        <w:rPr/>
      </w:pPr>
      <w:r>
        <w:rPr>
          <w:rFonts w:ascii="Times New Roman;sans-serif" w:hAnsi="Times New Roman;sans-serif"/>
          <w:b w:val="false"/>
          <w:color w:val="000000"/>
          <w:sz w:val="20"/>
        </w:rPr>
        <w:t xml:space="preserve">Programming and production costs decreased </w:t>
      </w:r>
      <w:r>
        <w:rPr>
          <w:rFonts w:ascii="Times New Roman;sans-serif" w:hAnsi="Times New Roman;sans-serif"/>
          <w:b w:val="false"/>
          <w:color w:val="000000"/>
          <w:sz w:val="20"/>
          <w:highlight w:val="white"/>
        </w:rPr>
        <w:t>for the three months ended March 31, 2023 compared to the same period in 2022 primarily due to costs associated with our broadcast of the Beijing Olympics and Super Bowl in the prior year period, partially offset by higher programming costs at Peacock. International sports programming costs remained consistent with the prior year period driven by a decrease due to the impact of foreign currency, offset by the shift of certain European football matches and the related programming expense to the first half of 2023 due to timing of the 2022 FIFA World Cup.</w:t>
      </w:r>
    </w:p>
    <w:p>
      <w:pPr>
        <w:pStyle w:val="TextBody"/>
        <w:spacing w:lineRule="auto" w:line="288" w:before="60" w:after="60"/>
        <w:jc w:val="both"/>
        <w:rPr/>
      </w:pPr>
      <w:r>
        <w:rPr>
          <w:rFonts w:ascii="Helvetica;sans-serif" w:hAnsi="Helvetica;sans-serif"/>
          <w:b/>
          <w:i/>
          <w:color w:val="000000"/>
          <w:sz w:val="20"/>
        </w:rPr>
        <w:t>Marketing and promotion expenses</w:t>
      </w:r>
      <w:r>
        <w:rPr>
          <w:color w:val="000000"/>
        </w:rPr>
        <w:t xml:space="preserve"> </w:t>
      </w:r>
      <w:r>
        <w:rPr>
          <w:rFonts w:ascii="Times New Roman;sans-serif" w:hAnsi="Times New Roman;sans-serif"/>
          <w:b w:val="false"/>
          <w:color w:val="000000"/>
          <w:sz w:val="20"/>
        </w:rPr>
        <w:t>consist primarily of the costs associated with promoting our networks, Peacock and other digital properties.</w:t>
      </w:r>
    </w:p>
    <w:p>
      <w:pPr>
        <w:pStyle w:val="TextBody"/>
        <w:spacing w:lineRule="auto" w:line="288" w:before="60" w:after="120"/>
        <w:jc w:val="both"/>
        <w:rPr/>
      </w:pPr>
      <w:r>
        <w:rPr>
          <w:rFonts w:ascii="Times New Roman;sans-serif" w:hAnsi="Times New Roman;sans-serif"/>
          <w:b w:val="false"/>
          <w:color w:val="000000"/>
          <w:sz w:val="20"/>
        </w:rPr>
        <w:t xml:space="preserve">Marketing and promotion expenses decreased for the </w:t>
      </w:r>
      <w:r>
        <w:rPr>
          <w:rFonts w:ascii="Times New Roman;sans-serif" w:hAnsi="Times New Roman;sans-serif"/>
          <w:b w:val="false"/>
          <w:color w:val="000000"/>
          <w:sz w:val="20"/>
          <w:highlight w:val="white"/>
        </w:rPr>
        <w:t>three months ended March 31, 2023 compared to the same period in 2022</w:t>
      </w:r>
      <w:r>
        <w:rPr>
          <w:color w:val="000000"/>
        </w:rPr>
        <w:t xml:space="preserve"> </w:t>
      </w:r>
      <w:r>
        <w:rPr>
          <w:rFonts w:ascii="Times New Roman;sans-serif" w:hAnsi="Times New Roman;sans-serif"/>
          <w:b w:val="false"/>
          <w:color w:val="000000"/>
          <w:sz w:val="20"/>
        </w:rPr>
        <w:t>primarily due to lower costs related to marketing for entertainment programming and for Peacock.</w:t>
      </w:r>
    </w:p>
    <w:p>
      <w:pPr>
        <w:pStyle w:val="TextBody"/>
        <w:spacing w:lineRule="auto" w:line="288" w:before="60" w:after="60"/>
        <w:jc w:val="both"/>
        <w:rPr/>
      </w:pPr>
      <w:r>
        <w:rPr>
          <w:rFonts w:ascii="Helvetica;sans-serif" w:hAnsi="Helvetica;sans-serif"/>
          <w:b/>
          <w:i/>
          <w:color w:val="000000"/>
          <w:sz w:val="20"/>
        </w:rPr>
        <w:t>Other expenses</w:t>
      </w:r>
      <w:r>
        <w:rPr>
          <w:color w:val="000000"/>
        </w:rPr>
        <w:t xml:space="preserve"> </w:t>
      </w:r>
      <w:r>
        <w:rPr>
          <w:rFonts w:ascii="Times New Roman;sans-serif" w:hAnsi="Times New Roman;sans-serif"/>
          <w:b w:val="false"/>
          <w:color w:val="000000"/>
          <w:sz w:val="20"/>
        </w:rPr>
        <w:t>include salaries, employee benefits, rent and other overhead expenses.</w:t>
      </w:r>
    </w:p>
    <w:p>
      <w:pPr>
        <w:pStyle w:val="TextBody"/>
        <w:spacing w:lineRule="auto" w:line="288" w:before="60" w:after="120"/>
        <w:jc w:val="both"/>
        <w:rPr/>
      </w:pPr>
      <w:r>
        <w:rPr>
          <w:rFonts w:ascii="Times New Roman;sans-serif" w:hAnsi="Times New Roman;sans-serif"/>
          <w:b w:val="false"/>
          <w:color w:val="000000"/>
          <w:sz w:val="20"/>
        </w:rPr>
        <w:t xml:space="preserve">Other expenses increased </w:t>
      </w:r>
      <w:r>
        <w:rPr>
          <w:rFonts w:ascii="Times New Roman;sans-serif" w:hAnsi="Times New Roman;sans-serif"/>
          <w:b w:val="false"/>
          <w:color w:val="000000"/>
          <w:sz w:val="20"/>
          <w:highlight w:val="white"/>
        </w:rPr>
        <w:t xml:space="preserve">for the three months ended March 31, 2023 compared to the same period in 2022 primarily due to an increase in costs related to Peacock. </w:t>
      </w:r>
    </w:p>
    <w:p>
      <w:pPr>
        <w:pStyle w:val="TextBody"/>
        <w:spacing w:lineRule="auto" w:line="288" w:before="60" w:after="120"/>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 * *</w:t>
      </w:r>
    </w:p>
    <w:p>
      <w:pPr>
        <w:pStyle w:val="TextBody"/>
        <w:spacing w:lineRule="auto" w:line="288" w:before="60" w:after="1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Costs and expenses included $1.4 billion and $928 million related to Peacock for the three months ended March 31, 2023 and 2022,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84785"/>
                <wp:effectExtent l="0" t="0" r="0" b="0"/>
                <wp:wrapNone/>
                <wp:docPr id="27" name="Frame26"/>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60" w:after="120"/>
        <w:jc w:val="both"/>
        <w:rPr/>
      </w:pPr>
      <w:hyperlink w:anchor="i6cbedffc79ba431f8c6c5489cc9b606c_7">
        <w:r>
          <w:rPr>
            <w:rStyle w:val="InternetLink"/>
            <w:rFonts w:ascii="Times New Roman;sans-serif" w:hAnsi="Times New Roman;sans-serif"/>
            <w:b/>
            <w:color w:val="0000FF"/>
            <w:sz w:val="20"/>
            <w:u w:val="single"/>
          </w:rPr>
          <w:t>Table of Contents</w:t>
        </w:r>
      </w:hyperlink>
    </w:p>
    <w:p>
      <w:pPr>
        <w:pStyle w:val="TextBody"/>
        <w:spacing w:lineRule="auto" w:line="288" w:before="60" w:after="120"/>
        <w:rPr>
          <w:rFonts w:ascii="Helvetica;sans-serif" w:hAnsi="Helvetica;sans-serif"/>
          <w:b/>
          <w:color w:val="000000"/>
          <w:sz w:val="24"/>
        </w:rPr>
      </w:pPr>
      <w:r>
        <w:rPr>
          <w:rFonts w:ascii="Helvetica;sans-serif" w:hAnsi="Helvetica;sans-serif"/>
          <w:b/>
          <w:color w:val="000000"/>
          <w:sz w:val="24"/>
        </w:rPr>
        <w:t>Studios Segment Results of Operations</w:t>
      </w:r>
    </w:p>
    <w:tbl>
      <w:tblPr>
        <w:tblW w:w="7144" w:type="dxa"/>
        <w:jc w:val="center"/>
        <w:tblInd w:w="0" w:type="dxa"/>
        <w:tblCellMar>
          <w:top w:w="28" w:type="dxa"/>
          <w:left w:w="28" w:type="dxa"/>
          <w:bottom w:w="28" w:type="dxa"/>
          <w:right w:w="28" w:type="dxa"/>
        </w:tblCellMar>
      </w:tblPr>
      <w:tblGrid>
        <w:gridCol w:w="908"/>
        <w:gridCol w:w="797"/>
        <w:gridCol w:w="800"/>
        <w:gridCol w:w="109"/>
        <w:gridCol w:w="109"/>
        <w:gridCol w:w="109"/>
        <w:gridCol w:w="109"/>
        <w:gridCol w:w="109"/>
        <w:gridCol w:w="148"/>
        <w:gridCol w:w="148"/>
        <w:gridCol w:w="288"/>
        <w:gridCol w:w="841"/>
        <w:gridCol w:w="148"/>
        <w:gridCol w:w="109"/>
        <w:gridCol w:w="109"/>
        <w:gridCol w:w="109"/>
        <w:gridCol w:w="211"/>
        <w:gridCol w:w="616"/>
        <w:gridCol w:w="109"/>
        <w:gridCol w:w="109"/>
        <w:gridCol w:w="109"/>
        <w:gridCol w:w="109"/>
        <w:gridCol w:w="290"/>
        <w:gridCol w:w="295"/>
        <w:gridCol w:w="346"/>
      </w:tblGrid>
      <w:tr>
        <w:trPr/>
        <w:tc>
          <w:tcPr>
            <w:tcW w:w="908"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3"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Change</w:t>
            </w:r>
          </w:p>
        </w:tc>
        <w:tc>
          <w:tcPr>
            <w:tcW w:w="1258" w:type="dxa"/>
            <w:gridSpan w:val="6"/>
            <w:tcBorders/>
            <w:shd w:fill="auto" w:val="clea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2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2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licensing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Theatrical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3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2,956</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2,907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1.7</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Programming and production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4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promotion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34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3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28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277</w:t>
            </w:r>
            <w:r>
              <w:rPr>
                <w:color w:val="000000"/>
              </w:rPr>
              <w:t> </w:t>
            </w:r>
          </w:p>
        </w:tc>
        <w:tc>
          <w:tcPr>
            <w:tcW w:w="14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245</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13.3</w:t>
            </w:r>
            <w:r>
              <w:rPr>
                <w:color w:val="000000"/>
              </w:rPr>
              <w:t> </w:t>
            </w:r>
          </w:p>
        </w:tc>
        <w:tc>
          <w:tcPr>
            <w:tcW w:w="34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spacing w:lineRule="auto" w:line="288" w:before="140" w:after="283"/>
        <w:rPr/>
      </w:pPr>
      <w:r>
        <w:rPr>
          <w:rFonts w:ascii="Helvetica;sans-serif" w:hAnsi="Helvetica;sans-serif"/>
          <w:b/>
          <w:color w:val="000000"/>
          <w:sz w:val="20"/>
        </w:rPr>
        <w:t>Studios Seg</w:t>
      </w:r>
      <w:r>
        <w:rPr>
          <w:rFonts w:ascii="Helvetica;sans-serif" w:hAnsi="Helvetica;sans-serif"/>
          <w:b/>
          <w:color w:val="000000"/>
          <w:sz w:val="20"/>
          <w:highlight w:val="white"/>
        </w:rPr>
        <w:t>ment – Revenue</w:t>
      </w:r>
    </w:p>
    <w:p>
      <w:pPr>
        <w:pStyle w:val="TextBody"/>
        <w:spacing w:lineRule="auto" w:line="288" w:before="60" w:after="60"/>
        <w:jc w:val="both"/>
        <w:rPr/>
      </w:pPr>
      <w:r>
        <w:rPr>
          <w:rFonts w:ascii="Helvetica;sans-serif" w:hAnsi="Helvetica;sans-serif"/>
          <w:b/>
          <w:i/>
          <w:color w:val="000000"/>
          <w:sz w:val="20"/>
        </w:rPr>
        <w:t>Content licensing revenue</w:t>
      </w:r>
      <w:r>
        <w:rPr>
          <w:color w:val="000000"/>
        </w:rPr>
        <w:t xml:space="preserve"> </w:t>
      </w:r>
      <w:r>
        <w:rPr>
          <w:rFonts w:ascii="Times New Roman;sans-serif" w:hAnsi="Times New Roman;sans-serif"/>
          <w:b w:val="false"/>
          <w:color w:val="000000"/>
          <w:sz w:val="20"/>
        </w:rPr>
        <w:t>relates to the licensing of our owned film and television content in the United States and internationally to television networks and DTC streaming service providers, as well as through video on demand and pay-per-view services provided by multichannel video providers and OTT service providers.</w:t>
      </w:r>
    </w:p>
    <w:p>
      <w:pPr>
        <w:pStyle w:val="TextBody"/>
        <w:spacing w:lineRule="auto" w:line="288" w:before="60" w:after="120"/>
        <w:jc w:val="both"/>
        <w:rPr/>
      </w:pPr>
      <w:r>
        <w:rPr>
          <w:rFonts w:ascii="Times New Roman;sans-serif" w:hAnsi="Times New Roman;sans-serif"/>
          <w:b w:val="false"/>
          <w:color w:val="000000"/>
          <w:sz w:val="20"/>
        </w:rPr>
        <w:t xml:space="preserve">Content licensing revenue decreased </w:t>
      </w:r>
      <w:r>
        <w:rPr>
          <w:rFonts w:ascii="Times New Roman;sans-serif" w:hAnsi="Times New Roman;sans-serif"/>
          <w:b w:val="false"/>
          <w:color w:val="000000"/>
          <w:sz w:val="20"/>
          <w:highlight w:val="white"/>
        </w:rPr>
        <w:t>for the three months ended March 31, 2023 compared to the same period in 2022 primarily due to the timing of when content was made available by our television studios under licensing agreements, partially offset by the timing of when content was made available by our film studios.</w:t>
      </w:r>
    </w:p>
    <w:p>
      <w:pPr>
        <w:pStyle w:val="TextBody"/>
        <w:spacing w:lineRule="auto" w:line="288" w:before="60" w:after="60"/>
        <w:jc w:val="both"/>
        <w:rPr/>
      </w:pPr>
      <w:r>
        <w:rPr>
          <w:rFonts w:ascii="Helvetica;sans-serif" w:hAnsi="Helvetica;sans-serif"/>
          <w:b/>
          <w:i/>
          <w:color w:val="000000"/>
          <w:sz w:val="20"/>
        </w:rPr>
        <w:t>Theatrical revenue</w:t>
      </w:r>
      <w:r>
        <w:rPr>
          <w:color w:val="000000"/>
        </w:rPr>
        <w:t xml:space="preserve"> </w:t>
      </w:r>
      <w:r>
        <w:rPr>
          <w:rFonts w:ascii="Times New Roman;sans-serif" w:hAnsi="Times New Roman;sans-serif"/>
          <w:b w:val="false"/>
          <w:color w:val="000000"/>
          <w:sz w:val="20"/>
        </w:rPr>
        <w:t xml:space="preserve">relates to the worldwide distribution of our produced and acquired films for exhibition in movie theaters. </w:t>
      </w:r>
    </w:p>
    <w:p>
      <w:pPr>
        <w:pStyle w:val="TextBody"/>
        <w:spacing w:lineRule="auto" w:line="288" w:before="60" w:after="120"/>
        <w:jc w:val="both"/>
        <w:rPr/>
      </w:pPr>
      <w:r>
        <w:rPr>
          <w:rFonts w:ascii="Times New Roman;sans-serif" w:hAnsi="Times New Roman;sans-serif"/>
          <w:b w:val="false"/>
          <w:color w:val="000000"/>
          <w:sz w:val="20"/>
        </w:rPr>
        <w:t xml:space="preserve">Theatrical revenue increased for </w:t>
      </w:r>
      <w:r>
        <w:rPr>
          <w:rFonts w:ascii="Times New Roman;sans-serif" w:hAnsi="Times New Roman;sans-serif"/>
          <w:b w:val="false"/>
          <w:color w:val="000000"/>
          <w:sz w:val="20"/>
          <w:highlight w:val="white"/>
        </w:rPr>
        <w:t xml:space="preserve">the three months ended March 31, 2023 compared to the same period in 2022 primarily due to the strong performances of recent releases, including </w:t>
      </w:r>
      <w:r>
        <w:rPr>
          <w:rFonts w:ascii="Times New Roman;sans-serif" w:hAnsi="Times New Roman;sans-serif"/>
          <w:b w:val="false"/>
          <w:i/>
          <w:color w:val="000000"/>
          <w:sz w:val="20"/>
          <w:highlight w:val="white"/>
        </w:rPr>
        <w:t>Puss in Boots: The Last Wish</w:t>
      </w:r>
      <w:r>
        <w:rPr>
          <w:color w:val="000000"/>
          <w:highlight w:val="white"/>
        </w:rPr>
        <w:t xml:space="preserve"> </w:t>
      </w:r>
      <w:r>
        <w:rPr>
          <w:rFonts w:ascii="Times New Roman;sans-serif" w:hAnsi="Times New Roman;sans-serif"/>
          <w:b w:val="false"/>
          <w:color w:val="000000"/>
          <w:sz w:val="20"/>
          <w:highlight w:val="white"/>
        </w:rPr>
        <w:t xml:space="preserve">and </w:t>
      </w:r>
      <w:r>
        <w:rPr>
          <w:rFonts w:ascii="Times New Roman;sans-serif" w:hAnsi="Times New Roman;sans-serif"/>
          <w:b w:val="false"/>
          <w:i/>
          <w:color w:val="000000"/>
          <w:sz w:val="20"/>
          <w:highlight w:val="white"/>
        </w:rPr>
        <w:t>M3GAN</w:t>
      </w:r>
      <w:r>
        <w:rPr>
          <w:rFonts w:ascii="Times New Roman;sans-serif" w:hAnsi="Times New Roman;sans-serif"/>
          <w:b w:val="false"/>
          <w:color w:val="000000"/>
          <w:sz w:val="20"/>
          <w:highlight w:val="white"/>
        </w:rPr>
        <w:t>.</w:t>
      </w:r>
    </w:p>
    <w:p>
      <w:pPr>
        <w:pStyle w:val="TextBody"/>
        <w:spacing w:lineRule="auto" w:line="288" w:before="60" w:after="60"/>
        <w:jc w:val="both"/>
        <w:rPr/>
      </w:pPr>
      <w:r>
        <w:rPr>
          <w:rFonts w:ascii="Helvetica;sans-serif" w:hAnsi="Helvetica;sans-serif"/>
          <w:b/>
          <w:i/>
          <w:color w:val="000000"/>
          <w:sz w:val="20"/>
        </w:rPr>
        <w:t>Other revenue</w:t>
      </w:r>
      <w:r>
        <w:rPr>
          <w:color w:val="000000"/>
        </w:rPr>
        <w:t xml:space="preserve"> </w:t>
      </w:r>
      <w:r>
        <w:rPr>
          <w:rFonts w:ascii="Times New Roman;sans-serif" w:hAnsi="Times New Roman;sans-serif"/>
          <w:b w:val="false"/>
          <w:color w:val="000000"/>
          <w:sz w:val="20"/>
        </w:rPr>
        <w:t>consists primarily of the sale of physical and digital home entertainment products, as well as the production and licensing of live stage plays and the distribution of content produced by third parties.</w:t>
      </w:r>
    </w:p>
    <w:p>
      <w:pPr>
        <w:pStyle w:val="TextBody"/>
        <w:spacing w:lineRule="auto" w:line="288" w:before="60" w:after="120"/>
        <w:rPr>
          <w:rFonts w:ascii="Helvetica;sans-serif" w:hAnsi="Helvetica;sans-serif"/>
          <w:b/>
          <w:color w:val="000000"/>
          <w:sz w:val="20"/>
          <w:highlight w:val="white"/>
        </w:rPr>
      </w:pPr>
      <w:r>
        <w:rPr>
          <w:rFonts w:ascii="Helvetica;sans-serif" w:hAnsi="Helvetica;sans-serif"/>
          <w:b/>
          <w:color w:val="000000"/>
          <w:sz w:val="20"/>
          <w:highlight w:val="white"/>
        </w:rPr>
        <w:t>Studios Segment – Costs and Expenses</w:t>
      </w:r>
    </w:p>
    <w:p>
      <w:pPr>
        <w:pStyle w:val="TextBody"/>
        <w:spacing w:lineRule="auto" w:line="288" w:before="60" w:after="60"/>
        <w:jc w:val="both"/>
        <w:rPr/>
      </w:pPr>
      <w:r>
        <w:rPr>
          <w:rFonts w:ascii="Helvetica;sans-serif" w:hAnsi="Helvetica;sans-serif"/>
          <w:b/>
          <w:i/>
          <w:color w:val="000000"/>
          <w:sz w:val="20"/>
        </w:rPr>
        <w:t>Programming and production costs</w:t>
      </w:r>
      <w:r>
        <w:rPr>
          <w:color w:val="000000"/>
        </w:rPr>
        <w:t xml:space="preserve"> </w:t>
      </w:r>
      <w:r>
        <w:rPr>
          <w:rFonts w:ascii="Times New Roman;sans-serif" w:hAnsi="Times New Roman;sans-serif"/>
          <w:b w:val="false"/>
          <w:color w:val="000000"/>
          <w:sz w:val="20"/>
        </w:rPr>
        <w:t>include the amortization of capitalized film and television production and acquisition costs; residuals and participations expenses; and distribution expenses. The costs associated with producing film and television content have generally increased in recent years and may continue to increase in the future.</w:t>
      </w:r>
    </w:p>
    <w:p>
      <w:pPr>
        <w:pStyle w:val="TextBody"/>
        <w:spacing w:lineRule="auto" w:line="288" w:before="60" w:after="120"/>
        <w:jc w:val="both"/>
        <w:rPr/>
      </w:pPr>
      <w:r>
        <w:rPr>
          <w:rFonts w:ascii="Times New Roman;sans-serif" w:hAnsi="Times New Roman;sans-serif"/>
          <w:b w:val="false"/>
          <w:color w:val="000000"/>
          <w:sz w:val="20"/>
        </w:rPr>
        <w:t xml:space="preserve">Programming and production costs decreased for the </w:t>
      </w:r>
      <w:r>
        <w:rPr>
          <w:rFonts w:ascii="Times New Roman;sans-serif" w:hAnsi="Times New Roman;sans-serif"/>
          <w:b w:val="false"/>
          <w:color w:val="000000"/>
          <w:sz w:val="20"/>
          <w:highlight w:val="white"/>
        </w:rPr>
        <w:t>three months ended March 31, 2023 compared to the same period in 2022 due to lower costs associated with content licensing sales, partially offset by higher costs associated with theatrical releases in the current year period.</w:t>
      </w:r>
    </w:p>
    <w:p>
      <w:pPr>
        <w:pStyle w:val="TextBody"/>
        <w:spacing w:lineRule="auto" w:line="288" w:before="60" w:after="60"/>
        <w:jc w:val="both"/>
        <w:rPr/>
      </w:pPr>
      <w:r>
        <w:rPr>
          <w:rFonts w:ascii="Helvetica;sans-serif" w:hAnsi="Helvetica;sans-serif"/>
          <w:b/>
          <w:i/>
          <w:color w:val="000000"/>
          <w:sz w:val="20"/>
        </w:rPr>
        <w:t>Marketing and promotion expenses</w:t>
      </w:r>
      <w:r>
        <w:rPr>
          <w:color w:val="000000"/>
        </w:rPr>
        <w:t xml:space="preserve"> </w:t>
      </w:r>
      <w:r>
        <w:rPr>
          <w:rFonts w:ascii="Times New Roman;sans-serif" w:hAnsi="Times New Roman;sans-serif"/>
          <w:b w:val="false"/>
          <w:color w:val="000000"/>
          <w:sz w:val="20"/>
        </w:rPr>
        <w:t>consist primarily of expenses associated with advertising for our theatrical releases.</w:t>
      </w:r>
    </w:p>
    <w:p>
      <w:pPr>
        <w:pStyle w:val="TextBody"/>
        <w:spacing w:lineRule="auto" w:line="288" w:before="60" w:after="120"/>
        <w:jc w:val="both"/>
        <w:rPr/>
      </w:pPr>
      <w:r>
        <w:rPr>
          <w:rFonts w:ascii="Times New Roman;sans-serif" w:hAnsi="Times New Roman;sans-serif"/>
          <w:b w:val="false"/>
          <w:color w:val="000000"/>
          <w:sz w:val="20"/>
        </w:rPr>
        <w:t xml:space="preserve">Marketing and promotion expenses increased for the </w:t>
      </w:r>
      <w:r>
        <w:rPr>
          <w:rFonts w:ascii="Times New Roman;sans-serif" w:hAnsi="Times New Roman;sans-serif"/>
          <w:b w:val="false"/>
          <w:color w:val="000000"/>
          <w:sz w:val="20"/>
          <w:highlight w:val="white"/>
        </w:rPr>
        <w:t>three months ended March 31, 2023 compared to the same period in 2022 primarily due to higher spending on recent and upcoming theatrical film releases in the current year period.</w:t>
      </w:r>
    </w:p>
    <w:p>
      <w:pPr>
        <w:pStyle w:val="TextBody"/>
        <w:spacing w:lineRule="auto" w:line="288" w:before="60" w:after="60"/>
        <w:jc w:val="both"/>
        <w:rPr/>
      </w:pPr>
      <w:r>
        <w:rPr>
          <w:rFonts w:ascii="Helvetica;sans-serif" w:hAnsi="Helvetica;sans-serif"/>
          <w:b/>
          <w:i/>
          <w:color w:val="000000"/>
          <w:sz w:val="20"/>
        </w:rPr>
        <w:t>Other expenses</w:t>
      </w:r>
      <w:r>
        <w:rPr>
          <w:color w:val="000000"/>
        </w:rPr>
        <w:t xml:space="preserve"> </w:t>
      </w:r>
      <w:r>
        <w:rPr>
          <w:rFonts w:ascii="Times New Roman;sans-serif" w:hAnsi="Times New Roman;sans-serif"/>
          <w:b w:val="false"/>
          <w:color w:val="000000"/>
          <w:sz w:val="20"/>
        </w:rPr>
        <w:t>include salaries, employee benefits, rent and other overhead expenses.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36" w:after="283"/>
        <w:rPr>
          <w:rFonts w:ascii="Helvetica;sans-serif" w:hAnsi="Helvetica;sans-serif"/>
          <w:b/>
          <w:color w:val="000000"/>
          <w:sz w:val="24"/>
        </w:rPr>
      </w:pPr>
      <w:r>
        <w:rPr>
          <w:rFonts w:ascii="Helvetica;sans-serif" w:hAnsi="Helvetica;sans-serif"/>
          <w:b/>
          <w:color w:val="000000"/>
          <w:sz w:val="24"/>
        </w:rPr>
        <w:t xml:space="preserve">Theme Parks Segment Results of Operations </w:t>
      </w:r>
    </w:p>
    <w:tbl>
      <w:tblPr>
        <w:tblW w:w="6274" w:type="dxa"/>
        <w:jc w:val="center"/>
        <w:tblInd w:w="0" w:type="dxa"/>
        <w:tblCellMar>
          <w:top w:w="28" w:type="dxa"/>
          <w:left w:w="28" w:type="dxa"/>
          <w:bottom w:w="28" w:type="dxa"/>
          <w:right w:w="28" w:type="dxa"/>
        </w:tblCellMar>
      </w:tblPr>
      <w:tblGrid>
        <w:gridCol w:w="614"/>
        <w:gridCol w:w="539"/>
        <w:gridCol w:w="541"/>
        <w:gridCol w:w="109"/>
        <w:gridCol w:w="109"/>
        <w:gridCol w:w="109"/>
        <w:gridCol w:w="109"/>
        <w:gridCol w:w="109"/>
        <w:gridCol w:w="148"/>
        <w:gridCol w:w="148"/>
        <w:gridCol w:w="288"/>
        <w:gridCol w:w="841"/>
        <w:gridCol w:w="148"/>
        <w:gridCol w:w="109"/>
        <w:gridCol w:w="109"/>
        <w:gridCol w:w="109"/>
        <w:gridCol w:w="211"/>
        <w:gridCol w:w="616"/>
        <w:gridCol w:w="109"/>
        <w:gridCol w:w="109"/>
        <w:gridCol w:w="109"/>
        <w:gridCol w:w="109"/>
        <w:gridCol w:w="262"/>
        <w:gridCol w:w="264"/>
        <w:gridCol w:w="346"/>
      </w:tblGrid>
      <w:tr>
        <w:trPr/>
        <w:tc>
          <w:tcPr>
            <w:tcW w:w="614"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3"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Change</w:t>
            </w:r>
          </w:p>
        </w:tc>
        <w:tc>
          <w:tcPr>
            <w:tcW w:w="1199" w:type="dxa"/>
            <w:gridSpan w:val="6"/>
            <w:tcBorders/>
            <w:shd w:fill="auto" w:val="clea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2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3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28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658</w:t>
            </w:r>
            <w:r>
              <w:rPr>
                <w:color w:val="000000"/>
              </w:rPr>
              <w:t> </w:t>
            </w:r>
          </w:p>
        </w:tc>
        <w:tc>
          <w:tcPr>
            <w:tcW w:w="14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451</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46.0</w:t>
            </w:r>
            <w:r>
              <w:rPr>
                <w:color w:val="000000"/>
              </w:rPr>
              <w:t> </w:t>
            </w:r>
          </w:p>
        </w:tc>
        <w:tc>
          <w:tcPr>
            <w:tcW w:w="34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84785"/>
                <wp:effectExtent l="0" t="0" r="0" b="0"/>
                <wp:wrapNone/>
                <wp:docPr id="28" name="Frame27"/>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60" w:after="120"/>
        <w:jc w:val="both"/>
        <w:rPr/>
      </w:pPr>
      <w:hyperlink w:anchor="i6cbedffc79ba431f8c6c5489cc9b606c_7">
        <w:r>
          <w:rPr>
            <w:rStyle w:val="InternetLink"/>
            <w:rFonts w:ascii="Times New Roman;sans-serif" w:hAnsi="Times New Roman;sans-serif"/>
            <w:b/>
            <w:color w:val="0000FF"/>
            <w:sz w:val="20"/>
            <w:u w:val="single"/>
          </w:rPr>
          <w:t>Table of Contents</w:t>
        </w:r>
      </w:hyperlink>
    </w:p>
    <w:p>
      <w:pPr>
        <w:pStyle w:val="TextBody"/>
        <w:spacing w:lineRule="auto" w:line="288" w:before="140" w:after="120"/>
        <w:jc w:val="both"/>
        <w:rPr/>
      </w:pPr>
      <w:r>
        <w:rPr>
          <w:rFonts w:ascii="Helvetica;sans-serif" w:hAnsi="Helvetica;sans-serif"/>
          <w:b/>
          <w:color w:val="000000"/>
          <w:sz w:val="20"/>
        </w:rPr>
        <w:t>Them</w:t>
      </w:r>
      <w:r>
        <w:rPr>
          <w:rFonts w:ascii="Helvetica;sans-serif" w:hAnsi="Helvetica;sans-serif"/>
          <w:b/>
          <w:color w:val="000000"/>
          <w:sz w:val="20"/>
          <w:highlight w:val="white"/>
        </w:rPr>
        <w:t>e parks segment revenue</w:t>
      </w:r>
      <w:r>
        <w:rPr>
          <w:color w:val="000000"/>
          <w:highlight w:val="white"/>
        </w:rPr>
        <w:t xml:space="preserve"> </w:t>
      </w:r>
      <w:r>
        <w:rPr>
          <w:rFonts w:ascii="Times New Roman;sans-serif" w:hAnsi="Times New Roman;sans-serif"/>
          <w:b w:val="false"/>
          <w:color w:val="000000"/>
          <w:sz w:val="20"/>
          <w:highlight w:val="white"/>
        </w:rPr>
        <w:t>primarily relates to guest spending at our theme parks, including ticket sales and in-park spending and our consumer products business.</w:t>
      </w:r>
      <w:r>
        <w:rPr>
          <w:color w:val="000000"/>
          <w:highlight w:val="white"/>
        </w:rPr>
        <w:t xml:space="preserve"> </w:t>
      </w:r>
    </w:p>
    <w:p>
      <w:pPr>
        <w:pStyle w:val="TextBody"/>
        <w:spacing w:lineRule="auto" w:line="288" w:before="60" w:after="1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Theme parks revenue increased for the three months ended March 31, 2023 compared to the same period in 2022 driven by an increase at our international theme parks, which had COVID-19 related restrictions in the prior year period, partially offset by the negative impact of foreign currency, and an increase in our domestic theme parks primarily due to higher attendance driven by the opening of Super Nintendo World at our theme park in Hollywood in the current year period.</w:t>
      </w:r>
    </w:p>
    <w:p>
      <w:pPr>
        <w:pStyle w:val="TextBody"/>
        <w:spacing w:lineRule="auto" w:line="288" w:before="60" w:after="120"/>
        <w:jc w:val="both"/>
        <w:rPr/>
      </w:pPr>
      <w:r>
        <w:rPr>
          <w:rFonts w:ascii="Helvetica;sans-serif" w:hAnsi="Helvetica;sans-serif"/>
          <w:b/>
          <w:color w:val="000000"/>
          <w:sz w:val="20"/>
          <w:highlight w:val="white"/>
        </w:rPr>
        <w:t>Theme parks segment costs and expenses</w:t>
      </w:r>
      <w:r>
        <w:rPr>
          <w:color w:val="000000"/>
          <w:highlight w:val="white"/>
        </w:rPr>
        <w:t xml:space="preserve"> </w:t>
      </w:r>
      <w:r>
        <w:rPr>
          <w:rFonts w:ascii="Times New Roman;sans-serif" w:hAnsi="Times New Roman;sans-serif"/>
          <w:b w:val="false"/>
          <w:color w:val="000000"/>
          <w:sz w:val="20"/>
          <w:highlight w:val="white"/>
        </w:rPr>
        <w:t xml:space="preserve">consist primarily of theme park operations, including repairs and maintenance and related administrative expenses; food, beverage and merchandise costs; labor costs; and sales and marketing costs. </w:t>
      </w:r>
    </w:p>
    <w:p>
      <w:pPr>
        <w:pStyle w:val="TextBody"/>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Theme parks costs and expenses increased for the three months ended March 31, 2023 compared to the same period in 2022 primarily due to higher costs associated with increased guest attendance.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60" w:after="120"/>
        <w:rPr>
          <w:rFonts w:ascii="Helvetica;sans-serif" w:hAnsi="Helvetica;sans-serif"/>
          <w:b/>
          <w:color w:val="000000"/>
          <w:sz w:val="24"/>
        </w:rPr>
      </w:pPr>
      <w:r>
        <w:rPr>
          <w:rFonts w:ascii="Helvetica;sans-serif" w:hAnsi="Helvetica;sans-serif"/>
          <w:b/>
          <w:color w:val="000000"/>
          <w:sz w:val="24"/>
        </w:rPr>
        <w:t>Content &amp; Experiences Headquarters, Other and Eliminations</w:t>
      </w:r>
    </w:p>
    <w:p>
      <w:pPr>
        <w:pStyle w:val="TextBody"/>
        <w:spacing w:lineRule="auto" w:line="288" w:before="60" w:after="120"/>
        <w:rPr>
          <w:rFonts w:ascii="Helvetica;sans-serif" w:hAnsi="Helvetica;sans-serif"/>
          <w:b/>
          <w:color w:val="000000"/>
          <w:sz w:val="20"/>
        </w:rPr>
      </w:pPr>
      <w:r>
        <w:rPr>
          <w:rFonts w:ascii="Helvetica;sans-serif" w:hAnsi="Helvetica;sans-serif"/>
          <w:b/>
          <w:color w:val="000000"/>
          <w:sz w:val="20"/>
        </w:rPr>
        <w:t>Headquarters and Other Results of Operations</w:t>
      </w:r>
    </w:p>
    <w:tbl>
      <w:tblPr>
        <w:tblW w:w="6260" w:type="dxa"/>
        <w:jc w:val="left"/>
        <w:tblInd w:w="0" w:type="dxa"/>
        <w:tblCellMar>
          <w:top w:w="28" w:type="dxa"/>
          <w:left w:w="28" w:type="dxa"/>
          <w:bottom w:w="28" w:type="dxa"/>
          <w:right w:w="28" w:type="dxa"/>
        </w:tblCellMar>
      </w:tblPr>
      <w:tblGrid>
        <w:gridCol w:w="614"/>
        <w:gridCol w:w="539"/>
        <w:gridCol w:w="541"/>
        <w:gridCol w:w="109"/>
        <w:gridCol w:w="109"/>
        <w:gridCol w:w="109"/>
        <w:gridCol w:w="109"/>
        <w:gridCol w:w="109"/>
        <w:gridCol w:w="159"/>
        <w:gridCol w:w="159"/>
        <w:gridCol w:w="308"/>
        <w:gridCol w:w="790"/>
        <w:gridCol w:w="159"/>
        <w:gridCol w:w="109"/>
        <w:gridCol w:w="109"/>
        <w:gridCol w:w="109"/>
        <w:gridCol w:w="211"/>
        <w:gridCol w:w="541"/>
        <w:gridCol w:w="109"/>
        <w:gridCol w:w="109"/>
        <w:gridCol w:w="109"/>
        <w:gridCol w:w="109"/>
        <w:gridCol w:w="291"/>
        <w:gridCol w:w="294"/>
        <w:gridCol w:w="346"/>
      </w:tblGrid>
      <w:tr>
        <w:trPr/>
        <w:tc>
          <w:tcPr>
            <w:tcW w:w="614"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5"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Change</w:t>
            </w:r>
          </w:p>
        </w:tc>
        <w:tc>
          <w:tcPr>
            <w:tcW w:w="1258" w:type="dxa"/>
            <w:gridSpan w:val="6"/>
            <w:tcBorders/>
            <w:shd w:fill="auto" w:val="clea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2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3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30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(232)</w:t>
            </w:r>
          </w:p>
        </w:tc>
        <w:tc>
          <w:tcPr>
            <w:tcW w:w="15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(191)</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(21.3)</w:t>
            </w:r>
          </w:p>
        </w:tc>
        <w:tc>
          <w:tcPr>
            <w:tcW w:w="34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spacing w:lineRule="auto" w:line="288" w:before="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Headquarters and Other expenses include overhead, personnel costs and costs associated with corporate initiatives.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60" w:after="120"/>
        <w:rPr>
          <w:rFonts w:ascii="Helvetica;sans-serif" w:hAnsi="Helvetica;sans-serif"/>
          <w:b/>
          <w:color w:val="000000"/>
          <w:sz w:val="20"/>
        </w:rPr>
      </w:pPr>
      <w:r>
        <w:rPr>
          <w:rFonts w:ascii="Helvetica;sans-serif" w:hAnsi="Helvetica;sans-serif"/>
          <w:b/>
          <w:color w:val="000000"/>
          <w:sz w:val="20"/>
        </w:rPr>
        <w:t>Eliminations</w:t>
      </w:r>
    </w:p>
    <w:tbl>
      <w:tblPr>
        <w:tblW w:w="6125" w:type="dxa"/>
        <w:jc w:val="left"/>
        <w:tblInd w:w="0" w:type="dxa"/>
        <w:tblCellMar>
          <w:top w:w="28" w:type="dxa"/>
          <w:left w:w="28" w:type="dxa"/>
          <w:bottom w:w="28" w:type="dxa"/>
          <w:right w:w="28" w:type="dxa"/>
        </w:tblCellMar>
      </w:tblPr>
      <w:tblGrid>
        <w:gridCol w:w="614"/>
        <w:gridCol w:w="539"/>
        <w:gridCol w:w="541"/>
        <w:gridCol w:w="109"/>
        <w:gridCol w:w="109"/>
        <w:gridCol w:w="109"/>
        <w:gridCol w:w="109"/>
        <w:gridCol w:w="109"/>
        <w:gridCol w:w="159"/>
        <w:gridCol w:w="159"/>
        <w:gridCol w:w="308"/>
        <w:gridCol w:w="790"/>
        <w:gridCol w:w="159"/>
        <w:gridCol w:w="109"/>
        <w:gridCol w:w="109"/>
        <w:gridCol w:w="109"/>
        <w:gridCol w:w="211"/>
        <w:gridCol w:w="541"/>
        <w:gridCol w:w="109"/>
        <w:gridCol w:w="109"/>
        <w:gridCol w:w="109"/>
        <w:gridCol w:w="109"/>
        <w:gridCol w:w="239"/>
        <w:gridCol w:w="241"/>
        <w:gridCol w:w="316"/>
      </w:tblGrid>
      <w:tr>
        <w:trPr/>
        <w:tc>
          <w:tcPr>
            <w:tcW w:w="614"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5"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Change</w:t>
            </w:r>
          </w:p>
        </w:tc>
        <w:tc>
          <w:tcPr>
            <w:tcW w:w="1123" w:type="dxa"/>
            <w:gridSpan w:val="6"/>
            <w:tcBorders/>
            <w:shd w:fill="auto" w:val="clea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2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30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24</w:t>
            </w:r>
            <w:r>
              <w:rPr>
                <w:color w:val="000000"/>
              </w:rPr>
              <w:t> </w:t>
            </w:r>
          </w:p>
        </w:tc>
        <w:tc>
          <w:tcPr>
            <w:tcW w:w="15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(62)</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NM</w:t>
            </w:r>
          </w:p>
        </w:tc>
      </w:tr>
    </w:tbl>
    <w:p>
      <w:pPr>
        <w:pStyle w:val="TextBody"/>
        <w:spacing w:lineRule="auto" w:line="288" w:before="100" w:after="120"/>
        <w:jc w:val="both"/>
        <w:rPr>
          <w:rFonts w:ascii="Times New Roman;sans-serif" w:hAnsi="Times New Roman;sans-serif"/>
          <w:b w:val="false"/>
          <w:color w:val="000000"/>
          <w:sz w:val="16"/>
        </w:rPr>
      </w:pPr>
      <w:r>
        <w:rPr>
          <w:rFonts w:ascii="Times New Roman;sans-serif" w:hAnsi="Times New Roman;sans-serif"/>
          <w:b w:val="false"/>
          <w:color w:val="000000"/>
          <w:sz w:val="16"/>
        </w:rPr>
        <w:t>Percentage changes that are considered not meaningful are denoted with NM.</w:t>
      </w:r>
    </w:p>
    <w:p>
      <w:pPr>
        <w:pStyle w:val="TextBody"/>
        <w:spacing w:lineRule="auto" w:line="288" w:before="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represent eliminations of transactions between segments in our Content &amp; Experiences business, the most significant being content licensing between the Studios and Media segments, which are affected by the timing of recognition of content licenses. </w:t>
      </w:r>
    </w:p>
    <w:p>
      <w:pPr>
        <w:pStyle w:val="TextBody"/>
        <w:spacing w:lineRule="auto" w:line="288" w:before="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Eliminations increase or decrease to the extent that additional content is made available to our other segments. Refer to Note 2 for additional information on transactions between our segments.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rPr>
          <w:rFonts w:ascii="Helvetica;sans-serif" w:hAnsi="Helvetica;sans-serif"/>
          <w:b/>
          <w:color w:val="000000"/>
          <w:sz w:val="24"/>
        </w:rPr>
      </w:pPr>
      <w:r>
        <w:rPr>
          <w:rFonts w:ascii="Helvetica;sans-serif" w:hAnsi="Helvetica;sans-serif"/>
          <w:b/>
          <w:color w:val="000000"/>
          <w:sz w:val="24"/>
        </w:rPr>
        <w:t>Corporate, Other and Eliminations</w:t>
      </w:r>
    </w:p>
    <w:p>
      <w:pPr>
        <w:pStyle w:val="TextBody"/>
        <w:spacing w:lineRule="auto" w:line="288" w:before="60" w:after="120"/>
        <w:rPr>
          <w:rFonts w:ascii="Helvetica;sans-serif" w:hAnsi="Helvetica;sans-serif"/>
          <w:b/>
          <w:color w:val="000000"/>
          <w:sz w:val="20"/>
        </w:rPr>
      </w:pPr>
      <w:r>
        <w:rPr>
          <w:rFonts w:ascii="Helvetica;sans-serif" w:hAnsi="Helvetica;sans-serif"/>
          <w:b/>
          <w:color w:val="000000"/>
          <w:sz w:val="20"/>
        </w:rPr>
        <w:t>Corporate and Other Results of Operations</w:t>
      </w:r>
    </w:p>
    <w:tbl>
      <w:tblPr>
        <w:tblW w:w="6369" w:type="dxa"/>
        <w:jc w:val="center"/>
        <w:tblInd w:w="0" w:type="dxa"/>
        <w:tblCellMar>
          <w:top w:w="28" w:type="dxa"/>
          <w:left w:w="28" w:type="dxa"/>
          <w:bottom w:w="28" w:type="dxa"/>
          <w:right w:w="28" w:type="dxa"/>
        </w:tblCellMar>
      </w:tblPr>
      <w:tblGrid>
        <w:gridCol w:w="614"/>
        <w:gridCol w:w="539"/>
        <w:gridCol w:w="541"/>
        <w:gridCol w:w="109"/>
        <w:gridCol w:w="109"/>
        <w:gridCol w:w="109"/>
        <w:gridCol w:w="109"/>
        <w:gridCol w:w="109"/>
        <w:gridCol w:w="159"/>
        <w:gridCol w:w="159"/>
        <w:gridCol w:w="308"/>
        <w:gridCol w:w="790"/>
        <w:gridCol w:w="159"/>
        <w:gridCol w:w="109"/>
        <w:gridCol w:w="109"/>
        <w:gridCol w:w="109"/>
        <w:gridCol w:w="211"/>
        <w:gridCol w:w="541"/>
        <w:gridCol w:w="109"/>
        <w:gridCol w:w="109"/>
        <w:gridCol w:w="109"/>
        <w:gridCol w:w="109"/>
        <w:gridCol w:w="291"/>
        <w:gridCol w:w="294"/>
        <w:gridCol w:w="301"/>
        <w:gridCol w:w="154"/>
      </w:tblGrid>
      <w:tr>
        <w:trPr/>
        <w:tc>
          <w:tcPr>
            <w:tcW w:w="614"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5"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Change</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0" w:type="dxa"/>
            <w:gridSpan w:val="4"/>
            <w:tcBorders/>
            <w:shd w:fill="auto" w:val="clea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2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30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(288)</w:t>
            </w:r>
          </w:p>
        </w:tc>
        <w:tc>
          <w:tcPr>
            <w:tcW w:w="15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(235)</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(22.9)</w:t>
            </w:r>
          </w:p>
        </w:tc>
        <w:tc>
          <w:tcPr>
            <w:tcW w:w="30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Corporate and Other primarily includes overhead and personnel costs; Sky operations outside of the Connectivity &amp; Platforms markets; Comcast Spectacor, which owns the Philadelphia Flyers and the Wells Fargo Center arena in Philadelphia, Pennsylvania; and Xumo, our consolidated streaming platform joint venture beginning in June 2022.</w:t>
      </w:r>
    </w:p>
    <w:p>
      <w:pPr>
        <w:pStyle w:val="TextBody"/>
        <w:spacing w:lineRule="auto" w:line="288" w:before="60" w:after="120"/>
        <w:jc w:val="both"/>
        <w:rPr/>
      </w:pPr>
      <w:r>
        <w:rPr>
          <w:rFonts w:ascii="Times New Roman;sans-serif" w:hAnsi="Times New Roman;sans-serif"/>
          <w:b w:val="false"/>
          <w:color w:val="000000"/>
          <w:sz w:val="20"/>
        </w:rPr>
        <w:t>Corporate and Other revenue for the three months ended March 31, 2023 remained consistent with the same period in 2022. Corporate and Other expen</w:t>
      </w:r>
      <w:r>
        <w:rPr>
          <w:rFonts w:ascii="Times New Roman;sans-serif" w:hAnsi="Times New Roman;sans-serif"/>
          <w:b w:val="false"/>
          <w:color w:val="000000"/>
          <w:sz w:val="20"/>
          <w:highlight w:val="white"/>
        </w:rPr>
        <w:t xml:space="preserve">ses increased for the three months ended March 31, 2023 compared to the same period in </w:t>
      </w:r>
      <w:r>
        <w:rPr>
          <w:rFonts w:ascii="Times New Roman;sans-serif" w:hAnsi="Times New Roman;sans-serif"/>
          <w:b w:val="false"/>
          <w:color w:val="000000"/>
          <w:sz w:val="20"/>
        </w:rPr>
        <w:t>2022</w:t>
      </w:r>
      <w:r>
        <w:rPr>
          <w:color w:val="000000"/>
          <w:highlight w:val="white"/>
        </w:rPr>
        <w:t xml:space="preserve"> </w:t>
      </w:r>
      <w:r>
        <w:rPr>
          <w:rFonts w:ascii="Times New Roman;sans-serif" w:hAnsi="Times New Roman;sans-serif"/>
          <w:b w:val="false"/>
          <w:color w:val="000000"/>
          <w:sz w:val="20"/>
          <w:highlight w:val="white"/>
        </w:rPr>
        <w:t xml:space="preserve">primarily due to costs related to Xumo. </w:t>
      </w:r>
      <w:r>
        <w:rPr>
          <w:rFonts w:ascii="Times New Roman;sans-serif" w:hAnsi="Times New Roman;sans-serif"/>
          <w:b w:val="false"/>
          <w:color w:val="000000"/>
          <w:sz w:val="20"/>
        </w:rPr>
        <w:t>We expect to continue to incur increased costs in 2023 related to Xumo.</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84785"/>
                <wp:effectExtent l="0" t="0" r="0" b="0"/>
                <wp:wrapNone/>
                <wp:docPr id="29" name="Frame28"/>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60" w:after="120"/>
        <w:jc w:val="both"/>
        <w:rPr/>
      </w:pPr>
      <w:hyperlink w:anchor="i6cbedffc79ba431f8c6c5489cc9b606c_7">
        <w:r>
          <w:rPr>
            <w:rStyle w:val="InternetLink"/>
            <w:rFonts w:ascii="Times New Roman;sans-serif" w:hAnsi="Times New Roman;sans-serif"/>
            <w:b/>
            <w:color w:val="0000FF"/>
            <w:sz w:val="20"/>
            <w:u w:val="single"/>
          </w:rPr>
          <w:t>Table of Contents</w:t>
        </w:r>
      </w:hyperlink>
    </w:p>
    <w:p>
      <w:pPr>
        <w:pStyle w:val="TextBody"/>
        <w:spacing w:lineRule="auto" w:line="288" w:before="60" w:after="120"/>
        <w:rPr>
          <w:rFonts w:ascii="Helvetica;sans-serif" w:hAnsi="Helvetica;sans-serif"/>
          <w:b/>
          <w:color w:val="000000"/>
          <w:sz w:val="20"/>
        </w:rPr>
      </w:pPr>
      <w:r>
        <w:rPr>
          <w:rFonts w:ascii="Helvetica;sans-serif" w:hAnsi="Helvetica;sans-serif"/>
          <w:b/>
          <w:color w:val="000000"/>
          <w:sz w:val="20"/>
        </w:rPr>
        <w:t>Eliminations</w:t>
      </w:r>
    </w:p>
    <w:tbl>
      <w:tblPr>
        <w:tblW w:w="6273" w:type="dxa"/>
        <w:jc w:val="left"/>
        <w:tblInd w:w="0" w:type="dxa"/>
        <w:tblCellMar>
          <w:top w:w="28" w:type="dxa"/>
          <w:left w:w="28" w:type="dxa"/>
          <w:bottom w:w="28" w:type="dxa"/>
          <w:right w:w="28" w:type="dxa"/>
        </w:tblCellMar>
      </w:tblPr>
      <w:tblGrid>
        <w:gridCol w:w="614"/>
        <w:gridCol w:w="539"/>
        <w:gridCol w:w="541"/>
        <w:gridCol w:w="109"/>
        <w:gridCol w:w="109"/>
        <w:gridCol w:w="109"/>
        <w:gridCol w:w="109"/>
        <w:gridCol w:w="109"/>
        <w:gridCol w:w="139"/>
        <w:gridCol w:w="139"/>
        <w:gridCol w:w="270"/>
        <w:gridCol w:w="886"/>
        <w:gridCol w:w="139"/>
        <w:gridCol w:w="109"/>
        <w:gridCol w:w="109"/>
        <w:gridCol w:w="109"/>
        <w:gridCol w:w="211"/>
        <w:gridCol w:w="691"/>
        <w:gridCol w:w="109"/>
        <w:gridCol w:w="109"/>
        <w:gridCol w:w="109"/>
        <w:gridCol w:w="109"/>
        <w:gridCol w:w="239"/>
        <w:gridCol w:w="241"/>
        <w:gridCol w:w="316"/>
      </w:tblGrid>
      <w:tr>
        <w:trPr/>
        <w:tc>
          <w:tcPr>
            <w:tcW w:w="614"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3"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Change</w:t>
            </w:r>
          </w:p>
        </w:tc>
        <w:tc>
          <w:tcPr>
            <w:tcW w:w="1123" w:type="dxa"/>
            <w:gridSpan w:val="6"/>
            <w:tcBorders/>
            <w:shd w:fill="auto" w:val="clea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7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w:t>
            </w:r>
            <w:r>
              <w:rPr>
                <w:color w:val="000000"/>
              </w:rPr>
              <w:t> </w:t>
            </w:r>
          </w:p>
        </w:tc>
        <w:tc>
          <w:tcPr>
            <w:tcW w:w="13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(82)</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NM</w:t>
            </w:r>
          </w:p>
        </w:tc>
      </w:tr>
    </w:tbl>
    <w:p>
      <w:pPr>
        <w:pStyle w:val="TextBody"/>
        <w:spacing w:lineRule="auto" w:line="288" w:before="0" w:after="120"/>
        <w:jc w:val="both"/>
        <w:rPr>
          <w:rFonts w:ascii="Times New Roman;sans-serif" w:hAnsi="Times New Roman;sans-serif"/>
          <w:b w:val="false"/>
          <w:color w:val="000000"/>
          <w:sz w:val="16"/>
        </w:rPr>
      </w:pPr>
      <w:r>
        <w:rPr>
          <w:rFonts w:ascii="Times New Roman;sans-serif" w:hAnsi="Times New Roman;sans-serif"/>
          <w:b w:val="false"/>
          <w:color w:val="000000"/>
          <w:sz w:val="16"/>
        </w:rPr>
        <w:t>Percentage changes that are considered not meaningful are denoted with NM.</w:t>
      </w:r>
    </w:p>
    <w:p>
      <w:pPr>
        <w:pStyle w:val="TextBody"/>
        <w:spacing w:lineRule="auto" w:line="288" w:before="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Amounts represent eliminations of transactions between our Connectivity &amp; Platforms, Content &amp; Experiences and other businesses, the most significant being distribution of television network programming between the Media and Residential Connectivity &amp; Platforms segments. Eliminations of transactions between segments within Content &amp; Experiences are presented separately. Amounts in the prior year reflect increased eliminations associated with the Beijing Olympics in the first quarter of 2022. Refer to Note 2 for additional information on transactions between our segments.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rPr>
          <w:rFonts w:ascii="Helvetica;sans-serif" w:hAnsi="Helvetica;sans-serif"/>
          <w:b/>
          <w:color w:val="000000"/>
          <w:sz w:val="24"/>
        </w:rPr>
      </w:pPr>
      <w:r>
        <w:rPr>
          <w:rFonts w:ascii="Helvetica;sans-serif" w:hAnsi="Helvetica;sans-serif"/>
          <w:b/>
          <w:color w:val="000000"/>
          <w:sz w:val="24"/>
        </w:rPr>
        <w:t>Non-GAAP Financial Measures</w:t>
      </w:r>
    </w:p>
    <w:p>
      <w:pPr>
        <w:pStyle w:val="TextBody"/>
        <w:spacing w:lineRule="auto" w:line="288" w:before="60" w:after="120"/>
        <w:rPr>
          <w:rFonts w:ascii="Helvetica;sans-serif" w:hAnsi="Helvetica;sans-serif"/>
          <w:b/>
          <w:color w:val="000000"/>
          <w:sz w:val="20"/>
        </w:rPr>
      </w:pPr>
      <w:r>
        <w:rPr>
          <w:rFonts w:ascii="Helvetica;sans-serif" w:hAnsi="Helvetica;sans-serif"/>
          <w:b/>
          <w:color w:val="000000"/>
          <w:sz w:val="20"/>
        </w:rPr>
        <w:t>Consolidated Adjusted EBITDA</w:t>
      </w:r>
    </w:p>
    <w:p>
      <w:pPr>
        <w:pStyle w:val="TextBody"/>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 </w:t>
      </w:r>
    </w:p>
    <w:p>
      <w:pPr>
        <w:pStyle w:val="TextBody"/>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w:t>
      </w:r>
    </w:p>
    <w:p>
      <w:pPr>
        <w:pStyle w:val="TextBody"/>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reconcile consolidated Adjusted EBITDA to net income attributable to Comcast Corporation. This measure should not be considered a substitute for operating income (loss), net income (loss), net income (loss) attributable to Comcast Corporation, or net cash provided by operating activities that we have reported in accordance with GAAP.</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84785"/>
                <wp:effectExtent l="0" t="0" r="0" b="0"/>
                <wp:wrapNone/>
                <wp:docPr id="30" name="Frame29"/>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60" w:after="120"/>
        <w:jc w:val="both"/>
        <w:rPr/>
      </w:pPr>
      <w:hyperlink w:anchor="i6cbedffc79ba431f8c6c5489cc9b606c_7">
        <w:r>
          <w:rPr>
            <w:rStyle w:val="InternetLink"/>
            <w:rFonts w:ascii="Times New Roman;sans-serif" w:hAnsi="Times New Roman;sans-serif"/>
            <w:b/>
            <w:color w:val="0000FF"/>
            <w:sz w:val="20"/>
            <w:u w:val="single"/>
          </w:rPr>
          <w:t>Table of Contents</w:t>
        </w:r>
      </w:hyperlink>
    </w:p>
    <w:p>
      <w:pPr>
        <w:pStyle w:val="TextBody"/>
        <w:spacing w:lineRule="auto" w:line="288" w:before="60" w:after="60"/>
        <w:jc w:val="both"/>
        <w:rPr>
          <w:rFonts w:ascii="Helvetica;sans-serif" w:hAnsi="Helvetica;sans-serif"/>
          <w:b/>
          <w:i/>
          <w:color w:val="000000"/>
          <w:sz w:val="20"/>
        </w:rPr>
      </w:pPr>
      <w:r>
        <w:rPr>
          <w:rFonts w:ascii="Helvetica;sans-serif" w:hAnsi="Helvetica;sans-serif"/>
          <w:b/>
          <w:i/>
          <w:color w:val="000000"/>
          <w:sz w:val="20"/>
        </w:rPr>
        <w:t>Reconciliation from Net Income Attributable to Comcast Corporation to Adjusted EBITDA</w:t>
      </w:r>
    </w:p>
    <w:tbl>
      <w:tblPr>
        <w:tblW w:w="7853" w:type="dxa"/>
        <w:jc w:val="left"/>
        <w:tblInd w:w="0" w:type="dxa"/>
        <w:tblCellMar>
          <w:top w:w="28" w:type="dxa"/>
          <w:left w:w="28" w:type="dxa"/>
          <w:bottom w:w="28" w:type="dxa"/>
          <w:right w:w="28" w:type="dxa"/>
        </w:tblCellMar>
      </w:tblPr>
      <w:tblGrid>
        <w:gridCol w:w="1714"/>
        <w:gridCol w:w="1507"/>
        <w:gridCol w:w="1519"/>
        <w:gridCol w:w="109"/>
        <w:gridCol w:w="109"/>
        <w:gridCol w:w="146"/>
        <w:gridCol w:w="146"/>
        <w:gridCol w:w="284"/>
        <w:gridCol w:w="850"/>
        <w:gridCol w:w="146"/>
        <w:gridCol w:w="109"/>
        <w:gridCol w:w="109"/>
        <w:gridCol w:w="109"/>
        <w:gridCol w:w="211"/>
        <w:gridCol w:w="631"/>
        <w:gridCol w:w="154"/>
      </w:tblGrid>
      <w:tr>
        <w:trPr/>
        <w:tc>
          <w:tcPr>
            <w:tcW w:w="1714" w:type="dxa"/>
            <w:tcBorders/>
            <w:shd w:fill="auto" w:val="clear"/>
            <w:vAlign w:val="center"/>
          </w:tcPr>
          <w:p>
            <w:pPr>
              <w:pStyle w:val="TableContents"/>
              <w:spacing w:before="0" w:after="283"/>
              <w:rPr>
                <w:sz w:val="4"/>
                <w:szCs w:val="4"/>
              </w:rPr>
            </w:pPr>
            <w:r>
              <w:rPr>
                <w:sz w:val="4"/>
                <w:szCs w:val="4"/>
              </w:rPr>
            </w:r>
          </w:p>
        </w:tc>
        <w:tc>
          <w:tcPr>
            <w:tcW w:w="1507" w:type="dxa"/>
            <w:tcBorders/>
            <w:shd w:fill="auto" w:val="clear"/>
            <w:vAlign w:val="center"/>
          </w:tcPr>
          <w:p>
            <w:pPr>
              <w:pStyle w:val="TableContents"/>
              <w:spacing w:before="0" w:after="283"/>
              <w:rPr>
                <w:sz w:val="4"/>
                <w:szCs w:val="4"/>
              </w:rPr>
            </w:pPr>
            <w:r>
              <w:rPr>
                <w:sz w:val="4"/>
                <w:szCs w:val="4"/>
              </w:rPr>
            </w:r>
          </w:p>
        </w:tc>
        <w:tc>
          <w:tcPr>
            <w:tcW w:w="15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2"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br/>
              <w:t>March 31,</w:t>
            </w:r>
          </w:p>
        </w:tc>
        <w:tc>
          <w:tcPr>
            <w:tcW w:w="1323" w:type="dxa"/>
            <w:gridSpan w:val="6"/>
            <w:tcBorders/>
            <w:shd w:fill="auto" w:val="clear"/>
          </w:tcPr>
          <w:p>
            <w:pPr>
              <w:pStyle w:val="TableContents"/>
              <w:spacing w:before="0" w:after="283"/>
              <w:rPr>
                <w:sz w:val="4"/>
                <w:szCs w:val="4"/>
              </w:rPr>
            </w:pPr>
            <w:r>
              <w:rPr>
                <w:sz w:val="4"/>
                <w:szCs w:val="4"/>
              </w:rPr>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r>
      <w:tr>
        <w:trPr/>
        <w:tc>
          <w:tcPr>
            <w:tcW w:w="47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income (loss) attributable to Comcast Corporation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3,834</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3,549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and other (income) loss,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4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474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Adjustments</w:t>
            </w:r>
            <w:r>
              <w:rPr>
                <w:rFonts w:ascii="Times New Roman;sans-serif" w:hAnsi="Times New Roman;sans-serif"/>
                <w:b w:val="false"/>
                <w:color w:val="000000"/>
                <w:sz w:val="13"/>
              </w:rPr>
              <w: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4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474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474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9,415</w:t>
            </w:r>
            <w:r>
              <w:rPr>
                <w:color w:val="000000"/>
              </w:rPr>
              <w:t> </w:t>
            </w:r>
          </w:p>
        </w:tc>
        <w:tc>
          <w:tcPr>
            <w:tcW w:w="14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9,150</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12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(a)Amounts represent the impact of certain events, gains, losses or other charges that are excluded from Adjusted EBITDA, including costs related to our investment portfolio. </w:t>
      </w:r>
    </w:p>
    <w:p>
      <w:pPr>
        <w:pStyle w:val="TextBody"/>
        <w:spacing w:lineRule="auto" w:line="288" w:before="60" w:after="120"/>
        <w:rPr>
          <w:rFonts w:ascii="Helvetica;sans-serif" w:hAnsi="Helvetica;sans-serif"/>
          <w:b/>
          <w:color w:val="000000"/>
          <w:sz w:val="20"/>
        </w:rPr>
      </w:pPr>
      <w:r>
        <w:rPr>
          <w:rFonts w:ascii="Helvetica;sans-serif" w:hAnsi="Helvetica;sans-serif"/>
          <w:b/>
          <w:color w:val="000000"/>
          <w:sz w:val="20"/>
        </w:rPr>
        <w:t>Constant Currency</w:t>
      </w:r>
    </w:p>
    <w:p>
      <w:pPr>
        <w:pStyle w:val="TextBody"/>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Constant currency and constant currency growth rates are non-GAAP financial measures that present our results of operations excluding the estimated effects of foreign currency exchange rate fluctuations. Certain of our businesses, including Connectivity &amp; Platforms, have operations outside the United States that are conducted in local currencies. As a result, the comparability of the financial results reported in U.S. dollars is affected by changes in foreign currency exchange rates. In our Connectivity &amp; Platforms business, we use constant currency and constant currency growth rates to evaluate the underlying performance of the businesses, and we believe they are helpful for investors because such measures present operating results on a comparable basis year over year to evaluate their underlying performance.</w:t>
      </w:r>
    </w:p>
    <w:p>
      <w:pPr>
        <w:pStyle w:val="TextBody"/>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Constant currency and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w:t>
      </w:r>
    </w:p>
    <w:p>
      <w:pPr>
        <w:pStyle w:val="TextBody"/>
        <w:spacing w:lineRule="auto" w:line="288" w:before="60" w:after="60"/>
        <w:jc w:val="both"/>
        <w:rPr>
          <w:rFonts w:ascii="Helvetica;sans-serif" w:hAnsi="Helvetica;sans-serif"/>
          <w:b/>
          <w:i/>
          <w:color w:val="000000"/>
          <w:sz w:val="20"/>
        </w:rPr>
      </w:pPr>
      <w:r>
        <w:rPr>
          <w:rFonts w:ascii="Helvetica;sans-serif" w:hAnsi="Helvetica;sans-serif"/>
          <w:b/>
          <w:i/>
          <w:color w:val="000000"/>
          <w:sz w:val="20"/>
        </w:rPr>
        <w:t>Reconciliation of Connectivity &amp; Platforms Constant Currency</w:t>
      </w:r>
    </w:p>
    <w:tbl>
      <w:tblPr>
        <w:tblW w:w="10205" w:type="dxa"/>
        <w:jc w:val="left"/>
        <w:tblInd w:w="0" w:type="dxa"/>
        <w:tblCellMar>
          <w:top w:w="28" w:type="dxa"/>
          <w:left w:w="28" w:type="dxa"/>
          <w:bottom w:w="28" w:type="dxa"/>
          <w:right w:w="28" w:type="dxa"/>
        </w:tblCellMar>
      </w:tblPr>
      <w:tblGrid>
        <w:gridCol w:w="1495"/>
        <w:gridCol w:w="1194"/>
        <w:gridCol w:w="1199"/>
        <w:gridCol w:w="109"/>
        <w:gridCol w:w="109"/>
        <w:gridCol w:w="109"/>
        <w:gridCol w:w="109"/>
        <w:gridCol w:w="109"/>
        <w:gridCol w:w="109"/>
        <w:gridCol w:w="211"/>
        <w:gridCol w:w="736"/>
        <w:gridCol w:w="301"/>
        <w:gridCol w:w="109"/>
        <w:gridCol w:w="109"/>
        <w:gridCol w:w="109"/>
        <w:gridCol w:w="414"/>
        <w:gridCol w:w="1046"/>
        <w:gridCol w:w="214"/>
        <w:gridCol w:w="109"/>
        <w:gridCol w:w="109"/>
        <w:gridCol w:w="109"/>
        <w:gridCol w:w="307"/>
        <w:gridCol w:w="1074"/>
        <w:gridCol w:w="439"/>
        <w:gridCol w:w="109"/>
        <w:gridCol w:w="158"/>
      </w:tblGrid>
      <w:tr>
        <w:trPr/>
        <w:tc>
          <w:tcPr>
            <w:tcW w:w="1495" w:type="dxa"/>
            <w:tcBorders/>
            <w:shd w:fill="auto" w:val="clear"/>
            <w:vAlign w:val="center"/>
          </w:tcPr>
          <w:p>
            <w:pPr>
              <w:pStyle w:val="TableContents"/>
              <w:spacing w:before="0" w:after="283"/>
              <w:rPr>
                <w:sz w:val="4"/>
                <w:szCs w:val="4"/>
              </w:rPr>
            </w:pPr>
            <w:r>
              <w:rPr>
                <w:sz w:val="4"/>
                <w:szCs w:val="4"/>
              </w:rPr>
            </w:r>
          </w:p>
        </w:tc>
        <w:tc>
          <w:tcPr>
            <w:tcW w:w="1194"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8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4"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Three Months Ended </w:t>
              <w:br/>
              <w:t>March 31, 2022</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74" w:type="dxa"/>
            <w:gridSpan w:val="3"/>
            <w:tcBorders/>
            <w:shd w:fill="auto" w:val="clear"/>
            <w:vAlign w:val="center"/>
          </w:tcPr>
          <w:p>
            <w:pPr>
              <w:pStyle w:val="TableContents"/>
              <w:spacing w:before="0" w:after="283"/>
              <w:rPr>
                <w:sz w:val="4"/>
                <w:szCs w:val="4"/>
              </w:rPr>
            </w:pPr>
            <w:r>
              <w:rPr>
                <w:sz w:val="4"/>
                <w:szCs w:val="4"/>
              </w:rPr>
            </w:r>
          </w:p>
        </w:tc>
        <w:tc>
          <w:tcPr>
            <w:tcW w:w="2414" w:type="dxa"/>
            <w:gridSpan w:val="8"/>
            <w:tcBorders/>
            <w:shd w:fill="auto" w:val="clear"/>
          </w:tcPr>
          <w:p>
            <w:pPr>
              <w:pStyle w:val="TableContents"/>
              <w:spacing w:before="0" w:after="283"/>
              <w:rPr>
                <w:sz w:val="4"/>
                <w:szCs w:val="4"/>
              </w:rPr>
            </w:pPr>
            <w:r>
              <w:rPr>
                <w:sz w:val="4"/>
                <w:szCs w:val="4"/>
              </w:rPr>
            </w:r>
          </w:p>
        </w:tc>
      </w:tr>
      <w:tr>
        <w:trPr/>
        <w:tc>
          <w:tcPr>
            <w:tcW w:w="38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per customer data)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As Reported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Effects of Foreign Currency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Constant Currency Amounts</w:t>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88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2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8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Connectivity &amp; Platforms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18,340 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17,993 </w:t>
            </w:r>
          </w:p>
        </w:tc>
        <w:tc>
          <w:tcPr>
            <w:tcW w:w="4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8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Business Services Connectivity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2,171 </w:t>
            </w:r>
          </w:p>
        </w:tc>
        <w:tc>
          <w:tcPr>
            <w:tcW w:w="4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88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Connectivity &amp; Platforms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20,512</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(349)</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20,163</w:t>
            </w:r>
            <w:r>
              <w:rPr>
                <w:color w:val="000000"/>
              </w:rPr>
              <w:t> </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88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2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8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Residential Connectivity &amp; Platforms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6,611 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6,553 </w:t>
            </w:r>
          </w:p>
        </w:tc>
        <w:tc>
          <w:tcPr>
            <w:tcW w:w="4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8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Services Connectivity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1,234 </w:t>
            </w:r>
          </w:p>
        </w:tc>
        <w:tc>
          <w:tcPr>
            <w:tcW w:w="4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88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Connectivity &amp; Platforms 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7,844</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(57)</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7,787</w:t>
            </w:r>
            <w:r>
              <w:rPr>
                <w:color w:val="000000"/>
              </w:rPr>
              <w:t> </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88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2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8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Residential Connectivity &amp; Platforms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bps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4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8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Services Connectivity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val="false"/>
                <w:color w:val="000000"/>
                <w:sz w:val="20"/>
              </w:rPr>
              <w:t>- bps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4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88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Connectivity &amp; Platforms Adjusted EBITDA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38.2</w:t>
            </w:r>
            <w:r>
              <w:rPr>
                <w:color w:val="000000"/>
              </w:rPr>
              <w:t> </w:t>
            </w:r>
          </w:p>
        </w:tc>
        <w:tc>
          <w:tcPr>
            <w:tcW w:w="3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67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40 bps</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3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38.6</w:t>
            </w:r>
            <w:r>
              <w:rPr>
                <w:color w:val="000000"/>
              </w:rPr>
              <w:t> </w:t>
            </w:r>
          </w:p>
        </w:tc>
        <w:tc>
          <w:tcPr>
            <w:tcW w:w="4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771"/>
        <w:gridCol w:w="1362"/>
        <w:gridCol w:w="1367"/>
        <w:gridCol w:w="109"/>
        <w:gridCol w:w="109"/>
        <w:gridCol w:w="114"/>
        <w:gridCol w:w="114"/>
        <w:gridCol w:w="114"/>
        <w:gridCol w:w="114"/>
        <w:gridCol w:w="221"/>
        <w:gridCol w:w="756"/>
        <w:gridCol w:w="114"/>
        <w:gridCol w:w="109"/>
        <w:gridCol w:w="109"/>
        <w:gridCol w:w="109"/>
        <w:gridCol w:w="346"/>
        <w:gridCol w:w="933"/>
        <w:gridCol w:w="178"/>
        <w:gridCol w:w="109"/>
        <w:gridCol w:w="109"/>
        <w:gridCol w:w="109"/>
        <w:gridCol w:w="316"/>
        <w:gridCol w:w="1082"/>
        <w:gridCol w:w="163"/>
        <w:gridCol w:w="109"/>
        <w:gridCol w:w="159"/>
      </w:tblGrid>
      <w:tr>
        <w:trPr/>
        <w:tc>
          <w:tcPr>
            <w:tcW w:w="1771"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13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45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7"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Three Months Ended </w:t>
              <w:br/>
              <w:t>March 31, 2022</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c>
          <w:tcPr>
            <w:tcW w:w="2156" w:type="dxa"/>
            <w:gridSpan w:val="8"/>
            <w:tcBorders/>
            <w:shd w:fill="auto" w:val="clear"/>
          </w:tcPr>
          <w:p>
            <w:pPr>
              <w:pStyle w:val="TableContents"/>
              <w:spacing w:before="0" w:after="283"/>
              <w:rPr>
                <w:sz w:val="4"/>
                <w:szCs w:val="4"/>
              </w:rPr>
            </w:pPr>
            <w:r>
              <w:rPr>
                <w:sz w:val="4"/>
                <w:szCs w:val="4"/>
              </w:rPr>
            </w:r>
          </w:p>
        </w:tc>
      </w:tr>
      <w:tr>
        <w:trPr/>
        <w:tc>
          <w:tcPr>
            <w:tcW w:w="45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per customer data)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As Reported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Effects of Foreign Currency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Constant Currency Amounts</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450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monthly total Connectivity &amp; Platforms revenue per customer relationship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4500"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monthly total Connectivity &amp; Platforms Adjusted EBITDA per customer relationship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1"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49.85 </w:t>
            </w:r>
          </w:p>
        </w:tc>
        <w:tc>
          <w:tcPr>
            <w:tcW w:w="114"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46"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w:t>
            </w:r>
          </w:p>
        </w:tc>
        <w:tc>
          <w:tcPr>
            <w:tcW w:w="178"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16"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2"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49.48 </w:t>
            </w:r>
          </w:p>
        </w:tc>
        <w:tc>
          <w:tcPr>
            <w:tcW w:w="163"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84785"/>
                <wp:effectExtent l="0" t="0" r="0" b="0"/>
                <wp:wrapNone/>
                <wp:docPr id="31" name="Frame30"/>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60" w:after="120"/>
        <w:jc w:val="both"/>
        <w:rPr/>
      </w:pPr>
      <w:hyperlink w:anchor="i6cbedffc79ba431f8c6c5489cc9b606c_7">
        <w:r>
          <w:rPr>
            <w:rStyle w:val="InternetLink"/>
            <w:rFonts w:ascii="Times New Roman;sans-serif" w:hAnsi="Times New Roman;sans-serif"/>
            <w:b/>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1427"/>
        <w:gridCol w:w="1177"/>
        <w:gridCol w:w="1181"/>
        <w:gridCol w:w="109"/>
        <w:gridCol w:w="109"/>
        <w:gridCol w:w="116"/>
        <w:gridCol w:w="116"/>
        <w:gridCol w:w="116"/>
        <w:gridCol w:w="116"/>
        <w:gridCol w:w="225"/>
        <w:gridCol w:w="786"/>
        <w:gridCol w:w="116"/>
        <w:gridCol w:w="109"/>
        <w:gridCol w:w="109"/>
        <w:gridCol w:w="109"/>
        <w:gridCol w:w="447"/>
        <w:gridCol w:w="1136"/>
        <w:gridCol w:w="231"/>
        <w:gridCol w:w="109"/>
        <w:gridCol w:w="109"/>
        <w:gridCol w:w="109"/>
        <w:gridCol w:w="374"/>
        <w:gridCol w:w="1307"/>
        <w:gridCol w:w="193"/>
        <w:gridCol w:w="109"/>
        <w:gridCol w:w="160"/>
      </w:tblGrid>
      <w:tr>
        <w:trPr/>
        <w:tc>
          <w:tcPr>
            <w:tcW w:w="1427"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1307"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1"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Three Months Ended </w:t>
              <w:br/>
              <w:t>March 31, 2022</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4" w:type="dxa"/>
            <w:gridSpan w:val="3"/>
            <w:tcBorders/>
            <w:shd w:fill="auto" w:val="clear"/>
            <w:vAlign w:val="center"/>
          </w:tcPr>
          <w:p>
            <w:pPr>
              <w:pStyle w:val="TableContents"/>
              <w:spacing w:before="0" w:after="283"/>
              <w:rPr>
                <w:sz w:val="4"/>
                <w:szCs w:val="4"/>
              </w:rPr>
            </w:pPr>
            <w:r>
              <w:rPr>
                <w:sz w:val="4"/>
                <w:szCs w:val="4"/>
              </w:rPr>
            </w:r>
          </w:p>
        </w:tc>
        <w:tc>
          <w:tcPr>
            <w:tcW w:w="2470" w:type="dxa"/>
            <w:gridSpan w:val="8"/>
            <w:tcBorders/>
            <w:shd w:fill="auto" w:val="clear"/>
          </w:tcPr>
          <w:p>
            <w:pPr>
              <w:pStyle w:val="TableContents"/>
              <w:spacing w:before="0" w:after="283"/>
              <w:rPr>
                <w:sz w:val="4"/>
                <w:szCs w:val="4"/>
              </w:rPr>
            </w:pPr>
            <w:r>
              <w:rPr>
                <w:sz w:val="4"/>
                <w:szCs w:val="4"/>
              </w:rPr>
            </w:r>
          </w:p>
        </w:tc>
      </w:tr>
      <w:tr>
        <w:trPr/>
        <w:tc>
          <w:tcPr>
            <w:tcW w:w="37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per customer data)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As Reported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Effects of Foreign Currency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Constant Currency Amounts</w:t>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7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Programming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4,884 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4,781 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Technical and support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product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promotion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service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78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Connectivity &amp; Platforms 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12,668</w:t>
            </w:r>
            <w:r>
              <w:rPr>
                <w:color w:val="000000"/>
              </w:rPr>
              <w:t>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4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(291)</w:t>
            </w:r>
          </w:p>
        </w:tc>
        <w:tc>
          <w:tcPr>
            <w:tcW w:w="2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12,377</w:t>
            </w:r>
            <w:r>
              <w:rPr>
                <w:color w:val="000000"/>
              </w:rPr>
              <w:t> </w:t>
            </w:r>
          </w:p>
        </w:tc>
        <w:tc>
          <w:tcPr>
            <w:tcW w:w="1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60" w:after="60"/>
        <w:jc w:val="both"/>
        <w:rPr>
          <w:rFonts w:ascii="Helvetica;sans-serif" w:hAnsi="Helvetica;sans-serif"/>
          <w:b/>
          <w:i/>
          <w:color w:val="000000"/>
          <w:sz w:val="20"/>
        </w:rPr>
      </w:pPr>
      <w:r>
        <w:rPr>
          <w:rFonts w:ascii="Helvetica;sans-serif" w:hAnsi="Helvetica;sans-serif"/>
          <w:b/>
          <w:i/>
          <w:color w:val="000000"/>
          <w:sz w:val="20"/>
        </w:rPr>
        <w:t>Reconciliation of Residential Connectivity &amp; Platforms Constant Currency</w:t>
      </w:r>
    </w:p>
    <w:tbl>
      <w:tblPr>
        <w:tblW w:w="9666" w:type="dxa"/>
        <w:jc w:val="left"/>
        <w:tblInd w:w="0" w:type="dxa"/>
        <w:tblCellMar>
          <w:top w:w="28" w:type="dxa"/>
          <w:left w:w="28" w:type="dxa"/>
          <w:bottom w:w="28" w:type="dxa"/>
          <w:right w:w="28" w:type="dxa"/>
        </w:tblCellMar>
      </w:tblPr>
      <w:tblGrid>
        <w:gridCol w:w="1010"/>
        <w:gridCol w:w="888"/>
        <w:gridCol w:w="891"/>
        <w:gridCol w:w="109"/>
        <w:gridCol w:w="109"/>
        <w:gridCol w:w="127"/>
        <w:gridCol w:w="127"/>
        <w:gridCol w:w="127"/>
        <w:gridCol w:w="127"/>
        <w:gridCol w:w="246"/>
        <w:gridCol w:w="737"/>
        <w:gridCol w:w="127"/>
        <w:gridCol w:w="109"/>
        <w:gridCol w:w="109"/>
        <w:gridCol w:w="109"/>
        <w:gridCol w:w="573"/>
        <w:gridCol w:w="1185"/>
        <w:gridCol w:w="296"/>
        <w:gridCol w:w="109"/>
        <w:gridCol w:w="109"/>
        <w:gridCol w:w="109"/>
        <w:gridCol w:w="459"/>
        <w:gridCol w:w="1374"/>
        <w:gridCol w:w="237"/>
        <w:gridCol w:w="109"/>
        <w:gridCol w:w="154"/>
      </w:tblGrid>
      <w:tr>
        <w:trPr/>
        <w:tc>
          <w:tcPr>
            <w:tcW w:w="1010"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8"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Three Months Ended </w:t>
              <w:br/>
              <w:t>March 31, 2022</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54" w:type="dxa"/>
            <w:gridSpan w:val="3"/>
            <w:tcBorders/>
            <w:shd w:fill="auto" w:val="clear"/>
            <w:vAlign w:val="center"/>
          </w:tcPr>
          <w:p>
            <w:pPr>
              <w:pStyle w:val="TableContents"/>
              <w:spacing w:before="0" w:after="283"/>
              <w:rPr>
                <w:sz w:val="4"/>
                <w:szCs w:val="4"/>
              </w:rPr>
            </w:pPr>
            <w:r>
              <w:rPr>
                <w:sz w:val="4"/>
                <w:szCs w:val="4"/>
              </w:rPr>
            </w:r>
          </w:p>
        </w:tc>
        <w:tc>
          <w:tcPr>
            <w:tcW w:w="2660" w:type="dxa"/>
            <w:gridSpan w:val="8"/>
            <w:tcBorders/>
            <w:shd w:fill="auto" w:val="clear"/>
          </w:tcPr>
          <w:p>
            <w:pPr>
              <w:pStyle w:val="TableContents"/>
              <w:spacing w:before="0" w:after="283"/>
              <w:rPr>
                <w:sz w:val="4"/>
                <w:szCs w:val="4"/>
              </w:rPr>
            </w:pPr>
            <w:r>
              <w:rPr>
                <w:sz w:val="4"/>
                <w:szCs w:val="4"/>
              </w:rPr>
            </w:r>
          </w:p>
        </w:tc>
      </w:tr>
      <w:tr>
        <w:trPr/>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per customer data)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1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As Reported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Effects of Foreign Currency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Constant Currency Amounts</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0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 broadband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 wireless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connectivity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residential connectivity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7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3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7,489 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Video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7,811 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18,340</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7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(347)</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3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17,993</w:t>
            </w: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Programming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4,884 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4,781 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6,846 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6,659 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7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3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6,611</w:t>
            </w:r>
            <w:r>
              <w:rPr>
                <w:color w:val="000000"/>
              </w:rPr>
              <w:t> </w:t>
            </w:r>
          </w:p>
        </w:tc>
        <w:tc>
          <w:tcPr>
            <w:tcW w:w="1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5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(58)</w:t>
            </w:r>
          </w:p>
        </w:tc>
        <w:tc>
          <w:tcPr>
            <w:tcW w:w="2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4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6,553</w:t>
            </w:r>
            <w:r>
              <w:rPr>
                <w:color w:val="000000"/>
              </w:rPr>
              <w:t> </w:t>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60" w:after="120"/>
        <w:rPr>
          <w:rFonts w:ascii="Helvetica;sans-serif" w:hAnsi="Helvetica;sans-serif"/>
          <w:b/>
          <w:color w:val="000000"/>
          <w:sz w:val="20"/>
        </w:rPr>
      </w:pPr>
      <w:r>
        <w:rPr>
          <w:rFonts w:ascii="Helvetica;sans-serif" w:hAnsi="Helvetica;sans-serif"/>
          <w:b/>
          <w:color w:val="000000"/>
          <w:sz w:val="20"/>
        </w:rPr>
        <w:t>Other Adjustments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present adjusted information, such as revenue,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rPr/>
      </w:pPr>
      <w:r>
        <w:rPr>
          <w:rFonts w:ascii="Helvetica;sans-serif" w:hAnsi="Helvetica;sans-serif"/>
          <w:b/>
          <w:color w:val="000000"/>
          <w:sz w:val="24"/>
        </w:rPr>
        <w:t>Liquidity and Capital</w:t>
      </w:r>
      <w:r>
        <w:rPr>
          <w:color w:val="000000"/>
          <w:highlight w:val="white"/>
        </w:rPr>
        <w:t xml:space="preserve"> </w:t>
      </w:r>
      <w:r>
        <w:rPr>
          <w:rFonts w:ascii="Helvetica;sans-serif" w:hAnsi="Helvetica;sans-serif"/>
          <w:b/>
          <w:color w:val="000000"/>
          <w:sz w:val="24"/>
          <w:highlight w:val="white"/>
        </w:rPr>
        <w:t>Resources</w:t>
      </w:r>
    </w:p>
    <w:tbl>
      <w:tblPr>
        <w:tblW w:w="5372" w:type="dxa"/>
        <w:jc w:val="left"/>
        <w:tblInd w:w="0" w:type="dxa"/>
        <w:tblCellMar>
          <w:top w:w="28" w:type="dxa"/>
          <w:left w:w="28" w:type="dxa"/>
          <w:bottom w:w="28" w:type="dxa"/>
          <w:right w:w="28" w:type="dxa"/>
        </w:tblCellMar>
      </w:tblPr>
      <w:tblGrid>
        <w:gridCol w:w="1149"/>
        <w:gridCol w:w="1012"/>
        <w:gridCol w:w="1019"/>
        <w:gridCol w:w="211"/>
        <w:gridCol w:w="481"/>
        <w:gridCol w:w="109"/>
        <w:gridCol w:w="109"/>
        <w:gridCol w:w="109"/>
        <w:gridCol w:w="109"/>
        <w:gridCol w:w="211"/>
        <w:gridCol w:w="481"/>
        <w:gridCol w:w="109"/>
        <w:gridCol w:w="109"/>
        <w:gridCol w:w="154"/>
      </w:tblGrid>
      <w:tr>
        <w:trPr/>
        <w:tc>
          <w:tcPr>
            <w:tcW w:w="1149"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9"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billions)</w:t>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31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80"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w:t>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5651" w:type="dxa"/>
        <w:jc w:val="left"/>
        <w:tblInd w:w="0" w:type="dxa"/>
        <w:tblCellMar>
          <w:top w:w="28" w:type="dxa"/>
          <w:left w:w="28" w:type="dxa"/>
          <w:bottom w:w="28" w:type="dxa"/>
          <w:right w:w="28" w:type="dxa"/>
        </w:tblCellMar>
      </w:tblPr>
      <w:tblGrid>
        <w:gridCol w:w="927"/>
        <w:gridCol w:w="816"/>
        <w:gridCol w:w="822"/>
        <w:gridCol w:w="312"/>
        <w:gridCol w:w="756"/>
        <w:gridCol w:w="161"/>
        <w:gridCol w:w="109"/>
        <w:gridCol w:w="109"/>
        <w:gridCol w:w="109"/>
        <w:gridCol w:w="368"/>
        <w:gridCol w:w="893"/>
        <w:gridCol w:w="269"/>
      </w:tblGrid>
      <w:tr>
        <w:trPr/>
        <w:tc>
          <w:tcPr>
            <w:tcW w:w="927"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billions)</w:t>
            </w:r>
          </w:p>
        </w:tc>
        <w:tc>
          <w:tcPr>
            <w:tcW w:w="12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val="false"/>
                <w:color w:val="000000"/>
                <w:sz w:val="16"/>
              </w:rPr>
            </w:pPr>
            <w:r>
              <w:rPr>
                <w:rFonts w:ascii="Times New Roman;sans-serif" w:hAnsi="Times New Roman;sans-serif"/>
                <w:b w:val="false"/>
                <w:color w:val="000000"/>
                <w:sz w:val="16"/>
              </w:rPr>
              <w:t>December 31, 2022</w:t>
            </w:r>
          </w:p>
        </w:tc>
      </w:tr>
      <w:tr>
        <w:trPr/>
        <w:tc>
          <w:tcPr>
            <w:tcW w:w="25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and long-term debt</w:t>
            </w:r>
          </w:p>
        </w:tc>
        <w:tc>
          <w:tcPr>
            <w:tcW w:w="312"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161"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68"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26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84785"/>
                <wp:effectExtent l="0" t="0" r="0" b="0"/>
                <wp:wrapNone/>
                <wp:docPr id="32" name="Frame31"/>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60" w:after="120"/>
        <w:jc w:val="both"/>
        <w:rPr/>
      </w:pPr>
      <w:hyperlink w:anchor="i6cbedffc79ba431f8c6c5489cc9b606c_7">
        <w:r>
          <w:rPr>
            <w:rStyle w:val="InternetLink"/>
            <w:rFonts w:ascii="Times New Roman;sans-serif" w:hAnsi="Times New Roman;sans-serif"/>
            <w:b/>
            <w:color w:val="0000FF"/>
            <w:sz w:val="20"/>
            <w:u w:val="single"/>
          </w:rPr>
          <w:t>Table of Contents</w:t>
        </w:r>
      </w:hyperlink>
    </w:p>
    <w:p>
      <w:pPr>
        <w:pStyle w:val="TextBody"/>
        <w:spacing w:lineRule="auto" w:line="288" w:before="60" w:after="120"/>
        <w:jc w:val="both"/>
        <w:rPr/>
      </w:pPr>
      <w:r>
        <w:rPr>
          <w:rFonts w:ascii="Times New Roman;sans-serif" w:hAnsi="Times New Roman;sans-serif"/>
          <w:b w:val="false"/>
          <w:color w:val="000000"/>
          <w:sz w:val="20"/>
          <w:highlight w:val="white"/>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w:t>
      </w:r>
      <w:r>
        <w:rPr>
          <w:rFonts w:ascii="Times New Roman;sans-serif" w:hAnsi="Times New Roman;sans-serif"/>
          <w:b w:val="false"/>
          <w:color w:val="000000"/>
          <w:sz w:val="20"/>
        </w:rPr>
        <w:t xml:space="preserve">h equivalents and investments; available borrowings under our existing credit facility; and our ability to obtain future external financing. We anticipate that we will continue to use a substantial portion of our cash flows from operating activities in repaying our debt obligations, funding our capital expenditures and cash paid for intangible assets, investing in business opportunities, and returning capital to shareholders. </w:t>
      </w:r>
    </w:p>
    <w:p>
      <w:pPr>
        <w:pStyle w:val="TextBody"/>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significant availability under our revolving credit facility and our commercial paper program to meet our short-term liquidity requirements. Our commercial paper program generally provides a lower-cost source of borrowing to fund our short-term working capital requirements. As of March 31, 2023, amounts available under our revolving credit facility, net of amounts outstanding under our commercial paper program and outstanding letters of credit and bank guarantees, totaled $11.0 billion.</w:t>
      </w:r>
    </w:p>
    <w:p>
      <w:pPr>
        <w:pStyle w:val="TextBody"/>
        <w:spacing w:lineRule="auto" w:line="288" w:before="60" w:after="120"/>
        <w:rPr/>
      </w:pPr>
      <w:r>
        <w:rPr>
          <w:rFonts w:ascii="Helvetica;sans-serif" w:hAnsi="Helvetica;sans-serif"/>
          <w:b/>
          <w:color w:val="000000"/>
          <w:sz w:val="20"/>
        </w:rPr>
        <w:t>Operating Activit</w:t>
      </w:r>
      <w:r>
        <w:rPr>
          <w:rFonts w:ascii="Helvetica;sans-serif" w:hAnsi="Helvetica;sans-serif"/>
          <w:b/>
          <w:color w:val="000000"/>
          <w:sz w:val="20"/>
          <w:highlight w:val="white"/>
        </w:rPr>
        <w:t>ies</w:t>
      </w:r>
    </w:p>
    <w:p>
      <w:pPr>
        <w:pStyle w:val="TextBody"/>
        <w:spacing w:lineRule="auto" w:line="288" w:before="60" w:after="120"/>
        <w:jc w:val="center"/>
        <w:rPr>
          <w:rFonts w:ascii="Helvetica;sans-serif" w:hAnsi="Helvetica;sans-serif"/>
          <w:b/>
          <w:color w:val="000000"/>
          <w:sz w:val="20"/>
          <w:highlight w:val="white"/>
        </w:rPr>
      </w:pPr>
      <w:r>
        <w:rPr>
          <w:rFonts w:ascii="Helvetica;sans-serif" w:hAnsi="Helvetica;sans-serif"/>
          <w:b/>
          <w:color w:val="000000"/>
          <w:sz w:val="20"/>
          <w:highlight w:val="white"/>
        </w:rPr>
        <w:t>Components of Net Cash Provided by Operating Activities</w:t>
      </w:r>
    </w:p>
    <w:tbl>
      <w:tblPr>
        <w:tblW w:w="5843" w:type="dxa"/>
        <w:jc w:val="left"/>
        <w:tblInd w:w="0" w:type="dxa"/>
        <w:tblCellMar>
          <w:top w:w="28" w:type="dxa"/>
          <w:left w:w="28" w:type="dxa"/>
          <w:bottom w:w="28" w:type="dxa"/>
          <w:right w:w="28" w:type="dxa"/>
        </w:tblCellMar>
      </w:tblPr>
      <w:tblGrid>
        <w:gridCol w:w="1295"/>
        <w:gridCol w:w="1135"/>
        <w:gridCol w:w="1139"/>
        <w:gridCol w:w="211"/>
        <w:gridCol w:w="631"/>
        <w:gridCol w:w="109"/>
        <w:gridCol w:w="109"/>
        <w:gridCol w:w="109"/>
        <w:gridCol w:w="109"/>
        <w:gridCol w:w="211"/>
        <w:gridCol w:w="631"/>
        <w:gridCol w:w="154"/>
      </w:tblGrid>
      <w:tr>
        <w:trPr/>
        <w:tc>
          <w:tcPr>
            <w:tcW w:w="1295"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7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br/>
              <w:t>March 31,</w:t>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r>
      <w:tr>
        <w:trPr/>
        <w:tc>
          <w:tcPr>
            <w:tcW w:w="35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share-based compensation</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interest</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income taxes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investments and other</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operating activities</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7,228</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7,257</w:t>
            </w: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1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variance in changes in operating assets and liabilities for the three months ended March 31, 2023 compared to the same period in 2022 was primarily related to the timing of sporting events, including the Beijing Olympics and Super Bowl in the prior year period, and the 2022 FIFA World Cup, which impacted the timing of collections on receivables, recognition of deferred revenue and amortization, and related payments for our film and television costs.</w:t>
      </w:r>
    </w:p>
    <w:p>
      <w:pPr>
        <w:pStyle w:val="TextBody"/>
        <w:spacing w:lineRule="auto" w:line="288" w:before="60" w:after="120"/>
        <w:rPr>
          <w:rFonts w:ascii="Helvetica;sans-serif" w:hAnsi="Helvetica;sans-serif"/>
          <w:b/>
          <w:color w:val="000000"/>
          <w:sz w:val="20"/>
          <w:highlight w:val="white"/>
        </w:rPr>
      </w:pPr>
      <w:r>
        <w:rPr>
          <w:rFonts w:ascii="Helvetica;sans-serif" w:hAnsi="Helvetica;sans-serif"/>
          <w:b/>
          <w:color w:val="000000"/>
          <w:sz w:val="20"/>
          <w:highlight w:val="white"/>
        </w:rPr>
        <w:t>Investing Activities</w:t>
      </w:r>
    </w:p>
    <w:p>
      <w:pPr>
        <w:pStyle w:val="TextBody"/>
        <w:spacing w:lineRule="auto" w:line="288" w:before="60" w:after="120"/>
        <w:jc w:val="both"/>
        <w:rPr/>
      </w:pPr>
      <w:r>
        <w:rPr>
          <w:rFonts w:ascii="Times New Roman;sans-serif" w:hAnsi="Times New Roman;sans-serif"/>
          <w:b w:val="false"/>
          <w:color w:val="000000"/>
          <w:sz w:val="20"/>
        </w:rPr>
        <w:t>Net cash used in investing activities increased for the three months ended March 31, 2023 compared to the same period in 2022, primarily due to increased capital expenditures, increased cash paid for intangible assets related to software development and increased purchases of investments in the current year period. The</w:t>
      </w:r>
      <w:r>
        <w:rPr>
          <w:rFonts w:ascii="Times New Roman;sans-serif" w:hAnsi="Times New Roman;sans-serif"/>
          <w:b w:val="false"/>
          <w:color w:val="000000"/>
          <w:sz w:val="20"/>
          <w:highlight w:val="white"/>
        </w:rPr>
        <w:t>se increases were partially offset by proceeds from the maturity of short-term investments and decreased cash paid related to the construction of Universal Beijing Resort in the current year period. Capital expenditures, which are our most significant recurring investing activity, increased for the three months ended March 31, 2023 compared to the same period in 2022, primarily reflecting increased spending o</w:t>
      </w:r>
      <w:r>
        <w:rPr>
          <w:rFonts w:ascii="Times New Roman;sans-serif" w:hAnsi="Times New Roman;sans-serif"/>
          <w:b w:val="false"/>
          <w:color w:val="000000"/>
          <w:sz w:val="20"/>
        </w:rPr>
        <w:t>n scalable infrastructure and line extensions</w:t>
      </w:r>
      <w:r>
        <w:rPr>
          <w:color w:val="000000"/>
          <w:highlight w:val="white"/>
        </w:rPr>
        <w:t xml:space="preserve"> </w:t>
      </w:r>
      <w:r>
        <w:rPr>
          <w:rFonts w:ascii="Times New Roman;sans-serif" w:hAnsi="Times New Roman;sans-serif"/>
          <w:b w:val="false"/>
          <w:color w:val="000000"/>
          <w:sz w:val="20"/>
          <w:highlight w:val="white"/>
        </w:rPr>
        <w:t xml:space="preserve">by the Connectivity &amp; Platforms businesses and increased spending on </w:t>
      </w:r>
      <w:r>
        <w:rPr>
          <w:rFonts w:ascii="Times New Roman;sans-serif" w:hAnsi="Times New Roman;sans-serif"/>
          <w:b w:val="false"/>
          <w:color w:val="000000"/>
          <w:sz w:val="20"/>
        </w:rPr>
        <w:t>the development of the Epic Universe theme park in Orlando.</w:t>
      </w:r>
    </w:p>
    <w:p>
      <w:pPr>
        <w:pStyle w:val="TextBody"/>
        <w:spacing w:lineRule="auto" w:line="288" w:before="60" w:after="120"/>
        <w:rPr>
          <w:rFonts w:ascii="Helvetica;sans-serif" w:hAnsi="Helvetica;sans-serif"/>
          <w:b/>
          <w:color w:val="000000"/>
          <w:sz w:val="20"/>
          <w:highlight w:val="white"/>
        </w:rPr>
      </w:pPr>
      <w:r>
        <w:rPr>
          <w:rFonts w:ascii="Helvetica;sans-serif" w:hAnsi="Helvetica;sans-serif"/>
          <w:b/>
          <w:color w:val="000000"/>
          <w:sz w:val="20"/>
          <w:highlight w:val="white"/>
        </w:rPr>
        <w:t>Financing Activities</w:t>
      </w:r>
    </w:p>
    <w:p>
      <w:pPr>
        <w:pStyle w:val="TextBody"/>
        <w:spacing w:lineRule="auto" w:line="288" w:before="60" w:after="120"/>
        <w:jc w:val="both"/>
        <w:rPr/>
      </w:pPr>
      <w:r>
        <w:rPr>
          <w:rFonts w:ascii="Times New Roman;sans-serif" w:hAnsi="Times New Roman;sans-serif"/>
          <w:b w:val="false"/>
          <w:color w:val="000000"/>
          <w:sz w:val="20"/>
          <w:highlight w:val="white"/>
        </w:rPr>
        <w:t>Net cash used in financing activities decreased for the three months ended March 31, 2023 compared to the same period in 2022 primarily due to a de</w:t>
      </w:r>
      <w:r>
        <w:rPr>
          <w:rFonts w:ascii="Times New Roman;sans-serif" w:hAnsi="Times New Roman;sans-serif"/>
          <w:b w:val="false"/>
          <w:color w:val="000000"/>
          <w:sz w:val="20"/>
        </w:rPr>
        <w:t xml:space="preserve">crease in the repurchases of common stock under our share repurchase program and employee plans, and </w:t>
      </w:r>
      <w:r>
        <w:rPr>
          <w:rFonts w:ascii="Times New Roman;sans-serif" w:hAnsi="Times New Roman;sans-serif"/>
          <w:b w:val="false"/>
          <w:color w:val="000000"/>
          <w:sz w:val="20"/>
          <w:highlight w:val="white"/>
        </w:rPr>
        <w:t>higher proceeds from borrow</w:t>
      </w:r>
      <w:r>
        <w:rPr>
          <w:rFonts w:ascii="Times New Roman;sans-serif" w:hAnsi="Times New Roman;sans-serif"/>
          <w:b w:val="false"/>
          <w:color w:val="000000"/>
          <w:sz w:val="20"/>
        </w:rPr>
        <w:t xml:space="preserve">ings in the current year period, partially offset by repayments of short-term borrowings in the current year period. </w:t>
      </w:r>
    </w:p>
    <w:p>
      <w:pPr>
        <w:pStyle w:val="TextBody"/>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we issued $1.0 billion aggregate principal amount of fixed-rate senior notes maturing in 2033. An amount equal to the net proceeds from these notes is intended to finance or refinance one or more green projects, assets or activities that meet certain specified eligibility criteria.</w:t>
      </w:r>
    </w:p>
    <w:p>
      <w:pPr>
        <w:pStyle w:val="TextBody"/>
        <w:spacing w:lineRule="auto" w:line="288" w:before="60" w:after="120"/>
        <w:jc w:val="both"/>
        <w:rPr/>
      </w:pPr>
      <w:r>
        <w:rPr>
          <w:rFonts w:ascii="Times New Roman;sans-serif" w:hAnsi="Times New Roman;sans-serif"/>
          <w:b w:val="false"/>
          <w:color w:val="000000"/>
          <w:sz w:val="20"/>
        </w:rPr>
        <w:t>We have made, and may from time to time in the future make, optional repayments on our debt obligations, which may include repurchases or exchanges of our outst</w:t>
      </w:r>
      <w:r>
        <w:rPr>
          <w:rFonts w:ascii="Times New Roman;sans-serif" w:hAnsi="Times New Roman;sans-serif"/>
          <w:b w:val="false"/>
          <w:color w:val="000000"/>
          <w:sz w:val="20"/>
          <w:highlight w:val="white"/>
        </w:rPr>
        <w:t>an</w:t>
      </w:r>
      <w:r>
        <w:rPr>
          <w:rFonts w:ascii="Times New Roman;sans-serif" w:hAnsi="Times New Roman;sans-serif"/>
          <w:b w:val="false"/>
          <w:color w:val="000000"/>
          <w:sz w:val="20"/>
        </w:rPr>
        <w:t xml:space="preserve">ding public notes and debentures, depending on various factors, such as market conditions. Any such repurchases may be effected through privately negotiated transactions, market transactions, tender offers, redemptions or otherwise. See Notes </w:t>
      </w:r>
      <w:r>
        <w:rPr>
          <w:rFonts w:ascii="Times New Roman;sans-serif" w:hAnsi="Times New Roman;sans-serif"/>
          <w:b w:val="false"/>
          <w:color w:val="000000"/>
          <w:sz w:val="20"/>
          <w:highlight w:val="white"/>
        </w:rPr>
        <w:t>5 and 7 for additional information on our financing activities.</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84785"/>
                <wp:effectExtent l="0" t="0" r="0" b="0"/>
                <wp:wrapNone/>
                <wp:docPr id="33" name="Frame32"/>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60" w:after="120"/>
        <w:jc w:val="both"/>
        <w:rPr/>
      </w:pPr>
      <w:hyperlink w:anchor="i6cbedffc79ba431f8c6c5489cc9b606c_7">
        <w:r>
          <w:rPr>
            <w:rStyle w:val="InternetLink"/>
            <w:rFonts w:ascii="Times New Roman;sans-serif" w:hAnsi="Times New Roman;sans-serif"/>
            <w:b/>
            <w:color w:val="0000FF"/>
            <w:sz w:val="20"/>
            <w:u w:val="single"/>
          </w:rPr>
          <w:t>Table of Contents</w:t>
        </w:r>
      </w:hyperlink>
    </w:p>
    <w:p>
      <w:pPr>
        <w:pStyle w:val="TextBody"/>
        <w:spacing w:lineRule="auto" w:line="288" w:before="60" w:after="120"/>
        <w:jc w:val="both"/>
        <w:rPr>
          <w:rFonts w:ascii="Helvetica;sans-serif" w:hAnsi="Helvetica;sans-serif"/>
          <w:b/>
          <w:i/>
          <w:color w:val="000000"/>
          <w:sz w:val="20"/>
          <w:highlight w:val="white"/>
        </w:rPr>
      </w:pPr>
      <w:r>
        <w:rPr>
          <w:rFonts w:ascii="Helvetica;sans-serif" w:hAnsi="Helvetica;sans-serif"/>
          <w:b/>
          <w:i/>
          <w:color w:val="000000"/>
          <w:sz w:val="20"/>
          <w:highlight w:val="white"/>
        </w:rPr>
        <w:t>Share Repurchases and Dividends</w:t>
      </w:r>
    </w:p>
    <w:p>
      <w:pPr>
        <w:pStyle w:val="TextBody"/>
        <w:spacing w:lineRule="auto" w:line="288" w:before="60" w:after="120"/>
        <w:jc w:val="both"/>
        <w:rPr/>
      </w:pPr>
      <w:r>
        <w:rPr>
          <w:rFonts w:ascii="Times New Roman;sans-serif" w:hAnsi="Times New Roman;sans-serif"/>
          <w:b w:val="false"/>
          <w:color w:val="000000"/>
          <w:sz w:val="20"/>
        </w:rPr>
        <w:t>During the three months ended March 31, 2023, we repurchased a total of 52.5 million shares of our Clas</w:t>
      </w:r>
      <w:r>
        <w:rPr>
          <w:rFonts w:ascii="Times New Roman;sans-serif" w:hAnsi="Times New Roman;sans-serif"/>
          <w:b w:val="false"/>
          <w:color w:val="000000"/>
          <w:sz w:val="20"/>
          <w:highlight w:val="white"/>
        </w:rPr>
        <w:t>s A common stock for $2.0 billion. As of March 31, 2023, we had $14.0 billion remaining under our existing share repurchase program. Under this authorizati</w:t>
      </w:r>
      <w:r>
        <w:rPr>
          <w:rFonts w:ascii="Times New Roman;sans-serif" w:hAnsi="Times New Roman;sans-serif"/>
          <w:b w:val="false"/>
          <w:color w:val="000000"/>
          <w:sz w:val="20"/>
        </w:rPr>
        <w:t>on, which does not have an expiration date, we expect to repurchase additional shares of our Class A common stock in the open market or in private transactions, subject to market and other conditions.</w:t>
      </w:r>
    </w:p>
    <w:p>
      <w:pPr>
        <w:pStyle w:val="TextBody"/>
        <w:spacing w:lineRule="auto" w:line="288" w:before="60" w:after="120"/>
        <w:jc w:val="both"/>
        <w:rPr/>
      </w:pPr>
      <w:r>
        <w:rPr>
          <w:rFonts w:ascii="Times New Roman;sans-serif" w:hAnsi="Times New Roman;sans-serif"/>
          <w:b w:val="false"/>
          <w:color w:val="000000"/>
          <w:sz w:val="20"/>
        </w:rPr>
        <w:t xml:space="preserve">In addition, we paid $177 million for the three months ended </w:t>
      </w:r>
      <w:r>
        <w:rPr>
          <w:rFonts w:ascii="Times New Roman;sans-serif" w:hAnsi="Times New Roman;sans-serif"/>
          <w:b w:val="false"/>
          <w:color w:val="000000"/>
          <w:sz w:val="20"/>
          <w:highlight w:val="white"/>
        </w:rPr>
        <w:t>March 31, 2023</w:t>
      </w:r>
      <w:r>
        <w:rPr>
          <w:color w:val="000000"/>
        </w:rPr>
        <w:t xml:space="preserve"> </w:t>
      </w:r>
      <w:r>
        <w:rPr>
          <w:rFonts w:ascii="Times New Roman;sans-serif" w:hAnsi="Times New Roman;sans-serif"/>
          <w:b w:val="false"/>
          <w:color w:val="000000"/>
          <w:sz w:val="20"/>
        </w:rPr>
        <w:t>related to employee taxes associated with the administration of our share-based compensation plans.</w:t>
      </w:r>
    </w:p>
    <w:p>
      <w:pPr>
        <w:pStyle w:val="TextBody"/>
        <w:spacing w:lineRule="auto" w:line="288" w:before="60" w:after="120"/>
        <w:jc w:val="both"/>
        <w:rPr/>
      </w:pPr>
      <w:r>
        <w:rPr>
          <w:rFonts w:ascii="Times New Roman;sans-serif" w:hAnsi="Times New Roman;sans-serif"/>
          <w:b w:val="false"/>
          <w:color w:val="000000"/>
          <w:sz w:val="20"/>
        </w:rPr>
        <w:t xml:space="preserve">In January 2023, we paid dividends of </w:t>
      </w:r>
      <w:r>
        <w:rPr>
          <w:rFonts w:ascii="Times New Roman;sans-serif" w:hAnsi="Times New Roman;sans-serif"/>
          <w:b w:val="false"/>
          <w:color w:val="000000"/>
          <w:sz w:val="20"/>
          <w:highlight w:val="white"/>
        </w:rPr>
        <w:t xml:space="preserve">$1.2 billion. </w:t>
      </w:r>
      <w:r>
        <w:rPr>
          <w:rFonts w:ascii="Times New Roman;sans-serif" w:hAnsi="Times New Roman;sans-serif"/>
          <w:b w:val="false"/>
          <w:color w:val="000000"/>
          <w:sz w:val="20"/>
        </w:rPr>
        <w:t>and our Board of Directors approved an 7.4% increase in our dividend to $1.16 per share on an annualized basis and approved our first quarter dividend of $0.29 per share, which was paid in April 2023. We expect to continue to pay quarterly dividends, although each dividend is subject to approval by our Board of Directors.</w:t>
      </w:r>
    </w:p>
    <w:p>
      <w:pPr>
        <w:pStyle w:val="TextBody"/>
        <w:spacing w:lineRule="auto" w:line="288" w:before="60" w:after="120"/>
        <w:rPr>
          <w:rFonts w:ascii="Helvetica;sans-serif" w:hAnsi="Helvetica;sans-serif"/>
          <w:b/>
          <w:color w:val="000000"/>
          <w:sz w:val="20"/>
        </w:rPr>
      </w:pPr>
      <w:r>
        <w:rPr>
          <w:rFonts w:ascii="Helvetica;sans-serif" w:hAnsi="Helvetica;sans-serif"/>
          <w:b/>
          <w:color w:val="000000"/>
          <w:sz w:val="20"/>
        </w:rPr>
        <w:t>Guarantee Structure</w:t>
      </w:r>
    </w:p>
    <w:p>
      <w:pPr>
        <w:pStyle w:val="TextBody"/>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debt is primarily issued at Comcast, although we also have debt at certain of our subsidiaries as a result of acquisitions and other issuances. A substantial amount of this debt is subject to guarantees by Comcast and by certain subsidiaries that we have put in place to simplify our capital structure. We believe this guarantee structure provides liquidity benefits to debt investors and helps to simplify credit analysis with respect to relative value considerations of guaranteed subsidiary debt.</w:t>
      </w:r>
    </w:p>
    <w:p>
      <w:pPr>
        <w:pStyle w:val="TextBody"/>
        <w:spacing w:lineRule="auto" w:line="288" w:before="60" w:after="120"/>
        <w:jc w:val="center"/>
        <w:rPr>
          <w:rFonts w:ascii="Helvetica;sans-serif" w:hAnsi="Helvetica;sans-serif"/>
          <w:b/>
          <w:color w:val="000000"/>
          <w:sz w:val="20"/>
        </w:rPr>
      </w:pPr>
      <w:r>
        <w:rPr>
          <w:rFonts w:ascii="Helvetica;sans-serif" w:hAnsi="Helvetica;sans-serif"/>
          <w:b/>
          <w:color w:val="000000"/>
          <w:sz w:val="20"/>
        </w:rPr>
        <w:t>Debt and Guarantee Structure</w:t>
      </w:r>
    </w:p>
    <w:tbl>
      <w:tblPr>
        <w:tblW w:w="10205" w:type="dxa"/>
        <w:jc w:val="left"/>
        <w:tblInd w:w="0" w:type="dxa"/>
        <w:tblCellMar>
          <w:top w:w="28" w:type="dxa"/>
          <w:left w:w="28" w:type="dxa"/>
          <w:bottom w:w="28" w:type="dxa"/>
          <w:right w:w="28" w:type="dxa"/>
        </w:tblCellMar>
      </w:tblPr>
      <w:tblGrid>
        <w:gridCol w:w="2781"/>
        <w:gridCol w:w="2450"/>
        <w:gridCol w:w="2463"/>
        <w:gridCol w:w="283"/>
        <w:gridCol w:w="706"/>
        <w:gridCol w:w="146"/>
        <w:gridCol w:w="325"/>
        <w:gridCol w:w="811"/>
        <w:gridCol w:w="240"/>
      </w:tblGrid>
      <w:tr>
        <w:trPr/>
        <w:tc>
          <w:tcPr>
            <w:tcW w:w="2781" w:type="dxa"/>
            <w:tcBorders/>
            <w:shd w:fill="auto" w:val="clear"/>
            <w:vAlign w:val="center"/>
          </w:tcPr>
          <w:p>
            <w:pPr>
              <w:pStyle w:val="TableContents"/>
              <w:spacing w:before="0" w:after="283"/>
              <w:rPr>
                <w:sz w:val="4"/>
                <w:szCs w:val="4"/>
              </w:rPr>
            </w:pPr>
            <w:r>
              <w:rPr>
                <w:sz w:val="4"/>
                <w:szCs w:val="4"/>
              </w:rPr>
            </w:r>
          </w:p>
        </w:tc>
        <w:tc>
          <w:tcPr>
            <w:tcW w:w="2450" w:type="dxa"/>
            <w:tcBorders/>
            <w:shd w:fill="auto" w:val="clear"/>
            <w:vAlign w:val="center"/>
          </w:tcPr>
          <w:p>
            <w:pPr>
              <w:pStyle w:val="TableContents"/>
              <w:spacing w:before="0" w:after="283"/>
              <w:rPr>
                <w:sz w:val="4"/>
                <w:szCs w:val="4"/>
              </w:rPr>
            </w:pPr>
            <w:r>
              <w:rPr>
                <w:sz w:val="4"/>
                <w:szCs w:val="4"/>
              </w:rPr>
            </w:r>
          </w:p>
        </w:tc>
        <w:tc>
          <w:tcPr>
            <w:tcW w:w="246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r>
      <w:tr>
        <w:trPr/>
        <w:tc>
          <w:tcPr>
            <w:tcW w:w="7694" w:type="dxa"/>
            <w:gridSpan w:val="3"/>
            <w:tcBorders/>
            <w:shd w:fill="auto" w:val="clear"/>
            <w:vAlign w:val="center"/>
          </w:tcPr>
          <w:p>
            <w:pPr>
              <w:pStyle w:val="TableContents"/>
              <w:spacing w:before="0" w:after="283"/>
              <w:rPr>
                <w:sz w:val="4"/>
                <w:szCs w:val="4"/>
              </w:rPr>
            </w:pPr>
            <w:r>
              <w:rPr>
                <w:sz w:val="4"/>
                <w:szCs w:val="4"/>
              </w:rPr>
            </w:r>
          </w:p>
        </w:tc>
        <w:tc>
          <w:tcPr>
            <w:tcW w:w="2511" w:type="dxa"/>
            <w:gridSpan w:val="6"/>
            <w:tcBorders/>
            <w:shd w:fill="auto" w:val="clear"/>
          </w:tcPr>
          <w:p>
            <w:pPr>
              <w:pStyle w:val="TableContents"/>
              <w:spacing w:before="0" w:after="283"/>
              <w:rPr>
                <w:sz w:val="4"/>
                <w:szCs w:val="4"/>
              </w:rPr>
            </w:pPr>
            <w:r>
              <w:rPr>
                <w:sz w:val="4"/>
                <w:szCs w:val="4"/>
              </w:rPr>
            </w:r>
          </w:p>
        </w:tc>
      </w:tr>
      <w:tr>
        <w:trPr/>
        <w:tc>
          <w:tcPr>
            <w:tcW w:w="7694" w:type="dxa"/>
            <w:gridSpan w:val="3"/>
            <w:tcBorders/>
            <w:shd w:fill="auto" w:val="clear"/>
            <w:vAlign w:val="center"/>
          </w:tcPr>
          <w:p>
            <w:pPr>
              <w:pStyle w:val="TableContents"/>
              <w:spacing w:before="0" w:after="283"/>
              <w:rPr>
                <w:sz w:val="4"/>
                <w:szCs w:val="4"/>
              </w:rPr>
            </w:pPr>
            <w:r>
              <w:rPr>
                <w:sz w:val="4"/>
                <w:szCs w:val="4"/>
              </w:rPr>
            </w:r>
          </w:p>
        </w:tc>
        <w:tc>
          <w:tcPr>
            <w:tcW w:w="1135" w:type="dxa"/>
            <w:gridSpan w:val="3"/>
            <w:tcBorders/>
            <w:shd w:fill="auto" w:val="clear"/>
            <w:vAlign w:val="center"/>
          </w:tcPr>
          <w:p>
            <w:pPr>
              <w:pStyle w:val="TableContents"/>
              <w:spacing w:before="0" w:after="283"/>
              <w:rPr>
                <w:sz w:val="4"/>
                <w:szCs w:val="4"/>
              </w:rPr>
            </w:pPr>
            <w:r>
              <w:rPr>
                <w:sz w:val="4"/>
                <w:szCs w:val="4"/>
              </w:rPr>
            </w:r>
          </w:p>
        </w:tc>
        <w:tc>
          <w:tcPr>
            <w:tcW w:w="1376" w:type="dxa"/>
            <w:gridSpan w:val="3"/>
            <w:tcBorders/>
            <w:shd w:fill="auto" w:val="clear"/>
            <w:vAlign w:val="center"/>
          </w:tcPr>
          <w:p>
            <w:pPr>
              <w:pStyle w:val="TableContents"/>
              <w:spacing w:before="0" w:after="283"/>
              <w:rPr>
                <w:sz w:val="4"/>
                <w:szCs w:val="4"/>
              </w:rPr>
            </w:pPr>
            <w:r>
              <w:rPr>
                <w:sz w:val="4"/>
                <w:szCs w:val="4"/>
              </w:rPr>
            </w:r>
          </w:p>
        </w:tc>
      </w:tr>
      <w:tr>
        <w:trPr/>
        <w:tc>
          <w:tcPr>
            <w:tcW w:w="7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billions)</w:t>
            </w:r>
          </w:p>
        </w:tc>
        <w:tc>
          <w:tcPr>
            <w:tcW w:w="11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31, 2023</w:t>
            </w:r>
          </w:p>
        </w:tc>
        <w:tc>
          <w:tcPr>
            <w:tcW w:w="13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31, 2022</w:t>
            </w:r>
          </w:p>
        </w:tc>
      </w:tr>
      <w:tr>
        <w:trPr/>
        <w:tc>
          <w:tcPr>
            <w:tcW w:w="76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Debt Subject to Cross-Guarantees</w:t>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Comcast</w:t>
            </w:r>
          </w:p>
        </w:tc>
        <w:tc>
          <w:tcPr>
            <w:tcW w:w="28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Comcast Cable</w:t>
            </w:r>
            <w:r>
              <w:rPr>
                <w:rFonts w:ascii="Times New Roman;sans-serif" w:hAnsi="Times New Roman;sans-serif"/>
                <w:b w:val="false"/>
                <w:color w:val="000000"/>
                <w:sz w:val="13"/>
              </w:rPr>
              <w:t>(a)</w:t>
            </w:r>
          </w:p>
        </w:tc>
        <w:tc>
          <w:tcPr>
            <w:tcW w:w="9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NBCUniversal</w:t>
            </w:r>
            <w:r>
              <w:rPr>
                <w:rFonts w:ascii="Times New Roman;sans-serif" w:hAnsi="Times New Roman;sans-serif"/>
                <w:b w:val="false"/>
                <w:color w:val="000000"/>
                <w:sz w:val="13"/>
              </w:rPr>
              <w:t>(a)</w:t>
            </w:r>
          </w:p>
        </w:tc>
        <w:tc>
          <w:tcPr>
            <w:tcW w:w="9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Debt Subject to One-Way Guarantees</w:t>
            </w:r>
          </w:p>
        </w:tc>
        <w:tc>
          <w:tcPr>
            <w:tcW w:w="11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Sky</w:t>
            </w:r>
          </w:p>
        </w:tc>
        <w:tc>
          <w:tcPr>
            <w:tcW w:w="9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(a)</w:t>
            </w:r>
          </w:p>
        </w:tc>
        <w:tc>
          <w:tcPr>
            <w:tcW w:w="9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Debt Not Guaranteed</w:t>
            </w:r>
          </w:p>
        </w:tc>
        <w:tc>
          <w:tcPr>
            <w:tcW w:w="11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Universal Beijing Resort</w:t>
            </w:r>
            <w:r>
              <w:rPr>
                <w:rFonts w:ascii="Times New Roman;sans-serif" w:hAnsi="Times New Roman;sans-serif"/>
                <w:b w:val="false"/>
                <w:color w:val="000000"/>
                <w:sz w:val="13"/>
              </w:rPr>
              <w:t>(b)</w:t>
            </w:r>
          </w:p>
        </w:tc>
        <w:tc>
          <w:tcPr>
            <w:tcW w:w="9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 premiums, discounts, fair value adjustments for acquisition accounting and hedged positions, net</w:t>
            </w:r>
          </w:p>
        </w:tc>
        <w:tc>
          <w:tcPr>
            <w:tcW w:w="9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debt</w:t>
            </w:r>
          </w:p>
        </w:tc>
        <w:tc>
          <w:tcPr>
            <w:tcW w:w="28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0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95.5</w:t>
            </w:r>
            <w:r>
              <w:rPr>
                <w:color w:val="000000"/>
              </w:rPr>
              <w:t> </w:t>
            </w:r>
          </w:p>
        </w:tc>
        <w:tc>
          <w:tcPr>
            <w:tcW w:w="14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94.8</w:t>
            </w:r>
            <w:r>
              <w:rPr>
                <w:color w:val="000000"/>
              </w:rPr>
              <w:t> </w:t>
            </w:r>
          </w:p>
        </w:tc>
        <w:tc>
          <w:tcPr>
            <w:tcW w:w="24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auto" w:val="clear"/>
            <w:vAlign w:val="center"/>
          </w:tcPr>
          <w:p>
            <w:pPr>
              <w:pStyle w:val="TableContents"/>
              <w:spacing w:before="0" w:after="283"/>
              <w:rPr>
                <w:sz w:val="4"/>
                <w:szCs w:val="4"/>
              </w:rPr>
            </w:pPr>
            <w:r>
              <w:rPr>
                <w:sz w:val="4"/>
                <w:szCs w:val="4"/>
              </w:rPr>
            </w:r>
          </w:p>
        </w:tc>
        <w:tc>
          <w:tcPr>
            <w:tcW w:w="1135" w:type="dxa"/>
            <w:gridSpan w:val="3"/>
            <w:tcBorders/>
            <w:shd w:fill="auto" w:val="clear"/>
            <w:vAlign w:val="center"/>
          </w:tcPr>
          <w:p>
            <w:pPr>
              <w:pStyle w:val="TableContents"/>
              <w:spacing w:before="0" w:after="283"/>
              <w:rPr>
                <w:sz w:val="4"/>
                <w:szCs w:val="4"/>
              </w:rPr>
            </w:pPr>
            <w:r>
              <w:rPr>
                <w:sz w:val="4"/>
                <w:szCs w:val="4"/>
              </w:rPr>
            </w:r>
          </w:p>
        </w:tc>
        <w:tc>
          <w:tcPr>
            <w:tcW w:w="1376" w:type="dxa"/>
            <w:gridSpan w:val="3"/>
            <w:tcBorders/>
            <w:shd w:fill="auto" w:val="clear"/>
            <w:vAlign w:val="center"/>
          </w:tcPr>
          <w:p>
            <w:pPr>
              <w:pStyle w:val="TableContents"/>
              <w:spacing w:before="0" w:after="283"/>
              <w:rPr>
                <w:sz w:val="4"/>
                <w:szCs w:val="4"/>
              </w:rPr>
            </w:pPr>
            <w:r>
              <w:rPr>
                <w:sz w:val="4"/>
                <w:szCs w:val="4"/>
              </w:rPr>
            </w:r>
          </w:p>
        </w:tc>
      </w:tr>
      <w:tr>
        <w:trPr/>
        <w:tc>
          <w:tcPr>
            <w:tcW w:w="7694" w:type="dxa"/>
            <w:gridSpan w:val="3"/>
            <w:tcBorders/>
            <w:shd w:fill="auto" w:val="clear"/>
            <w:vAlign w:val="center"/>
          </w:tcPr>
          <w:p>
            <w:pPr>
              <w:pStyle w:val="TableContents"/>
              <w:spacing w:before="0" w:after="283"/>
              <w:rPr>
                <w:sz w:val="4"/>
                <w:szCs w:val="4"/>
              </w:rPr>
            </w:pPr>
            <w:r>
              <w:rPr>
                <w:sz w:val="4"/>
                <w:szCs w:val="4"/>
              </w:rPr>
            </w:r>
          </w:p>
        </w:tc>
        <w:tc>
          <w:tcPr>
            <w:tcW w:w="2511" w:type="dxa"/>
            <w:gridSpan w:val="6"/>
            <w:tcBorders/>
            <w:shd w:fill="auto" w:val="clear"/>
          </w:tcPr>
          <w:p>
            <w:pPr>
              <w:pStyle w:val="TableContents"/>
              <w:spacing w:before="0" w:after="283"/>
              <w:rPr>
                <w:sz w:val="4"/>
                <w:szCs w:val="4"/>
              </w:rPr>
            </w:pPr>
            <w:r>
              <w:rPr>
                <w:sz w:val="4"/>
                <w:szCs w:val="4"/>
              </w:rPr>
            </w:r>
          </w:p>
        </w:tc>
      </w:tr>
    </w:tbl>
    <w:p>
      <w:pPr>
        <w:pStyle w:val="TextBody"/>
        <w:spacing w:lineRule="auto" w:line="288" w:before="14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(a)NBCUniversal Media, LLC (“NBCUniversal”), Comcast Cable Communications, LLC (“Comcast Cable”) and Comcast Holdings Corporation (“Comcast Holdings”), which is included within other debt subject to one-way guarantees, are each consolidated subsidiaries subject to the periodic reporting requirements of the SEC. The guarantee structures and related disclosures in this section, together with Exhibit 22, satisfy these reporting obligations.</w:t>
      </w:r>
    </w:p>
    <w:p>
      <w:pPr>
        <w:pStyle w:val="TextBody"/>
        <w:spacing w:lineRule="auto" w:line="288" w:before="6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(b)Universal Beijing Resort debt financing is secured by the assets of Universal Beijing Resort and the equity interests of the investors. See Note 6 for additional information.</w:t>
      </w:r>
    </w:p>
    <w:p>
      <w:pPr>
        <w:pStyle w:val="TextBody"/>
        <w:spacing w:lineRule="auto" w:line="288" w:before="80" w:after="283"/>
        <w:jc w:val="both"/>
        <w:rPr>
          <w:rFonts w:ascii="Helvetica;sans-serif" w:hAnsi="Helvetica;sans-serif"/>
          <w:b/>
          <w:i/>
          <w:color w:val="000000"/>
          <w:sz w:val="20"/>
        </w:rPr>
      </w:pPr>
      <w:r>
        <w:rPr>
          <w:rFonts w:ascii="Helvetica;sans-serif" w:hAnsi="Helvetica;sans-serif"/>
          <w:b/>
          <w:i/>
          <w:color w:val="000000"/>
          <w:sz w:val="20"/>
        </w:rPr>
        <w:t>Cross-Guarantees</w:t>
      </w:r>
    </w:p>
    <w:p>
      <w:pPr>
        <w:pStyle w:val="TextBody"/>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Comcast, NBCUniversal and Comcast Cable (the “Guarantors”) fully and unconditionally, jointly and severally, guarantee each other’s debt securities. NBCUniversal and Comcast Cable also guarantee other borrowings of Comcast, including its revolving credit facility. These guarantees rank equally with all other general unsecured and unsubordinated obligations of the respective Guarantors. However, the obligations of the Guarantors under the guarantees are structurally subordinated to the indebtedness and other liabilities of their respective non-guarantor subsidiaries. The obligations of each Guarantor are limited to the maximum amount that would not render such Guarantor’s obligations subject to avoidance under applicable fraudulent conveyance provisions of U.S. and non-U.S. law. Each Guarantor’s obligations will remain in effect until all amounts payable with respect to the guaranteed securities have been paid in full. However, a guarantee by NBCUniversal or Comcast Cable of Comcast’s debt securities, or by NBCUniversal of Comcast Cable’s debt securities, will terminate upon a disposition of such Guarantor entity or all or substantially all of its assets.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84785"/>
                <wp:effectExtent l="0" t="0" r="0" b="0"/>
                <wp:wrapNone/>
                <wp:docPr id="34" name="Frame33"/>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60" w:after="120"/>
        <w:jc w:val="both"/>
        <w:rPr/>
      </w:pPr>
      <w:hyperlink w:anchor="i6cbedffc79ba431f8c6c5489cc9b606c_7">
        <w:r>
          <w:rPr>
            <w:rStyle w:val="InternetLink"/>
            <w:rFonts w:ascii="Times New Roman;sans-serif" w:hAnsi="Times New Roman;sans-serif"/>
            <w:b/>
            <w:color w:val="0000FF"/>
            <w:sz w:val="20"/>
            <w:u w:val="single"/>
          </w:rPr>
          <w:t>Table of Contents</w:t>
        </w:r>
      </w:hyperlink>
    </w:p>
    <w:p>
      <w:pPr>
        <w:pStyle w:val="TextBody"/>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Guarantors are each holding companies that principally hold investments in, borrow from and lend to non-guarantor subsidiary operating companies; issue and service third-party debt obligations; repurchase shares and pay dividends; and engage in certain corporate and headquarters activities. The Guarantors are generally dependent on non-guarantor subsidiary operating companies to fund these activities. </w:t>
      </w:r>
    </w:p>
    <w:p>
      <w:pPr>
        <w:pStyle w:val="TextBody"/>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combined Guarantors have noncurrent notes payable to non-guarantor subsidiaries of $130 billion and $128 billion, respectively, and noncurrent notes receivable from non-guarantor subsidiaries of $18 billion and $30 billion, respectively. This financial information is that of the Guarantors presented on a combined basis with intercompany balances between the Guarantors eliminated. The combined financial information excludes financial information of non-guarantor subsidiaries. The underlying net assets of the non-guarantor subsidiaries are significantly in excess of the Guarantor obligations. Excluding investments in non-guarantor subsidiaries, external debt and the noncurrent notes payable and receivable with non-guarantor subsidiaries, the Guarantors do not have material assets, liabilities or results of operations.</w:t>
      </w:r>
    </w:p>
    <w:p>
      <w:pPr>
        <w:pStyle w:val="TextBody"/>
        <w:spacing w:lineRule="auto" w:line="288" w:before="60" w:after="60"/>
        <w:jc w:val="both"/>
        <w:rPr>
          <w:rFonts w:ascii="Helvetica;sans-serif" w:hAnsi="Helvetica;sans-serif"/>
          <w:b/>
          <w:i/>
          <w:color w:val="000000"/>
          <w:sz w:val="20"/>
        </w:rPr>
      </w:pPr>
      <w:r>
        <w:rPr>
          <w:rFonts w:ascii="Helvetica;sans-serif" w:hAnsi="Helvetica;sans-serif"/>
          <w:b/>
          <w:i/>
          <w:color w:val="000000"/>
          <w:sz w:val="20"/>
        </w:rPr>
        <w:t>One-Way Guarantees</w:t>
      </w:r>
    </w:p>
    <w:p>
      <w:pPr>
        <w:pStyle w:val="TextBody"/>
        <w:spacing w:lineRule="auto" w:line="288" w:before="60" w:after="120"/>
        <w:jc w:val="both"/>
        <w:rPr/>
      </w:pPr>
      <w:r>
        <w:rPr>
          <w:rFonts w:ascii="Times New Roman;sans-serif" w:hAnsi="Times New Roman;sans-serif"/>
          <w:b w:val="false"/>
          <w:color w:val="000000"/>
          <w:sz w:val="20"/>
        </w:rPr>
        <w:t>Comcast provides full and unconditional guarantees of certain debt issued by Sky Limited (“Sky</w:t>
      </w:r>
      <w:r>
        <w:rPr>
          <w:color w:val="000000"/>
        </w:rPr>
        <w:t>”</w:t>
      </w:r>
      <w:r>
        <w:rPr>
          <w:rFonts w:ascii="Times New Roman;sans-serif" w:hAnsi="Times New Roman;sans-serif"/>
          <w:b w:val="false"/>
          <w:color w:val="000000"/>
          <w:sz w:val="16"/>
        </w:rPr>
        <w:t>)</w:t>
      </w:r>
      <w:r>
        <w:rPr>
          <w:rFonts w:ascii="Times New Roman;sans-serif" w:hAnsi="Times New Roman;sans-serif"/>
          <w:b w:val="false"/>
          <w:color w:val="000000"/>
          <w:sz w:val="20"/>
        </w:rPr>
        <w:t>, including all of its senior notes, and other consolidated subsidiaries not subject to the periodic reporting requirements of the SEC.</w:t>
      </w:r>
    </w:p>
    <w:p>
      <w:pPr>
        <w:pStyle w:val="TextBody"/>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Comcast also provides a full and unconditional guarantee of $138 million principal amount of subordinated debt issued by Comcast Holdings. Comcast’s obligations under this guarantee are subordinated and subject, in right of payment, to the prior payment in full of all of Comcast’s senior indebtedness, including debt guaranteed by Comcast on a senior basis, and are structurally subordinated to the indebtedness and other liabilities of its non-guarantor subsidiaries (for purposes of this Comcast Holdings discussion, Comcast Cable and NBCUniversal are included within the non-guarantor subsidiary group). Comcast’s obligations as guarantor will remain in effect until all amounts payable with respect to the guaranteed debt have been paid in full. However, the guarantee will terminate upon a disposition of Comcast Holdings or all or substantially all of its assets. Comcast Holdings is a consolidated subsidiary holding company that directly or indirectly holds 100% and approximately 37% of our equity interests in Comcast Cable and NBCUniversal, respectively. </w:t>
      </w:r>
    </w:p>
    <w:p>
      <w:pPr>
        <w:pStyle w:val="TextBody"/>
        <w:spacing w:lineRule="auto" w:line="288" w:before="6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Comcast and Comcast Holdings, the combined issuer and guarantor of the guaranteed subordinated debt, have noncurrent senior notes payable to non-guarantor subsidiaries of $99 billion and $97 billion, respectively, and noncurrent notes receivable from non-guarantor subsidiaries of $16 billion and $28 billion, respectively. This financial information is that of Comcast and Comcast Holdings presented on a combined basis with intercompany balances between Comcast and Comcast Holdings eliminated. The combined financial information excludes financial information of non-guarantor subsidiaries of Comcast and Comcast Holdings. The underlying net assets of the non-guarantor subsidiaries of Comcast and Comcast Holdings are significantly in excess of the obligations of Comcast and Comcast Holdings. Excluding investments in non-guarantor subsidiaries, external debt, and the noncurrent notes payable and receivable with non-guarantor subsidiaries, Comcast and Comcast Holdings do not have material assets, liabilities or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rPr>
          <w:rFonts w:ascii="Helvetica;sans-serif" w:hAnsi="Helvetica;sans-serif"/>
          <w:b/>
          <w:color w:val="000000"/>
          <w:sz w:val="24"/>
        </w:rPr>
      </w:pPr>
      <w:r>
        <w:rPr>
          <w:rFonts w:ascii="Helvetica;sans-serif" w:hAnsi="Helvetica;sans-serif"/>
          <w:b/>
          <w:color w:val="000000"/>
          <w:sz w:val="24"/>
        </w:rPr>
        <w:t>Critical Accounting Judgments and Estimates</w:t>
      </w:r>
    </w:p>
    <w:p>
      <w:pPr>
        <w:pStyle w:val="TextBody"/>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pStyle w:val="TextBody"/>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change in presentation of our segment operating results in the first quarter of 2023, we reassessed our reporting units related to goodwill and concluded that our reporting units are the same as our reportable business segments. See Note 2 for additional information.</w:t>
      </w:r>
    </w:p>
    <w:p>
      <w:pPr>
        <w:pStyle w:val="TextBody"/>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judgments and related estimates associated with the valuation and impairment testing of goodwill are critical in the preparation of our consolidated financial statements. We assessed goodwill for impairment in connection with our change in segment presentation in the first quarter of 2023. Based on our assessment, no impairment was required, and the estimated fair values of our new reporting units substantially exceeded their carrying values.</w:t>
      </w:r>
    </w:p>
    <w:p>
      <w:pPr>
        <w:pStyle w:val="TextBody"/>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For a more complete discussion of the accounting judgments and estimates that we have identified as critical in the preparation of our condensed consolidated financial statements, please refer to our Management’s Discussion and Analysis of Financial Condition and Results of Operations in our 2022 Annual Report on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84785"/>
                <wp:effectExtent l="0" t="0" r="0" b="0"/>
                <wp:wrapNone/>
                <wp:docPr id="35" name="Frame34"/>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60" w:after="120"/>
        <w:jc w:val="both"/>
        <w:rPr/>
      </w:pPr>
      <w:hyperlink w:anchor="i6cbedffc79ba431f8c6c5489cc9b606c_7">
        <w:r>
          <w:rPr>
            <w:rStyle w:val="InternetLink"/>
            <w:rFonts w:ascii="Times New Roman;sans-serif" w:hAnsi="Times New Roman;sans-serif"/>
            <w:b/>
            <w:color w:val="0000FF"/>
            <w:sz w:val="20"/>
            <w:u w:val="single"/>
          </w:rPr>
          <w:t>Table of Contents</w:t>
        </w:r>
      </w:hyperlink>
    </w:p>
    <w:p>
      <w:pPr>
        <w:pStyle w:val="TextBody"/>
        <w:spacing w:lineRule="auto" w:line="288" w:before="240" w:after="120"/>
        <w:rPr>
          <w:rFonts w:ascii="Helvetica;sans-serif" w:hAnsi="Helvetica;sans-serif"/>
          <w:b/>
          <w:color w:val="000000"/>
          <w:sz w:val="24"/>
        </w:rPr>
      </w:pPr>
      <w:r>
        <w:rPr>
          <w:rFonts w:ascii="Helvetica;sans-serif" w:hAnsi="Helvetica;sans-serif"/>
          <w:b/>
          <w:color w:val="000000"/>
          <w:sz w:val="24"/>
        </w:rPr>
        <w:t>ITEM 3: QUANTITATIVE AND QUALITATIVE DISCLOSURES ABOUT MARKET RISK</w:t>
      </w:r>
    </w:p>
    <w:p>
      <w:pPr>
        <w:pStyle w:val="TextBody"/>
        <w:spacing w:lineRule="auto" w:line="288" w:before="1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have evaluated the information required under this item that was disclosed in our 2022 Annual Report on Form 10-K and there have been no material changes to this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60" w:after="120"/>
        <w:rPr>
          <w:rFonts w:ascii="Helvetica;sans-serif" w:hAnsi="Helvetica;sans-serif"/>
          <w:b/>
          <w:color w:val="000000"/>
          <w:sz w:val="24"/>
        </w:rPr>
      </w:pPr>
      <w:r>
        <w:rPr>
          <w:rFonts w:ascii="Helvetica;sans-serif" w:hAnsi="Helvetica;sans-serif"/>
          <w:b/>
          <w:color w:val="000000"/>
          <w:sz w:val="24"/>
        </w:rPr>
        <w:t>ITEM 4: CONTROLS AND PROCEDURES</w:t>
      </w:r>
    </w:p>
    <w:p>
      <w:pPr>
        <w:pStyle w:val="TextBody"/>
        <w:spacing w:lineRule="auto" w:line="288" w:before="60" w:after="120"/>
        <w:rPr>
          <w:rFonts w:ascii="Helvetica;sans-serif" w:hAnsi="Helvetica;sans-serif"/>
          <w:b/>
          <w:color w:val="000000"/>
          <w:sz w:val="20"/>
        </w:rPr>
      </w:pPr>
      <w:r>
        <w:rPr>
          <w:rFonts w:ascii="Helvetica;sans-serif" w:hAnsi="Helvetica;sans-serif"/>
          <w:b/>
          <w:color w:val="000000"/>
          <w:sz w:val="20"/>
        </w:rPr>
        <w:t>Conclusions regarding disclosure controls and procedures</w:t>
      </w:r>
    </w:p>
    <w:p>
      <w:pPr>
        <w:pStyle w:val="TextBody"/>
        <w:spacing w:lineRule="auto" w:line="288" w:before="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executive and principal financial officers, after evaluating the effectiveness of our disclosure controls and procedures (as defined in Exchange Act Rules 13a-15(e) and 15d-15(e)) as of the end of the period covered by this report, have concluded that, based on the evaluation of these controls and procedures required by paragraph (b) of Exchange Act Rules 13a-15 or 15d-15, such disclosure controls and procedures were effective.</w:t>
      </w:r>
    </w:p>
    <w:p>
      <w:pPr>
        <w:pStyle w:val="TextBody"/>
        <w:spacing w:lineRule="auto" w:line="288" w:before="60" w:after="120"/>
        <w:rPr>
          <w:rFonts w:ascii="Helvetica;sans-serif" w:hAnsi="Helvetica;sans-serif"/>
          <w:b/>
          <w:color w:val="000000"/>
          <w:sz w:val="20"/>
        </w:rPr>
      </w:pPr>
      <w:r>
        <w:rPr>
          <w:rFonts w:ascii="Helvetica;sans-serif" w:hAnsi="Helvetica;sans-serif"/>
          <w:b/>
          <w:color w:val="000000"/>
          <w:sz w:val="20"/>
        </w:rPr>
        <w:t>Changes in internal control over financial reporting</w:t>
      </w:r>
    </w:p>
    <w:p>
      <w:pPr>
        <w:pStyle w:val="TextBody"/>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internal control over financial reporting identified in connection with the evaluation required by paragraph (d) of Exchange Act Rules 13a-15 or 15d-15 that occurred during the last fiscal quarter that have materially affected, or are reasonably likely to materially affect, our internal control over financial reporting.</w:t>
      </w:r>
    </w:p>
    <w:p>
      <w:pPr>
        <w:pStyle w:val="TextBody"/>
        <w:spacing w:before="80" w:after="1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84785"/>
                <wp:effectExtent l="0" t="0" r="0" b="0"/>
                <wp:wrapNone/>
                <wp:docPr id="36" name="Frame35"/>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60" w:after="120"/>
        <w:jc w:val="both"/>
        <w:rPr/>
      </w:pPr>
      <w:hyperlink w:anchor="i6cbedffc79ba431f8c6c5489cc9b606c_7">
        <w:r>
          <w:rPr>
            <w:rStyle w:val="InternetLink"/>
            <w:rFonts w:ascii="Times New Roman;sans-serif" w:hAnsi="Times New Roman;sans-serif"/>
            <w:b/>
            <w:color w:val="0000FF"/>
            <w:sz w:val="20"/>
            <w:u w:val="single"/>
          </w:rPr>
          <w:t>Table of Contents</w:t>
        </w:r>
      </w:hyperlink>
    </w:p>
    <w:p>
      <w:pPr>
        <w:pStyle w:val="TextBody"/>
        <w:spacing w:lineRule="auto" w:line="288" w:before="60" w:after="120"/>
        <w:jc w:val="center"/>
        <w:rPr>
          <w:rFonts w:ascii="Helvetica;sans-serif" w:hAnsi="Helvetica;sans-serif"/>
          <w:b/>
          <w:color w:val="000000"/>
          <w:sz w:val="24"/>
        </w:rPr>
      </w:pPr>
      <w:r>
        <w:rPr>
          <w:rFonts w:ascii="Helvetica;sans-serif" w:hAnsi="Helvetica;sans-serif"/>
          <w:b/>
          <w:color w:val="000000"/>
          <w:sz w:val="24"/>
        </w:rPr>
        <w:t>PART II: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60" w:after="120"/>
        <w:rPr>
          <w:rFonts w:ascii="Helvetica;sans-serif" w:hAnsi="Helvetica;sans-serif"/>
          <w:b/>
          <w:color w:val="000000"/>
          <w:sz w:val="24"/>
        </w:rPr>
      </w:pPr>
      <w:r>
        <w:rPr>
          <w:rFonts w:ascii="Helvetica;sans-serif" w:hAnsi="Helvetica;sans-serif"/>
          <w:b/>
          <w:color w:val="000000"/>
          <w:sz w:val="24"/>
        </w:rPr>
        <w:t>ITEM 1: LEGAL PROCEEDINGS</w:t>
      </w:r>
    </w:p>
    <w:p>
      <w:pPr>
        <w:pStyle w:val="TextBody"/>
        <w:spacing w:lineRule="auto" w:line="288" w:before="1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See Note 9 included in this Quarterly Report on Form 10-Q for a discussion of legal proceedings.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60" w:after="120"/>
        <w:rPr>
          <w:rFonts w:ascii="Helvetica;sans-serif" w:hAnsi="Helvetica;sans-serif"/>
          <w:b/>
          <w:color w:val="000000"/>
          <w:sz w:val="24"/>
        </w:rPr>
      </w:pPr>
      <w:r>
        <w:rPr>
          <w:rFonts w:ascii="Helvetica;sans-serif" w:hAnsi="Helvetica;sans-serif"/>
          <w:b/>
          <w:color w:val="000000"/>
          <w:sz w:val="24"/>
        </w:rPr>
        <w:t>ITEM 1A: RISK FACTORS</w:t>
      </w:r>
    </w:p>
    <w:p>
      <w:pPr>
        <w:pStyle w:val="TextBody"/>
        <w:spacing w:lineRule="auto" w:line="288" w:before="1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from the risk factors previously disclosed in Item 1A of our 2022 Annual Report on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60" w:after="120"/>
        <w:rPr>
          <w:rFonts w:ascii="Helvetica;sans-serif" w:hAnsi="Helvetica;sans-serif"/>
          <w:b/>
          <w:color w:val="000000"/>
          <w:sz w:val="24"/>
        </w:rPr>
      </w:pPr>
      <w:r>
        <w:rPr>
          <w:rFonts w:ascii="Helvetica;sans-serif" w:hAnsi="Helvetica;sans-serif"/>
          <w:b/>
          <w:color w:val="000000"/>
          <w:sz w:val="24"/>
        </w:rPr>
        <w:t>ITEM 2: UNREGISTERED SALES OF EQUITY SECURITIES AND USE OF PROCEEDS</w:t>
      </w:r>
    </w:p>
    <w:p>
      <w:pPr>
        <w:pStyle w:val="TextBody"/>
        <w:spacing w:lineRule="auto" w:line="288" w:before="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Comcast's common stock repurchases during the three months ended March 31, 2023.</w:t>
      </w:r>
    </w:p>
    <w:p>
      <w:pPr>
        <w:pStyle w:val="TextBody"/>
        <w:spacing w:lineRule="auto" w:line="288" w:before="80" w:after="120"/>
        <w:jc w:val="center"/>
        <w:rPr/>
      </w:pPr>
      <w:r>
        <w:rPr>
          <w:rFonts w:ascii="Helvetica;sans-serif" w:hAnsi="Helvetica;sans-serif"/>
          <w:b/>
          <w:color w:val="000000"/>
          <w:sz w:val="20"/>
        </w:rPr>
        <w:t>Purchases of Equity Securities</w:t>
      </w:r>
      <w:r>
        <w:rPr>
          <w:color w:val="000000"/>
        </w:rPr>
        <w:t> </w:t>
      </w:r>
    </w:p>
    <w:tbl>
      <w:tblPr>
        <w:tblW w:w="10205" w:type="dxa"/>
        <w:jc w:val="left"/>
        <w:tblInd w:w="0" w:type="dxa"/>
        <w:tblCellMar>
          <w:top w:w="28" w:type="dxa"/>
          <w:left w:w="28" w:type="dxa"/>
          <w:bottom w:w="28" w:type="dxa"/>
          <w:right w:w="28" w:type="dxa"/>
        </w:tblCellMar>
      </w:tblPr>
      <w:tblGrid>
        <w:gridCol w:w="491"/>
        <w:gridCol w:w="388"/>
        <w:gridCol w:w="393"/>
        <w:gridCol w:w="547"/>
        <w:gridCol w:w="549"/>
        <w:gridCol w:w="291"/>
        <w:gridCol w:w="109"/>
        <w:gridCol w:w="109"/>
        <w:gridCol w:w="109"/>
        <w:gridCol w:w="211"/>
        <w:gridCol w:w="631"/>
        <w:gridCol w:w="109"/>
        <w:gridCol w:w="640"/>
        <w:gridCol w:w="640"/>
        <w:gridCol w:w="641"/>
        <w:gridCol w:w="245"/>
        <w:gridCol w:w="1575"/>
        <w:gridCol w:w="126"/>
        <w:gridCol w:w="277"/>
        <w:gridCol w:w="1917"/>
        <w:gridCol w:w="207"/>
      </w:tblGrid>
      <w:tr>
        <w:trPr/>
        <w:tc>
          <w:tcPr>
            <w:tcW w:w="491"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57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91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r>
      <w:tr>
        <w:trPr/>
        <w:tc>
          <w:tcPr>
            <w:tcW w:w="12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Period</w:t>
            </w:r>
          </w:p>
        </w:tc>
        <w:tc>
          <w:tcPr>
            <w:tcW w:w="13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br/>
              <w:t>Number of</w:t>
              <w:br/>
              <w:t>Shares</w:t>
              <w:br/>
              <w:t>Purchased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Average</w:t>
              <w:br/>
              <w:t>Price</w:t>
              <w:br/>
              <w:t>Per</w:t>
              <w:br/>
              <w:t>Share</w:t>
            </w:r>
          </w:p>
        </w:tc>
        <w:tc>
          <w:tcPr>
            <w:tcW w:w="19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Number of</w:t>
              <w:br/>
              <w:t>Shares Purchased</w:t>
              <w:br/>
              <w:t>as Part of Publicly</w:t>
              <w:br/>
              <w:t>Announced Authorization</w:t>
            </w:r>
          </w:p>
        </w:tc>
        <w:tc>
          <w:tcPr>
            <w:tcW w:w="19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Dollar</w:t>
              <w:br/>
              <w:t>Amount</w:t>
              <w:br/>
              <w:t>Purchased</w:t>
              <w:br/>
              <w:t>Under the Publicly Announced</w:t>
              <w:br/>
              <w:t>Authorization</w:t>
            </w:r>
          </w:p>
        </w:tc>
        <w:tc>
          <w:tcPr>
            <w:tcW w:w="24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16"/>
              </w:rPr>
              <w:t>Maximum Dollar</w:t>
              <w:br/>
              <w:t>Value of Shares That</w:t>
              <w:br/>
              <w:t>May Yet Be</w:t>
              <w:br/>
              <w:t>Purchased Under the Publicly Announced</w:t>
              <w:br/>
              <w:t>Authorization</w:t>
            </w:r>
            <w:r>
              <w:rPr>
                <w:rFonts w:ascii="Times New Roman;sans-serif" w:hAnsi="Times New Roman;sans-serif"/>
                <w:b w:val="false"/>
                <w:color w:val="000000"/>
                <w:sz w:val="10"/>
              </w:rPr>
              <w:t>(a)</w:t>
            </w:r>
          </w:p>
        </w:tc>
      </w:tr>
      <w:tr>
        <w:trPr/>
        <w:tc>
          <w:tcPr>
            <w:tcW w:w="127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1-31, 2023</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18,067,935 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18,067,935 </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704,999,938 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15,295,000,242 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1-28, 2023</w:t>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18,484,904 </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0"/>
              <w:rPr/>
            </w:pPr>
            <w:r>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18,484,904 </w:t>
            </w:r>
          </w:p>
        </w:tc>
        <w:tc>
          <w:tcPr>
            <w:tcW w:w="6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714,999,672 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14,580,000,570 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1-31, 2023</w:t>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15,992,196 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15,992,196 </w:t>
            </w:r>
          </w:p>
        </w:tc>
        <w:tc>
          <w:tcPr>
            <w:tcW w:w="6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579,999,715 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14,000,000,855 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2"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09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52,545,035</w:t>
            </w:r>
            <w:r>
              <w:rPr>
                <w:color w:val="000000"/>
              </w:rPr>
              <w:t> </w:t>
            </w:r>
          </w:p>
        </w:tc>
        <w:tc>
          <w:tcPr>
            <w:tcW w:w="29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38.06</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280"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52,545,035</w:t>
            </w:r>
            <w:r>
              <w:rPr>
                <w:color w:val="000000"/>
              </w:rPr>
              <w:t> </w:t>
            </w:r>
          </w:p>
        </w:tc>
        <w:tc>
          <w:tcPr>
            <w:tcW w:w="6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57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1,999,999,325</w:t>
            </w:r>
            <w:r>
              <w:rPr>
                <w:color w:val="000000"/>
              </w:rPr>
              <w:t> </w:t>
            </w:r>
          </w:p>
        </w:tc>
        <w:tc>
          <w:tcPr>
            <w:tcW w:w="1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7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91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14,000,000,855</w:t>
            </w:r>
            <w:r>
              <w:rPr>
                <w:color w:val="000000"/>
              </w:rPr>
              <w:t> </w:t>
            </w:r>
          </w:p>
        </w:tc>
        <w:tc>
          <w:tcPr>
            <w:tcW w:w="20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(a)Effective September 13, 2022, our Board of Directors approved a new share repurchase program authorization of $20 billion. Under the new authorization, which does not have an expiration date, we expect to repurchase additional shares, which may be in the open market or in private transactions, subject to market and other conditions.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Helvetica;sans-serif" w:hAnsi="Helvetica;sans-serif"/>
          <w:b/>
          <w:color w:val="000000"/>
          <w:sz w:val="24"/>
        </w:rPr>
      </w:pPr>
      <w:r>
        <w:rPr>
          <w:rFonts w:ascii="Helvetica;sans-serif" w:hAnsi="Helvetica;sans-serif"/>
          <w:b/>
          <w:color w:val="000000"/>
          <w:sz w:val="24"/>
        </w:rPr>
        <w:t>ITEM 6: EXHIBITS</w:t>
      </w:r>
    </w:p>
    <w:tbl>
      <w:tblPr>
        <w:tblW w:w="10205" w:type="dxa"/>
        <w:jc w:val="left"/>
        <w:tblInd w:w="0" w:type="dxa"/>
        <w:tblCellMar>
          <w:top w:w="28" w:type="dxa"/>
          <w:left w:w="28" w:type="dxa"/>
          <w:bottom w:w="28" w:type="dxa"/>
          <w:right w:w="28" w:type="dxa"/>
        </w:tblCellMar>
      </w:tblPr>
      <w:tblGrid>
        <w:gridCol w:w="228"/>
        <w:gridCol w:w="201"/>
        <w:gridCol w:w="202"/>
        <w:gridCol w:w="109"/>
        <w:gridCol w:w="109"/>
        <w:gridCol w:w="109"/>
        <w:gridCol w:w="2809"/>
        <w:gridCol w:w="2656"/>
        <w:gridCol w:w="3782"/>
      </w:tblGrid>
      <w:tr>
        <w:trPr/>
        <w:tc>
          <w:tcPr>
            <w:tcW w:w="228"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9" w:type="dxa"/>
            <w:tcBorders/>
            <w:shd w:fill="auto" w:val="clear"/>
            <w:vAlign w:val="center"/>
          </w:tcPr>
          <w:p>
            <w:pPr>
              <w:pStyle w:val="TableContents"/>
              <w:spacing w:before="0" w:after="283"/>
              <w:rPr>
                <w:sz w:val="4"/>
                <w:szCs w:val="4"/>
              </w:rPr>
            </w:pPr>
            <w:r>
              <w:rPr>
                <w:sz w:val="4"/>
                <w:szCs w:val="4"/>
              </w:rPr>
            </w:r>
          </w:p>
        </w:tc>
        <w:tc>
          <w:tcPr>
            <w:tcW w:w="2656" w:type="dxa"/>
            <w:tcBorders/>
            <w:shd w:fill="auto" w:val="clear"/>
            <w:vAlign w:val="center"/>
          </w:tcPr>
          <w:p>
            <w:pPr>
              <w:pStyle w:val="TableContents"/>
              <w:spacing w:before="0" w:after="283"/>
              <w:rPr>
                <w:sz w:val="4"/>
                <w:szCs w:val="4"/>
              </w:rPr>
            </w:pPr>
            <w:r>
              <w:rPr>
                <w:sz w:val="4"/>
                <w:szCs w:val="4"/>
              </w:rPr>
            </w:r>
          </w:p>
        </w:tc>
        <w:tc>
          <w:tcPr>
            <w:tcW w:w="3782" w:type="dxa"/>
            <w:tcBorders/>
            <w:shd w:fill="auto" w:val="clear"/>
            <w:vAlign w:val="center"/>
          </w:tcPr>
          <w:p>
            <w:pPr>
              <w:pStyle w:val="TableContents"/>
              <w:spacing w:before="0" w:after="283"/>
              <w:rPr>
                <w:sz w:val="4"/>
                <w:szCs w:val="4"/>
              </w:rPr>
            </w:pPr>
            <w:r>
              <w:rPr>
                <w:sz w:val="4"/>
                <w:szCs w:val="4"/>
              </w:rPr>
            </w:r>
          </w:p>
        </w:tc>
      </w:tr>
      <w:tr>
        <w:trPr/>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Exhibit</w:t>
            </w:r>
          </w:p>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Description</w:t>
            </w:r>
          </w:p>
        </w:tc>
      </w:tr>
      <w:tr>
        <w:trPr/>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47" w:type="dxa"/>
            <w:gridSpan w:val="3"/>
            <w:tcBorders/>
            <w:shd w:fill="auto" w:val="clear"/>
            <w:vAlign w:val="center"/>
          </w:tcPr>
          <w:p>
            <w:pPr>
              <w:pStyle w:val="TableContents"/>
              <w:spacing w:before="0" w:after="283"/>
              <w:rPr>
                <w:sz w:val="4"/>
                <w:szCs w:val="4"/>
              </w:rPr>
            </w:pPr>
            <w:r>
              <w:rPr>
                <w:sz w:val="4"/>
                <w:szCs w:val="4"/>
              </w:rPr>
            </w:r>
          </w:p>
        </w:tc>
      </w:tr>
      <w:tr>
        <w:trPr/>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r:id="rId3">
              <w:r>
                <w:rPr>
                  <w:rStyle w:val="InternetLink"/>
                  <w:rFonts w:ascii="Times New Roman;sans-serif" w:hAnsi="Times New Roman;sans-serif"/>
                  <w:b w:val="false"/>
                  <w:color w:val="0000FF"/>
                  <w:sz w:val="20"/>
                  <w:u w:val="single"/>
                </w:rPr>
                <w:t>22</w:t>
              </w:r>
            </w:hyperlink>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Subsidiary guarantors and issuers of guaranteed securities and affiliates whose securities collateralize securities of the registrant (incorporated by reference to Exhibit 22 to Comcast's Annual Report on Form 10-K for the year ended December 31, 2022).</w:t>
            </w:r>
          </w:p>
        </w:tc>
      </w:tr>
      <w:tr>
        <w:trPr/>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31-3312023.htm">
              <w:r>
                <w:rPr>
                  <w:rStyle w:val="InternetLink"/>
                  <w:rFonts w:ascii="Times New Roman;sans-serif" w:hAnsi="Times New Roman;sans-serif"/>
                  <w:b w:val="false"/>
                  <w:color w:val="0000FF"/>
                  <w:sz w:val="20"/>
                  <w:u w:val="single"/>
                </w:rPr>
                <w:t>31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and Chief Financial Officer pursuant to Section 302 of the Sarbanes-Oxley Act of 2002.</w:t>
            </w:r>
          </w:p>
        </w:tc>
      </w:tr>
      <w:tr>
        <w:trPr/>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32-3312023.htm">
              <w:r>
                <w:rPr>
                  <w:rStyle w:val="InternetLink"/>
                  <w:rFonts w:ascii="Times New Roman;sans-serif" w:hAnsi="Times New Roman;sans-serif"/>
                  <w:b w:val="false"/>
                  <w:color w:val="0000FF"/>
                  <w:sz w:val="20"/>
                  <w:u w:val="single"/>
                </w:rPr>
                <w:t>32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and Chief Financial Officer pursuant to Section 906 of the Sarbanes-Oxley Act of 2002.</w:t>
            </w:r>
          </w:p>
        </w:tc>
      </w:tr>
      <w:tr>
        <w:trPr/>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financial statements from Comcast Corporation’s Quarterly Report on Form 10-Q for the three months ended March 31, 2023, filed with the Securities and Exchange Commission on April 27, 2023, formatted in Inline Extensible Business Reporting Language (iXBRL): (i) the Condensed Consolidated Statements of Income; (ii) the Condensed Consolidated Statements of Comprehensive Income; (iii) the Condensed Consolidated Statements of Cash Flows; (iv) the Condensed Consolidated Balance Sheets; (v) the Condensed Consolidated Statements of Changes in Equity; and (vi) the Notes to Condensed Consolidated Financial Statements.</w:t>
            </w:r>
          </w:p>
        </w:tc>
      </w:tr>
      <w:tr>
        <w:trPr/>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iXBRL document).</w:t>
            </w:r>
          </w:p>
        </w:tc>
      </w:tr>
      <w:tr>
        <w:trPr/>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Constitutes a management contract or compensatory plan or arrangement.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60" w:after="120"/>
        <w:jc w:val="both"/>
        <w:rPr/>
      </w:pPr>
      <w:hyperlink w:anchor="i6cbedffc79ba431f8c6c5489cc9b606c_7">
        <w:r>
          <w:rPr>
            <w:rStyle w:val="InternetLink"/>
            <w:rFonts w:ascii="Times New Roman;sans-serif" w:hAnsi="Times New Roman;sans-serif"/>
            <w:b/>
            <w:color w:val="0000FF"/>
            <w:sz w:val="20"/>
            <w:u w:val="single"/>
          </w:rPr>
          <w:t>Table of Contents</w:t>
        </w:r>
      </w:hyperlink>
    </w:p>
    <w:p>
      <w:pPr>
        <w:pStyle w:val="TextBody"/>
        <w:spacing w:lineRule="auto" w:line="288" w:before="60" w:after="120"/>
        <w:jc w:val="center"/>
        <w:rPr>
          <w:rFonts w:ascii="Helvetica;sans-serif" w:hAnsi="Helvetica;sans-serif"/>
          <w:b/>
          <w:color w:val="000000"/>
          <w:sz w:val="24"/>
        </w:rPr>
      </w:pPr>
      <w:r>
        <w:rPr>
          <w:rFonts w:ascii="Helvetica;sans-serif" w:hAnsi="Helvetica;sans-serif"/>
          <w:b/>
          <w:color w:val="000000"/>
          <w:sz w:val="24"/>
        </w:rPr>
        <w:t>SIGNATURES</w:t>
      </w:r>
    </w:p>
    <w:p>
      <w:pPr>
        <w:pStyle w:val="TextBody"/>
        <w:spacing w:lineRule="auto" w:line="288" w:before="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312" w:type="dxa"/>
        <w:jc w:val="right"/>
        <w:tblInd w:w="0" w:type="dxa"/>
        <w:tblCellMar>
          <w:top w:w="28" w:type="dxa"/>
          <w:left w:w="28" w:type="dxa"/>
          <w:bottom w:w="28" w:type="dxa"/>
          <w:right w:w="28" w:type="dxa"/>
        </w:tblCellMar>
      </w:tblPr>
      <w:tblGrid>
        <w:gridCol w:w="151"/>
        <w:gridCol w:w="134"/>
        <w:gridCol w:w="135"/>
        <w:gridCol w:w="109"/>
        <w:gridCol w:w="109"/>
        <w:gridCol w:w="109"/>
        <w:gridCol w:w="1629"/>
        <w:gridCol w:w="1629"/>
        <w:gridCol w:w="2307"/>
      </w:tblGrid>
      <w:tr>
        <w:trPr/>
        <w:tc>
          <w:tcPr>
            <w:tcW w:w="151"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9" w:type="dxa"/>
            <w:tcBorders/>
            <w:shd w:fill="auto" w:val="clear"/>
            <w:vAlign w:val="center"/>
          </w:tcPr>
          <w:p>
            <w:pPr>
              <w:pStyle w:val="TableContents"/>
              <w:spacing w:before="0" w:after="283"/>
              <w:rPr>
                <w:sz w:val="4"/>
                <w:szCs w:val="4"/>
              </w:rPr>
            </w:pPr>
            <w:r>
              <w:rPr>
                <w:sz w:val="4"/>
                <w:szCs w:val="4"/>
              </w:rPr>
            </w:r>
          </w:p>
        </w:tc>
        <w:tc>
          <w:tcPr>
            <w:tcW w:w="1629" w:type="dxa"/>
            <w:tcBorders/>
            <w:shd w:fill="auto" w:val="clear"/>
            <w:vAlign w:val="center"/>
          </w:tcPr>
          <w:p>
            <w:pPr>
              <w:pStyle w:val="TableContents"/>
              <w:spacing w:before="0" w:after="283"/>
              <w:rPr>
                <w:sz w:val="4"/>
                <w:szCs w:val="4"/>
              </w:rPr>
            </w:pPr>
            <w:r>
              <w:rPr>
                <w:sz w:val="4"/>
                <w:szCs w:val="4"/>
              </w:rPr>
            </w:r>
          </w:p>
        </w:tc>
        <w:tc>
          <w:tcPr>
            <w:tcW w:w="2307" w:type="dxa"/>
            <w:tcBorders/>
            <w:shd w:fill="auto" w:val="cle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COMCAST CORPORATION</w:t>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9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DANIEL C. MURDOCK</w:t>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Daniel C. Murdock</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Accounting Officer and Controller</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bl>
    <w:p>
      <w:pPr>
        <w:pStyle w:val="TextBody"/>
        <w:spacing w:lineRule="auto" w:line="288" w:before="4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27, 2023 </w:t>
      </w:r>
    </w:p>
    <w:p>
      <w:pPr>
        <w:pStyle w:val="TextBody"/>
        <w:spacing w:before="340" w:after="34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84785"/>
                <wp:effectExtent l="0" t="0" r="0" b="0"/>
                <wp:wrapNone/>
                <wp:docPr id="38" name="Frame37"/>
                <a:graphic xmlns:a="http://schemas.openxmlformats.org/drawingml/2006/main">
                  <a:graphicData uri="http://schemas.microsoft.com/office/word/2010/wordprocessingShape">
                    <wps:wsp>
                      <wps:cNvSpPr txBox="1"/>
                      <wps:spPr>
                        <a:xfrm>
                          <a:off x="0" y="0"/>
                          <a:ext cx="6480175" cy="184785"/>
                        </a:xfrm>
                        <a:prstGeom prst="rect"/>
                      </wps:spPr>
                      <wps:txb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6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w:t>
      </w:r>
    </w:p>
    <w:p>
      <w:pPr>
        <w:pStyle w:val="TextBody"/>
        <w:spacing w:lineRule="auto" w:line="288" w:before="0" w:after="120"/>
        <w:jc w:val="center"/>
        <w:rPr>
          <w:rFonts w:ascii="Arial;sans-serif" w:hAnsi="Arial;sans-serif"/>
          <w:b/>
          <w:color w:val="000000"/>
          <w:sz w:val="24"/>
        </w:rPr>
      </w:pPr>
      <w:r>
        <w:rPr>
          <w:rFonts w:ascii="Arial;sans-serif" w:hAnsi="Arial;sans-serif"/>
          <w:b/>
          <w:color w:val="000000"/>
          <w:sz w:val="24"/>
        </w:rPr>
        <w:t>CERTIFICATIONS</w:t>
      </w:r>
    </w:p>
    <w:p>
      <w:pPr>
        <w:pStyle w:val="TextBody"/>
        <w:spacing w:lineRule="auto" w:line="288" w:before="60" w:after="120"/>
        <w:rPr>
          <w:rFonts w:ascii="Times New Roman;sans-serif" w:hAnsi="Times New Roman;sans-serif"/>
          <w:b w:val="false"/>
          <w:color w:val="000000"/>
          <w:sz w:val="20"/>
        </w:rPr>
      </w:pPr>
      <w:r>
        <w:rPr>
          <w:rFonts w:ascii="Times New Roman;sans-serif" w:hAnsi="Times New Roman;sans-serif"/>
          <w:b w:val="false"/>
          <w:color w:val="000000"/>
          <w:sz w:val="20"/>
        </w:rPr>
        <w:t>I, Brian L. Roberts, certify that:</w:t>
      </w:r>
    </w:p>
    <w:p>
      <w:pPr>
        <w:pStyle w:val="TextBody"/>
        <w:spacing w:lineRule="auto" w:line="288" w:before="6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Comcast Corporation;</w:t>
      </w:r>
    </w:p>
    <w:p>
      <w:pPr>
        <w:pStyle w:val="TextBody"/>
        <w:spacing w:lineRule="auto" w:line="288" w:before="6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6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6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6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6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6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6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6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6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6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27, 2023 </w:t>
      </w:r>
    </w:p>
    <w:tbl>
      <w:tblPr>
        <w:tblW w:w="2579" w:type="dxa"/>
        <w:jc w:val="left"/>
        <w:tblInd w:w="0" w:type="dxa"/>
        <w:tblCellMar>
          <w:top w:w="28" w:type="dxa"/>
          <w:left w:w="28" w:type="dxa"/>
          <w:bottom w:w="28" w:type="dxa"/>
          <w:right w:w="28" w:type="dxa"/>
        </w:tblCellMar>
      </w:tblPr>
      <w:tblGrid>
        <w:gridCol w:w="825"/>
        <w:gridCol w:w="726"/>
        <w:gridCol w:w="1028"/>
      </w:tblGrid>
      <w:tr>
        <w:trPr/>
        <w:tc>
          <w:tcPr>
            <w:tcW w:w="825"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r>
      <w:tr>
        <w:trPr/>
        <w:tc>
          <w:tcPr>
            <w:tcW w:w="25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BRIAN L. ROBERTS</w:t>
            </w:r>
          </w:p>
        </w:tc>
      </w:tr>
      <w:tr>
        <w:trPr/>
        <w:tc>
          <w:tcPr>
            <w:tcW w:w="25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Brian L. Roberts</w:t>
            </w:r>
          </w:p>
        </w:tc>
      </w:tr>
      <w:tr>
        <w:trPr/>
        <w:tc>
          <w:tcPr>
            <w:tcW w:w="25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Chief Executive Officer</w:t>
            </w:r>
          </w:p>
        </w:tc>
      </w:tr>
    </w:tbl>
    <w:p>
      <w:pPr>
        <w:pStyle w:val="TextBody"/>
        <w:spacing w:before="0" w:after="0"/>
        <w:rPr/>
      </w:pPr>
      <w:r>
        <w:br w:type="page"/>
      </w: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525780"/>
                <wp:effectExtent l="0" t="0" r="0" b="0"/>
                <wp:wrapNone/>
                <wp:docPr id="39" name="Frame38"/>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before="0" w:after="0"/>
                              <w:rPr/>
                            </w:pPr>
                            <w:r>
                              <w:rPr/>
                            </w:r>
                          </w:p>
                          <w:p>
                            <w:pPr>
                              <w:pStyle w:val="TextBody"/>
                              <w:spacing w:before="0" w:after="0"/>
                              <w:jc w:val="right"/>
                              <w:rPr/>
                            </w:pPr>
                            <w:r>
                              <w:rPr/>
                            </w:r>
                          </w:p>
                          <w:p>
                            <w:pPr>
                              <w:pStyle w:val="TextBody"/>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jc w:val="right"/>
                        <w:rPr/>
                      </w:pPr>
                      <w:r>
                        <w:rPr/>
                      </w:r>
                    </w:p>
                    <w:p>
                      <w:pPr>
                        <w:pStyle w:val="TextBody"/>
                        <w:spacing w:before="0" w:after="0"/>
                        <w:jc w:val="right"/>
                        <w:rPr/>
                      </w:pPr>
                      <w:r>
                        <w:rPr/>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Jason S. Armstrong, certify that:</w:t>
      </w:r>
    </w:p>
    <w:p>
      <w:pPr>
        <w:pStyle w:val="TextBody"/>
        <w:spacing w:lineRule="auto" w:line="288" w:before="6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Comcast Corporation;</w:t>
      </w:r>
    </w:p>
    <w:p>
      <w:pPr>
        <w:pStyle w:val="TextBody"/>
        <w:spacing w:lineRule="auto" w:line="288" w:before="6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6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6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6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6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6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6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6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6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6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6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27, 2023 </w:t>
      </w:r>
    </w:p>
    <w:tbl>
      <w:tblPr>
        <w:tblW w:w="2519" w:type="dxa"/>
        <w:jc w:val="left"/>
        <w:tblInd w:w="0" w:type="dxa"/>
        <w:tblCellMar>
          <w:top w:w="28" w:type="dxa"/>
          <w:left w:w="28" w:type="dxa"/>
          <w:bottom w:w="28" w:type="dxa"/>
          <w:right w:w="28" w:type="dxa"/>
        </w:tblCellMar>
      </w:tblPr>
      <w:tblGrid>
        <w:gridCol w:w="806"/>
        <w:gridCol w:w="708"/>
        <w:gridCol w:w="1005"/>
      </w:tblGrid>
      <w:tr>
        <w:trPr/>
        <w:tc>
          <w:tcPr>
            <w:tcW w:w="806"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JASON S. ARMSTRONG</w:t>
            </w:r>
          </w:p>
        </w:tc>
      </w:tr>
      <w:tr>
        <w:trPr/>
        <w:tc>
          <w:tcPr>
            <w:tcW w:w="25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Jason S. Armstrong</w:t>
            </w:r>
          </w:p>
        </w:tc>
      </w:tr>
      <w:tr>
        <w:trPr/>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tc>
      </w:tr>
    </w:tbl>
    <w:p>
      <w:pPr>
        <w:pStyle w:val="TextBody"/>
        <w:spacing w:before="0" w:after="12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525780"/>
                <wp:effectExtent l="0" t="0" r="0" b="0"/>
                <wp:wrapNone/>
                <wp:docPr id="40" name="Frame39"/>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before="0" w:after="0"/>
                              <w:rPr/>
                            </w:pPr>
                            <w:r>
                              <w:rPr/>
                            </w:r>
                          </w:p>
                          <w:p>
                            <w:pPr>
                              <w:pStyle w:val="TextBody"/>
                              <w:spacing w:before="0" w:after="0"/>
                              <w:jc w:val="right"/>
                              <w:rPr/>
                            </w:pPr>
                            <w:r>
                              <w:rPr/>
                            </w:r>
                          </w:p>
                          <w:p>
                            <w:pPr>
                              <w:pStyle w:val="TextBody"/>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p>
                      <w:pPr>
                        <w:pStyle w:val="TextBody"/>
                        <w:spacing w:before="0" w:after="0"/>
                        <w:jc w:val="right"/>
                        <w:rPr/>
                      </w:pPr>
                      <w:r>
                        <w:rPr/>
                      </w:r>
                    </w:p>
                    <w:p>
                      <w:pPr>
                        <w:pStyle w:val="TextBody"/>
                        <w:spacing w:before="0" w:after="0"/>
                        <w:jc w:val="right"/>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spacing w:before="60" w:after="120"/>
        <w:rPr/>
      </w:pPr>
      <w:r>
        <w:rPr/>
      </w:r>
    </w:p>
    <w:p>
      <w:pPr>
        <w:pStyle w:val="TextBody"/>
        <w:spacing w:lineRule="auto" w:line="288" w:before="60" w:after="120"/>
        <w:jc w:val="center"/>
        <w:rPr>
          <w:rFonts w:ascii="Arial;sans-serif" w:hAnsi="Arial;sans-serif"/>
          <w:b/>
          <w:color w:val="000000"/>
          <w:sz w:val="24"/>
        </w:rPr>
      </w:pPr>
      <w:r>
        <w:rPr>
          <w:rFonts w:ascii="Arial;sans-serif" w:hAnsi="Arial;sans-serif"/>
          <w:b/>
          <w:color w:val="000000"/>
          <w:sz w:val="24"/>
        </w:rPr>
        <w:t>CERTIFICATION PURSUANT TO SECTION 906 OF THE SARBANES-OXLEY ACT</w:t>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April 27, 2023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100 F Street, N.E.</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Washington, D.C. 20549</w:t>
      </w:r>
    </w:p>
    <w:p>
      <w:pPr>
        <w:pStyle w:val="TextBody"/>
        <w:spacing w:before="0" w:after="0"/>
        <w:rPr/>
      </w:pPr>
      <w:r>
        <w:rPr/>
      </w:r>
    </w:p>
    <w:p>
      <w:pPr>
        <w:pStyle w:val="TextBody"/>
        <w:spacing w:lineRule="auto" w:line="288" w:before="60" w:after="120"/>
        <w:rPr>
          <w:rFonts w:ascii="Times New Roman;sans-serif" w:hAnsi="Times New Roman;sans-serif"/>
          <w:b w:val="false"/>
          <w:color w:val="000000"/>
          <w:sz w:val="20"/>
        </w:rPr>
      </w:pPr>
      <w:r>
        <w:rPr>
          <w:rFonts w:ascii="Times New Roman;sans-serif" w:hAnsi="Times New Roman;sans-serif"/>
          <w:b w:val="false"/>
          <w:color w:val="000000"/>
          <w:sz w:val="20"/>
        </w:rPr>
        <w:t>Ladies and Gentlemen:</w:t>
      </w:r>
    </w:p>
    <w:p>
      <w:pPr>
        <w:pStyle w:val="TextBody"/>
        <w:spacing w:lineRule="auto" w:line="288" w:before="60" w:after="120"/>
        <w:rPr>
          <w:rFonts w:ascii="Times New Roman;sans-serif" w:hAnsi="Times New Roman;sans-serif"/>
          <w:b w:val="false"/>
          <w:color w:val="000000"/>
          <w:sz w:val="20"/>
        </w:rPr>
      </w:pPr>
      <w:r>
        <w:rPr>
          <w:rFonts w:ascii="Times New Roman;sans-serif" w:hAnsi="Times New Roman;sans-serif"/>
          <w:b w:val="false"/>
          <w:color w:val="000000"/>
          <w:sz w:val="20"/>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pStyle w:val="TextBody"/>
        <w:spacing w:lineRule="auto" w:line="288" w:before="60" w:after="120"/>
        <w:rPr>
          <w:rFonts w:ascii="Times New Roman;sans-serif" w:hAnsi="Times New Roman;sans-serif"/>
          <w:b w:val="false"/>
          <w:color w:val="000000"/>
          <w:sz w:val="20"/>
        </w:rPr>
      </w:pPr>
      <w:r>
        <w:rPr>
          <w:rFonts w:ascii="Times New Roman;sans-serif" w:hAnsi="Times New Roman;sans-serif"/>
          <w:b w:val="false"/>
          <w:color w:val="000000"/>
          <w:sz w:val="20"/>
        </w:rPr>
        <w:t>Brian L. Roberts, the Chief Executive Officer and Jason S. Armstrong, the Chief Financial Officer of Comcast Corporation, each certifies that, to the best of his knowledge:</w:t>
      </w:r>
    </w:p>
    <w:p>
      <w:pPr>
        <w:pStyle w:val="TextBody"/>
        <w:spacing w:lineRule="auto" w:line="288" w:before="6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Exchange Act; and</w:t>
      </w:r>
    </w:p>
    <w:p>
      <w:pPr>
        <w:pStyle w:val="TextBody"/>
        <w:spacing w:lineRule="auto" w:line="288" w:before="6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Comcast Corporation.</w:t>
      </w:r>
    </w:p>
    <w:tbl>
      <w:tblPr>
        <w:tblW w:w="2579" w:type="dxa"/>
        <w:jc w:val="right"/>
        <w:tblInd w:w="0" w:type="dxa"/>
        <w:tblCellMar>
          <w:top w:w="28" w:type="dxa"/>
          <w:left w:w="28" w:type="dxa"/>
          <w:bottom w:w="28" w:type="dxa"/>
          <w:right w:w="28" w:type="dxa"/>
        </w:tblCellMar>
      </w:tblPr>
      <w:tblGrid>
        <w:gridCol w:w="825"/>
        <w:gridCol w:w="726"/>
        <w:gridCol w:w="1028"/>
      </w:tblGrid>
      <w:tr>
        <w:trPr/>
        <w:tc>
          <w:tcPr>
            <w:tcW w:w="825"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r>
      <w:tr>
        <w:trPr/>
        <w:tc>
          <w:tcPr>
            <w:tcW w:w="25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BRIAN L. ROBERTS</w:t>
            </w:r>
          </w:p>
        </w:tc>
      </w:tr>
      <w:tr>
        <w:trPr/>
        <w:tc>
          <w:tcPr>
            <w:tcW w:w="25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Brian L. Roberts</w:t>
            </w:r>
          </w:p>
        </w:tc>
      </w:tr>
      <w:tr>
        <w:trPr/>
        <w:tc>
          <w:tcPr>
            <w:tcW w:w="25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Chief Executive Officer</w:t>
            </w:r>
          </w:p>
        </w:tc>
      </w:tr>
    </w:tbl>
    <w:p>
      <w:pPr>
        <w:pStyle w:val="TextBody"/>
        <w:spacing w:before="60" w:after="120"/>
        <w:jc w:val="right"/>
        <w:rPr/>
      </w:pPr>
      <w:r>
        <w:rPr/>
      </w:r>
    </w:p>
    <w:tbl>
      <w:tblPr>
        <w:tblW w:w="2519" w:type="dxa"/>
        <w:jc w:val="right"/>
        <w:tblInd w:w="0" w:type="dxa"/>
        <w:tblCellMar>
          <w:top w:w="28" w:type="dxa"/>
          <w:left w:w="28" w:type="dxa"/>
          <w:bottom w:w="28" w:type="dxa"/>
          <w:right w:w="28" w:type="dxa"/>
        </w:tblCellMar>
      </w:tblPr>
      <w:tblGrid>
        <w:gridCol w:w="806"/>
        <w:gridCol w:w="708"/>
        <w:gridCol w:w="1005"/>
      </w:tblGrid>
      <w:tr>
        <w:trPr/>
        <w:tc>
          <w:tcPr>
            <w:tcW w:w="806"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JASON S. ARMSTRONG</w:t>
            </w:r>
          </w:p>
        </w:tc>
      </w:tr>
      <w:tr>
        <w:trPr/>
        <w:tc>
          <w:tcPr>
            <w:tcW w:w="25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Jason S. Armstrong</w:t>
            </w:r>
          </w:p>
        </w:tc>
      </w:tr>
      <w:tr>
        <w:trPr/>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tc>
      </w:tr>
    </w:tbl>
    <w:p>
      <w:pPr>
        <w:pStyle w:val="TextBody"/>
        <w:spacing w:before="60" w:after="120"/>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13360"/>
                <wp:effectExtent l="0" t="0" r="0" b="0"/>
                <wp:wrapNone/>
                <wp:docPr id="41" name="Frame40"/>
                <a:graphic xmlns:a="http://schemas.openxmlformats.org/drawingml/2006/main">
                  <a:graphicData uri="http://schemas.microsoft.com/office/word/2010/wordprocessingShape">
                    <wps:wsp>
                      <wps:cNvSpPr txBox="1"/>
                      <wps:spPr>
                        <a:xfrm>
                          <a:off x="0" y="0"/>
                          <a:ext cx="6480175" cy="213360"/>
                        </a:xfrm>
                        <a:prstGeom prst="rect"/>
                      </wps:spPr>
                      <wps:txbx>
                        <w:txbxContent>
                          <w:p>
                            <w:pPr>
                              <w:pStyle w:val="TextBody"/>
                              <w:spacing w:before="60" w:after="12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60" w:after="12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Helvetica">
    <w:altName w:val="Arial"/>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166691/000116669123000010/ex22-1231202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16829</Words>
  <CharactersWithSpaces>111256</CharactersWithSpaces>
  <Paragraphs>2791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