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ksdoc4"/>
      <w:bookmarkEnd w:id="0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952"/>
        <w:gridCol w:w="6170"/>
        <w:gridCol w:w="2057"/>
      </w:tblGrid>
      <w:tr>
        <w:trPr/>
        <w:tc>
          <w:tcPr>
            <w:tcW w:w="2312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170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57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37"/>
            </w:tblGrid>
            <w:tr>
              <w:trPr/>
              <w:tc>
                <w:tcPr>
                  <w:tcW w:w="1937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88"/>
                    <w:gridCol w:w="693"/>
                  </w:tblGrid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81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37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170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7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88"/>
        <w:gridCol w:w="3689"/>
        <w:gridCol w:w="3162"/>
      </w:tblGrid>
      <w:tr>
        <w:trPr/>
        <w:tc>
          <w:tcPr>
            <w:tcW w:w="368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Montiel Maritza Gomez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PHILADELPHIA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9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CMCSA</w:t>
            </w:r>
            <w:r>
              <w:rPr/>
              <w:t xml:space="preserve"> ] </w:t>
            </w:r>
          </w:p>
        </w:tc>
        <w:tc>
          <w:tcPr>
            <w:tcW w:w="31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1066"/>
              <w:gridCol w:w="455"/>
              <w:gridCol w:w="1066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30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  <w:r>
              <w:rPr/>
              <w:t xml:space="preserve"> </w:t>
            </w:r>
          </w:p>
        </w:tc>
        <w:tc>
          <w:tcPr>
            <w:tcW w:w="31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2587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672"/>
        <w:gridCol w:w="908"/>
        <w:gridCol w:w="775"/>
        <w:gridCol w:w="604"/>
        <w:gridCol w:w="362"/>
        <w:gridCol w:w="855"/>
        <w:gridCol w:w="492"/>
        <w:gridCol w:w="654"/>
        <w:gridCol w:w="1227"/>
        <w:gridCol w:w="1045"/>
        <w:gridCol w:w="945"/>
      </w:tblGrid>
      <w:tr>
        <w:trPr>
          <w:tblHeader w:val="true"/>
        </w:trPr>
        <w:tc>
          <w:tcPr>
            <w:tcW w:w="10539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67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6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193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351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11/20/2019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4,185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4,185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10,049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11/20/2019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44.215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10,008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39"/>
      </w:tblGrid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securities convert on a one-to-one basis.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elected to defer receipt of shares of Class A Common Stock issuable as a grant for director fees, resulting in an accrual to his account of additional phantom shares. Phantom stock may be re-deferred at future dates.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Although the reporting person elected to defer receipt of the shares of Class A common stock underlying the phantom shares, these shares were withheld for payment of tax liability.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23"/>
        <w:gridCol w:w="2108"/>
        <w:gridCol w:w="2108"/>
      </w:tblGrid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Elizabeth Wideman, Attorney-in-fact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11/22/2019</w:t>
            </w:r>
          </w:p>
        </w:tc>
      </w:tr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sectPr>
      <w:type w:val="nextPage"/>
      <w:pgSz w:w="11906" w:h="16838"/>
      <w:pgMar w:left="216" w:right="216" w:header="0" w:top="216" w:footer="0" w:bottom="216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../../../../cgi-bin/browse-edgar%3Faction=getcompany&amp;CIK=0001640081" TargetMode="External"/><Relationship Id="rId4" Type="http://schemas.openxmlformats.org/officeDocument/2006/relationships/hyperlink" Target="../../../../cgi-bin/browse-edgar%3F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614</Words>
  <CharactersWithSpaces>3845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