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FOR ANNUAL REPORTS OF EMPLOYEE STOCK</w:t>
      </w:r>
    </w:p>
    <w:p>
      <w:pPr>
        <w:spacing w:after="0" w:line="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PURCHASE, SAVINGS AND SIMILAR PLANS</w:t>
      </w:r>
    </w:p>
    <w:p>
      <w:pPr>
        <w:spacing w:after="0" w:line="71"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PURSUANT TO SECTION 15(d) OF THE</w:t>
      </w:r>
    </w:p>
    <w:p>
      <w:pPr>
        <w:spacing w:after="0" w:line="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302895</wp:posOffset>
            </wp:positionV>
            <wp:extent cx="253873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3873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2920"/>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74"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77"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09"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1263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57"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Full title of the plan and the address of the plan, if different from that of the issuer named below:</w:t>
      </w:r>
    </w:p>
    <w:p>
      <w:pPr>
        <w:spacing w:after="0" w:line="77" w:lineRule="exact"/>
        <w:rPr>
          <w:sz w:val="24"/>
          <w:szCs w:val="24"/>
          <w:color w:val="auto"/>
        </w:rPr>
      </w:pPr>
    </w:p>
    <w:p>
      <w:pPr>
        <w:ind w:left="2480"/>
        <w:spacing w:after="0"/>
        <w:rPr>
          <w:sz w:val="20"/>
          <w:szCs w:val="20"/>
          <w:color w:val="auto"/>
        </w:rPr>
      </w:pPr>
      <w:r>
        <w:rPr>
          <w:rFonts w:ascii="Arial" w:cs="Arial" w:eastAsia="Arial" w:hAnsi="Arial"/>
          <w:sz w:val="22"/>
          <w:szCs w:val="22"/>
          <w:b w:val="1"/>
          <w:bCs w:val="1"/>
          <w:color w:val="auto"/>
        </w:rPr>
        <w:t>COMCAST CORPORATION RETIREMENT-INVESTMENT PLAN</w:t>
      </w:r>
    </w:p>
    <w:p>
      <w:pPr>
        <w:spacing w:after="0" w:line="84" w:lineRule="exact"/>
        <w:rPr>
          <w:sz w:val="24"/>
          <w:szCs w:val="24"/>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 of the securities held pursuant to the plan and the address of its principal executive office:</w:t>
      </w:r>
    </w:p>
    <w:p>
      <w:pPr>
        <w:spacing w:after="0" w:line="90"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14" w:right="79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 RETIREMENT-INVESTMENT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and 2009 and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as of December 31,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Report of Independent Registered 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Firm</w:t>
      </w:r>
    </w:p>
    <w:p>
      <w:pPr>
        <w:sectPr>
          <w:pgSz w:w="11900" w:h="16838" w:orient="portrait"/>
          <w:cols w:equalWidth="0" w:num="1">
            <w:col w:w="10219"/>
          </w:cols>
          <w:pgMar w:left="240" w:top="274"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 RETIREMENT-INVESTMENT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60" w:type="dxa"/>
            <w:vAlign w:val="bottom"/>
            <w:gridSpan w:val="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60" w:type="dxa"/>
            <w:vAlign w:val="bottom"/>
            <w:gridSpan w:val="9"/>
            <w:vMerge w:val="continue"/>
          </w:tcPr>
          <w:p>
            <w:pPr>
              <w:spacing w:after="0"/>
              <w:rPr>
                <w:sz w:val="14"/>
                <w:szCs w:val="14"/>
                <w:color w:val="auto"/>
              </w:rPr>
            </w:pPr>
          </w:p>
        </w:tc>
        <w:tc>
          <w:tcPr>
            <w:tcW w:w="4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3"/>
        </w:trPr>
        <w:tc>
          <w:tcPr>
            <w:tcW w:w="56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520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42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2010 and 2009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42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2010</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42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 as of December 31, 2010 and 2009 and for the Year Ended December 31, 2010</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860" w:type="dxa"/>
            <w:vAlign w:val="bottom"/>
            <w:gridSpan w:val="9"/>
          </w:tcPr>
          <w:p>
            <w:pPr>
              <w:spacing w:after="0"/>
              <w:rPr>
                <w:sz w:val="20"/>
                <w:szCs w:val="20"/>
                <w:color w:val="auto"/>
              </w:rPr>
            </w:pPr>
            <w:r>
              <w:rPr>
                <w:rFonts w:ascii="Arial" w:cs="Arial" w:eastAsia="Arial" w:hAnsi="Arial"/>
                <w:sz w:val="18"/>
                <w:szCs w:val="18"/>
                <w:color w:val="auto"/>
              </w:rPr>
              <w:t>SUPPLEMENTAL SCHEDULE: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420" w:type="dxa"/>
            <w:vAlign w:val="bottom"/>
            <w:gridSpan w:val="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Form 5500, Schedule H—Part IV, Line 4i—Schedule of Assets (Held at End of Year) as of December 31, 2010</w:t>
              </w:r>
            </w:hyperlink>
          </w:p>
        </w:tc>
        <w:tc>
          <w:tcPr>
            <w:tcW w:w="460" w:type="dxa"/>
            <w:vAlign w:val="bottom"/>
          </w:tcPr>
          <w:p>
            <w:pPr>
              <w:jc w:val="right"/>
              <w:spacing w:after="0"/>
              <w:rPr>
                <w:sz w:val="20"/>
                <w:szCs w:val="20"/>
                <w:color w:val="auto"/>
              </w:rPr>
            </w:pPr>
            <w:r>
              <w:rPr>
                <w:rFonts w:ascii="Arial" w:cs="Arial" w:eastAsia="Arial" w:hAnsi="Arial"/>
                <w:sz w:val="18"/>
                <w:szCs w:val="18"/>
                <w:color w:val="auto"/>
                <w:w w:val="95"/>
              </w:rPr>
              <w:t>11-16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40" w:type="dxa"/>
            <w:vAlign w:val="bottom"/>
            <w:gridSpan w:val="2"/>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CONSENT OF INDEPENDENT REGISTERED PUBLIC ACCOUNTING FIRM</w:t>
              </w:r>
            </w:hyperlink>
          </w:p>
        </w:tc>
        <w:tc>
          <w:tcPr>
            <w:tcW w:w="5040" w:type="dxa"/>
            <w:vAlign w:val="bottom"/>
            <w:gridSpan w:val="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860" w:type="dxa"/>
            <w:vAlign w:val="bottom"/>
            <w:gridSpan w:val="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20" w:right="1120"/>
        <w:spacing w:after="0" w:line="332" w:lineRule="auto"/>
        <w:rPr>
          <w:sz w:val="20"/>
          <w:szCs w:val="20"/>
          <w:color w:val="auto"/>
        </w:rPr>
      </w:pPr>
      <w:r>
        <w:rPr>
          <w:rFonts w:ascii="Arial" w:cs="Arial" w:eastAsia="Arial" w:hAnsi="Arial"/>
          <w:sz w:val="16"/>
          <w:szCs w:val="16"/>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320"/>
          </w:cols>
          <w:pgMar w:left="240" w:top="27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jc w:val="both"/>
        <w:ind w:right="380"/>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Comcast Corporation Retirement-Investment Plan (the “Plan”) as of December 31, 2010 and 2009, and the related statement of changes in net assets available for benefits for the year ended December 31, 2010.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2010 and 2009, and the changes in net assets available for benefits for the year ended December 31, 2010 in conformity with accounting principles generally accepted in the United States of America</w:t>
      </w:r>
      <w:r>
        <w:rPr>
          <w:rFonts w:ascii="Arial" w:cs="Arial" w:eastAsia="Arial" w:hAnsi="Arial"/>
          <w:sz w:val="18"/>
          <w:szCs w:val="18"/>
          <w:i w:val="1"/>
          <w:iCs w:val="1"/>
          <w:color w:val="auto"/>
        </w:rPr>
        <w:t>.</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audits were conducted for the purpose of forming an opinion on the basic financial statements taken as a whole. The supplemental schedule of assets (held at year end) as of December 31, 2010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schedule is the responsibility of the Plan’s management. The schedule has been subjected to the auditing procedures applied in our audit of the basic 2010 financial statements and, in our opinion, is fairly stated in all material respects when considered in relation to the basic financial statements taken as a whole.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2010 AND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Participant-directed investments, at fair value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3,160,160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2,670,145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Notes receivable from participants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107,933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 receivable from participants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9,529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Contributions receivable from employer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126,062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115,034</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ASSETS AVAILABLE FOR BENEFITS</w:t>
            </w:r>
          </w:p>
        </w:tc>
        <w:tc>
          <w:tcPr>
            <w:tcW w:w="8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3,286,274</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2,785,248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(13,880)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3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3,272,394</w:t>
            </w: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2,781,013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400" w:type="dxa"/>
            <w:vAlign w:val="bottom"/>
            <w:gridSpan w:val="2"/>
          </w:tcPr>
          <w:p>
            <w:pPr>
              <w:jc w:val="right"/>
              <w:ind w:right="355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appreciation in fair value of investments</w:t>
            </w:r>
          </w:p>
        </w:tc>
        <w:tc>
          <w:tcPr>
            <w:tcW w:w="5700" w:type="dxa"/>
            <w:vAlign w:val="bottom"/>
            <w:gridSpan w:val="2"/>
            <w:shd w:val="clear" w:color="auto" w:fill="CCEEFF"/>
          </w:tcPr>
          <w:p>
            <w:pPr>
              <w:ind w:left="56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Dividends</w:t>
            </w: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5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280"/>
              <w:spacing w:after="0"/>
              <w:rPr>
                <w:sz w:val="20"/>
                <w:szCs w:val="20"/>
                <w:color w:val="auto"/>
              </w:rPr>
            </w:pPr>
            <w:r>
              <w:rPr>
                <w:rFonts w:ascii="Arial" w:cs="Arial" w:eastAsia="Arial" w:hAnsi="Arial"/>
                <w:sz w:val="18"/>
                <w:szCs w:val="18"/>
                <w:color w:val="auto"/>
              </w:rPr>
              <w:t>Net investment income</w:t>
            </w:r>
          </w:p>
        </w:tc>
        <w:tc>
          <w:tcPr>
            <w:tcW w:w="5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5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Participant</w:t>
            </w: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Employer</w:t>
            </w: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Rollover</w:t>
            </w:r>
          </w:p>
        </w:tc>
        <w:tc>
          <w:tcPr>
            <w:tcW w:w="5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280"/>
              <w:spacing w:after="0"/>
              <w:rPr>
                <w:sz w:val="20"/>
                <w:szCs w:val="20"/>
                <w:color w:val="auto"/>
              </w:rPr>
            </w:pPr>
            <w:r>
              <w:rPr>
                <w:rFonts w:ascii="Arial" w:cs="Arial" w:eastAsia="Arial" w:hAnsi="Arial"/>
                <w:sz w:val="18"/>
                <w:szCs w:val="18"/>
                <w:color w:val="auto"/>
              </w:rPr>
              <w:t>Total contributions</w:t>
            </w:r>
          </w:p>
        </w:tc>
        <w:tc>
          <w:tcPr>
            <w:tcW w:w="5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390,562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5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income on notes receivable from participants</w:t>
            </w: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5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Total additions</w:t>
            </w:r>
          </w:p>
        </w:tc>
        <w:tc>
          <w:tcPr>
            <w:tcW w:w="5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ATTRIBUTED TO:</w:t>
            </w: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Benefits paid to participants</w:t>
            </w: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expenses</w:t>
            </w:r>
          </w:p>
        </w:tc>
        <w:tc>
          <w:tcPr>
            <w:tcW w:w="5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Total deductions</w:t>
            </w:r>
          </w:p>
        </w:tc>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increase</w:t>
            </w: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2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5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2,781,013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End of year</w:t>
            </w:r>
          </w:p>
        </w:tc>
        <w:tc>
          <w:tcPr>
            <w:tcW w:w="5700" w:type="dxa"/>
            <w:vAlign w:val="bottom"/>
            <w:gridSpan w:val="2"/>
          </w:tcPr>
          <w:p>
            <w:pPr>
              <w:ind w:left="56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3,272,394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20" w:type="dxa"/>
            <w:vAlign w:val="bottom"/>
            <w:gridSpan w:val="2"/>
            <w:vMerge w:val="continue"/>
          </w:tcPr>
          <w:p>
            <w:pPr>
              <w:spacing w:after="0"/>
              <w:rPr>
                <w:sz w:val="24"/>
                <w:szCs w:val="24"/>
                <w:color w:val="auto"/>
              </w:rPr>
            </w:pPr>
          </w:p>
        </w:tc>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600" w:type="dxa"/>
            <w:vAlign w:val="bottom"/>
          </w:tcPr>
          <w:p>
            <w:pPr>
              <w:jc w:val="right"/>
              <w:ind w:right="46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ind w:left="460" w:right="9220" w:hanging="452"/>
        <w:spacing w:after="0" w:line="391" w:lineRule="auto"/>
        <w:tabs>
          <w:tab w:leader="none" w:pos="44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DESCRIPTION </w:t>
      </w:r>
      <w:r>
        <w:rPr>
          <w:rFonts w:ascii="Arial" w:cs="Arial" w:eastAsia="Arial" w:hAnsi="Arial"/>
          <w:sz w:val="16"/>
          <w:szCs w:val="16"/>
          <w:u w:val="single" w:color="auto"/>
          <w:color w:val="auto"/>
        </w:rPr>
        <w:t>General</w:t>
      </w:r>
    </w:p>
    <w:p>
      <w:pPr>
        <w:ind w:left="460" w:right="2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Administrator, Comcast Corporation (“Comcast”, the “Company” or the “Plan Administrator”).</w:t>
      </w:r>
    </w:p>
    <w:p>
      <w:pPr>
        <w:spacing w:after="0" w:line="25" w:lineRule="exact"/>
        <w:rPr>
          <w:rFonts w:ascii="Arial" w:cs="Arial" w:eastAsia="Arial" w:hAnsi="Arial"/>
          <w:sz w:val="16"/>
          <w:szCs w:val="16"/>
          <w:b w:val="1"/>
          <w:bCs w:val="1"/>
          <w:color w:val="auto"/>
        </w:rPr>
      </w:pPr>
    </w:p>
    <w:p>
      <w:pPr>
        <w:ind w:left="460" w:right="2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The Plan is a defined contribution plan qualified under Internal Revenue Code (the “Code”) Sections 401(a), 401(k)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25" w:lineRule="exact"/>
        <w:rPr>
          <w:rFonts w:ascii="Arial" w:cs="Arial" w:eastAsia="Arial" w:hAnsi="Arial"/>
          <w:sz w:val="16"/>
          <w:szCs w:val="16"/>
          <w:b w:val="1"/>
          <w:bCs w:val="1"/>
          <w:color w:val="auto"/>
        </w:rPr>
      </w:pPr>
    </w:p>
    <w:p>
      <w:pPr>
        <w:ind w:left="460" w:right="8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Employees become eligible to participate in the Plan in the first month after completion of three months of service and shall be automatically enrolled in the Plan at a contribution rate equal to two percent of eligible compensation on a pre-tax basis unless they opt out of participation. Automatically-enrolled participants may thereafter increase or decrease their contribution. The maximum amount of eligible compensation that may be deferred is 50%, subject to certain limits imposed by the Code. Effective January 1, 2010, the Company matches 100% of the participant’s contribution up to 4.5% of the participant’s eligible compensation for such payroll period. Rollover contributions represent participant assets transferred to the Plan from other qualified retirement plans.</w:t>
      </w:r>
    </w:p>
    <w:p>
      <w:pPr>
        <w:spacing w:after="0" w:line="63" w:lineRule="exact"/>
        <w:rPr>
          <w:rFonts w:ascii="Arial" w:cs="Arial" w:eastAsia="Arial" w:hAnsi="Arial"/>
          <w:sz w:val="16"/>
          <w:szCs w:val="16"/>
          <w:b w:val="1"/>
          <w:bCs w:val="1"/>
          <w:color w:val="auto"/>
        </w:rPr>
      </w:pPr>
    </w:p>
    <w:p>
      <w:pPr>
        <w:ind w:left="460" w:right="2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Each participant has at all times a 100% nonforfeitable interest in the participant’s contributions and earnings attributable thereto. Company matching contributions for Plan years beginning after December 31, 2000 are fully and immediately vested. Company matching contributions for Plan years ended on or prior to December 31, 2000 vested according to years of service.</w:t>
      </w:r>
    </w:p>
    <w:p>
      <w:pPr>
        <w:spacing w:after="0" w:line="59" w:lineRule="exact"/>
        <w:rPr>
          <w:rFonts w:ascii="Arial" w:cs="Arial" w:eastAsia="Arial" w:hAnsi="Arial"/>
          <w:sz w:val="16"/>
          <w:szCs w:val="16"/>
          <w:b w:val="1"/>
          <w:bCs w:val="1"/>
          <w:color w:val="auto"/>
        </w:rPr>
      </w:pPr>
    </w:p>
    <w:p>
      <w:pPr>
        <w:ind w:left="46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Administrator. Effective January 1, 2010 the participants in the Plan were assessed a $19 per year administrative fee per account.</w:t>
      </w:r>
    </w:p>
    <w:p>
      <w:pPr>
        <w:spacing w:after="0" w:line="62" w:lineRule="exact"/>
        <w:rPr>
          <w:rFonts w:ascii="Arial" w:cs="Arial" w:eastAsia="Arial" w:hAnsi="Arial"/>
          <w:sz w:val="16"/>
          <w:szCs w:val="16"/>
          <w:b w:val="1"/>
          <w:bCs w:val="1"/>
          <w:color w:val="auto"/>
        </w:rPr>
      </w:pPr>
    </w:p>
    <w:p>
      <w:pPr>
        <w:ind w:left="460" w:right="20"/>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Amounts contributed by the Company which are forfeited by participants as a result of the participants’ separation from service prior to becoming 100% vested shall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Forfeitures used for the year ended December 31, 2010 amounted to $92,780. Outstanding forfeitures not yet applied against Company contributions at December 31, 2010 and 2009 were $4,671 and $46,862, respectively.</w:t>
      </w:r>
    </w:p>
    <w:p>
      <w:pPr>
        <w:spacing w:after="0" w:line="39" w:lineRule="exact"/>
        <w:rPr>
          <w:rFonts w:ascii="Arial" w:cs="Arial" w:eastAsia="Arial" w:hAnsi="Arial"/>
          <w:sz w:val="16"/>
          <w:szCs w:val="16"/>
          <w:b w:val="1"/>
          <w:bCs w:val="1"/>
          <w:color w:val="auto"/>
        </w:rPr>
      </w:pPr>
    </w:p>
    <w:p>
      <w:pPr>
        <w:ind w:left="460" w:right="1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Any participant who has a separation from service for any reason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annual or quarterly installments, a rollover into another qualified plan, or any combination of the foregoing.</w:t>
      </w:r>
    </w:p>
    <w:p>
      <w:pPr>
        <w:spacing w:after="0" w:line="14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Trustee</w:t>
      </w:r>
    </w:p>
    <w:p>
      <w:pPr>
        <w:spacing w:after="0" w:line="90"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Fidelity Management Trust Company is the appointed Trustee of the Plan.</w:t>
      </w:r>
    </w:p>
    <w:p>
      <w:pPr>
        <w:spacing w:after="0" w:line="286" w:lineRule="exact"/>
        <w:rPr>
          <w:rFonts w:ascii="Arial" w:cs="Arial" w:eastAsia="Arial" w:hAnsi="Arial"/>
          <w:sz w:val="16"/>
          <w:szCs w:val="16"/>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right="8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The financial statements of the Plan are presented using the accrual basis of accounting. The Plan’s investments are stated at fair value. Fair value of a financial instrument is the price that would be received to sell an asset or paid to transfer a liability in an orderly transaction between market participants at the measurement date. The Company’s common stock is valued at the closing price reported on the NASDAQ Global Select Market on the last business day of the Plan year. Money market funds are stated at amortized cost, which approximates fair value. Shares of mutual funds are valued at the net asset value of shares held by the Plan at year-end. The stable value fund is stated at fair value and then adjusted to contract value as described below. Fair value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stable value fund is the net asset value of its underlying investments and contract value is principal plus accrued interest. Notes receivable from participants are measured at their unpaid principal balance plus any accrued but unpaid interest.</w:t>
      </w:r>
    </w:p>
    <w:p>
      <w:pPr>
        <w:spacing w:after="0" w:line="5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Investment contracts, such as those included in the Comcast Stable Value Fund, are required to be reported at fair value. However, contract value is the relevant measure of fully benefit-responsive investment contracts since that is the amount participants would receive if they were to initiate permitted transactions under the terms of the Plan. As required by accounting principles generally accepted in the United States (“U.S. GAAP”), the Statements of Net Assets Available for Benefits present investments at fair value as well as an additional line item showing the adjustment of fully benefit-responsive investment contracts from fair value to contract value. The Statement of Changes in Net Assets Available for Benefits is presented on a contract value basis.</w:t>
      </w:r>
    </w:p>
    <w:p>
      <w:pPr>
        <w:spacing w:after="0" w:line="63"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Dividends are recorded on the ex-dividend date. Interest income is recorded on the accrual basis. Benefits are recorded when paid.</w:t>
      </w:r>
    </w:p>
    <w:p>
      <w:pPr>
        <w:spacing w:after="0" w:line="2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the amounts reported in the Statement of Net Assets Available for Benefits.</w:t>
      </w:r>
    </w:p>
    <w:p>
      <w:pPr>
        <w:spacing w:after="0" w:line="59" w:lineRule="exact"/>
        <w:rPr>
          <w:sz w:val="20"/>
          <w:szCs w:val="20"/>
          <w:color w:val="auto"/>
        </w:rPr>
      </w:pPr>
    </w:p>
    <w:p>
      <w:pPr>
        <w:ind w:right="200"/>
        <w:spacing w:after="0" w:line="357"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liabilities, and changes therein, and disclosure of contingent assets and liabilities. Actual results could differ from those estimates.</w:t>
      </w:r>
    </w:p>
    <w:p>
      <w:pPr>
        <w:spacing w:after="0" w:line="290" w:lineRule="auto"/>
        <w:rPr>
          <w:sz w:val="20"/>
          <w:szCs w:val="20"/>
          <w:color w:val="auto"/>
        </w:rPr>
      </w:pPr>
      <w:r>
        <w:rPr>
          <w:rFonts w:ascii="Arial" w:cs="Arial" w:eastAsia="Arial" w:hAnsi="Arial"/>
          <w:sz w:val="16"/>
          <w:szCs w:val="16"/>
          <w:color w:val="auto"/>
        </w:rPr>
        <w:t xml:space="preserve">In January 2010, the Financial Accounting Standards Board (FASB) issued Accounting Standards Update (ASU) No. 2010-06,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Disclosures</w:t>
      </w:r>
      <w:r>
        <w:rPr>
          <w:rFonts w:ascii="Arial" w:cs="Arial" w:eastAsia="Arial" w:hAnsi="Arial"/>
          <w:sz w:val="16"/>
          <w:szCs w:val="16"/>
          <w:color w:val="auto"/>
        </w:rPr>
        <w:t>, which amends ASC 820,</w:t>
      </w:r>
      <w:r>
        <w:rPr>
          <w:rFonts w:ascii="Arial" w:cs="Arial" w:eastAsia="Arial" w:hAnsi="Arial"/>
          <w:sz w:val="16"/>
          <w:szCs w:val="16"/>
          <w:i w:val="1"/>
          <w:iCs w:val="1"/>
          <w:color w:val="auto"/>
        </w:rPr>
        <w:t xml:space="preserve"> Fair Value Measurements and Disclosures</w:t>
      </w:r>
      <w:r>
        <w:rPr>
          <w:rFonts w:ascii="Arial" w:cs="Arial" w:eastAsia="Arial" w:hAnsi="Arial"/>
          <w:sz w:val="16"/>
          <w:szCs w:val="16"/>
          <w:color w:val="auto"/>
        </w:rPr>
        <w:t>, adding new disclosure requirements for Levels 1 and 2,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of purchases, sales, issuances, and settlements relating to Level 3 measurements and clarification of existing fair value disclosures. ASU No. 2010-06 is effective for periods beginning after December 15, 2009, except for the requirement to provide Level 3 activity of purchases, sales, issuances, and settlements on a gross basis, which will be effective for fiscal years beginning after December 15, 2010. The Plan prospectively adopted the new guidance in 2010, except for the Level 3 reconciliation disclosures, which are required in 2011. The adoption in 2010 did not affect, and the future adoption is not expected to affect, the Plan’s financial statements.</w:t>
      </w:r>
    </w:p>
    <w:p>
      <w:pPr>
        <w:spacing w:after="0" w:line="3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September 2010, the FASB issued ASU No. 2010-25</w:t>
      </w:r>
      <w:r>
        <w:rPr>
          <w:rFonts w:ascii="Arial" w:cs="Arial" w:eastAsia="Arial" w:hAnsi="Arial"/>
          <w:sz w:val="18"/>
          <w:szCs w:val="18"/>
          <w:i w:val="1"/>
          <w:iCs w:val="1"/>
          <w:color w:val="auto"/>
        </w:rPr>
        <w:t>, Reporting Loans to Participants by Defined Contribution Pension Plans</w:t>
      </w:r>
      <w:r>
        <w:rPr>
          <w:rFonts w:ascii="Arial" w:cs="Arial" w:eastAsia="Arial" w:hAnsi="Arial"/>
          <w:sz w:val="18"/>
          <w:szCs w:val="18"/>
          <w:color w:val="auto"/>
        </w:rPr>
        <w:t>. The ASU requires that participant loans be classified as notes receivable rather than a plan investment and measured at unpaid principal balance plus accrued but unpaid interest rather than fair value. The Plan retrospectively adopted the new accounting in 2010. The adoption did not have a material effect on the Plan’s financial statements. As a result, the Statement of Net Assets Available for Benefits at December 31, 2009 was not restated; however, we removed the participant loans from the ASC 820 Fair Value Measurements tabular footnote disclosure for the year ended December 31, 2009 to be consistent with the current year presentation.</w:t>
      </w:r>
    </w:p>
    <w:p>
      <w:pPr>
        <w:spacing w:after="0" w:line="13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700" w:top="280" w:right="319" w:bottom="1440" w:gutter="0" w:footer="0" w:header="0"/>
        </w:sectPr>
      </w:pPr>
    </w:p>
    <w:bookmarkStart w:id="8" w:name="page9"/>
    <w:bookmarkEnd w:id="8"/>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fair market value of investments held by the Plan representing 5% or more of the Plan’s assets are identified below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6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64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3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Dodge and Cox Balanced Fund</w:t>
            </w:r>
          </w:p>
        </w:tc>
        <w:tc>
          <w:tcPr>
            <w:tcW w:w="4020" w:type="dxa"/>
            <w:vAlign w:val="bottom"/>
            <w:gridSpan w:val="3"/>
          </w:tcPr>
          <w:p>
            <w:pPr>
              <w:jc w:val="right"/>
              <w:ind w:right="320"/>
              <w:spacing w:after="0"/>
              <w:rPr>
                <w:sz w:val="20"/>
                <w:szCs w:val="20"/>
                <w:color w:val="auto"/>
              </w:rPr>
            </w:pPr>
            <w:r>
              <w:rPr>
                <w:rFonts w:ascii="Arial" w:cs="Arial" w:eastAsia="Arial" w:hAnsi="Arial"/>
                <w:sz w:val="18"/>
                <w:szCs w:val="18"/>
                <w:color w:val="auto"/>
              </w:rPr>
              <w:t>$191,340</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$169,295</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Diversified International Fund</w:t>
            </w:r>
          </w:p>
        </w:tc>
        <w:tc>
          <w:tcPr>
            <w:tcW w:w="4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197,102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180,598</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Fidelity Spartan 500 Index Advantage Fund</w:t>
            </w:r>
          </w:p>
        </w:tc>
        <w:tc>
          <w:tcPr>
            <w:tcW w:w="4020" w:type="dxa"/>
            <w:vAlign w:val="bottom"/>
            <w:gridSpan w:val="3"/>
          </w:tcPr>
          <w:p>
            <w:pPr>
              <w:jc w:val="right"/>
              <w:ind w:right="320"/>
              <w:spacing w:after="0"/>
              <w:rPr>
                <w:sz w:val="20"/>
                <w:szCs w:val="20"/>
                <w:color w:val="auto"/>
              </w:rPr>
            </w:pPr>
            <w:r>
              <w:rPr>
                <w:rFonts w:ascii="Arial" w:cs="Arial" w:eastAsia="Arial" w:hAnsi="Arial"/>
                <w:sz w:val="18"/>
                <w:szCs w:val="18"/>
                <w:color w:val="auto"/>
              </w:rPr>
              <w:t>167,700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146,341</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Pimco Total Return Institutional Fund</w:t>
            </w:r>
          </w:p>
        </w:tc>
        <w:tc>
          <w:tcPr>
            <w:tcW w:w="4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174,573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6640" w:type="dxa"/>
            <w:vAlign w:val="bottom"/>
          </w:tcPr>
          <w:p>
            <w:pPr>
              <w:spacing w:after="0"/>
              <w:rPr>
                <w:sz w:val="20"/>
                <w:szCs w:val="20"/>
                <w:color w:val="auto"/>
              </w:rPr>
            </w:pPr>
            <w:r>
              <w:rPr>
                <w:rFonts w:ascii="Arial" w:cs="Arial" w:eastAsia="Arial" w:hAnsi="Arial"/>
                <w:sz w:val="18"/>
                <w:szCs w:val="18"/>
                <w:color w:val="auto"/>
              </w:rPr>
              <w:t>Separate account</w:t>
            </w:r>
          </w:p>
        </w:tc>
        <w:tc>
          <w:tcPr>
            <w:tcW w:w="3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 Rowe Price Blue Chip Growth Fund</w:t>
            </w:r>
          </w:p>
        </w:tc>
        <w:tc>
          <w:tcPr>
            <w:tcW w:w="4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213,652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184,759</w:t>
            </w:r>
          </w:p>
        </w:tc>
        <w:tc>
          <w:tcPr>
            <w:tcW w:w="100" w:type="dxa"/>
            <w:vAlign w:val="bottom"/>
            <w:shd w:val="clear" w:color="auto" w:fill="CCEEFF"/>
          </w:tcPr>
          <w:p>
            <w:pPr>
              <w:spacing w:after="0"/>
              <w:rPr>
                <w:sz w:val="18"/>
                <w:szCs w:val="18"/>
                <w:color w:val="auto"/>
              </w:rPr>
            </w:pPr>
          </w:p>
        </w:tc>
      </w:tr>
      <w:tr>
        <w:trPr>
          <w:trHeight w:val="323"/>
        </w:trPr>
        <w:tc>
          <w:tcPr>
            <w:tcW w:w="6640" w:type="dxa"/>
            <w:vAlign w:val="bottom"/>
          </w:tcPr>
          <w:p>
            <w:pPr>
              <w:spacing w:after="0"/>
              <w:rPr>
                <w:sz w:val="20"/>
                <w:szCs w:val="20"/>
                <w:color w:val="auto"/>
              </w:rPr>
            </w:pPr>
            <w:r>
              <w:rPr>
                <w:rFonts w:ascii="Arial" w:cs="Arial" w:eastAsia="Arial" w:hAnsi="Arial"/>
                <w:sz w:val="18"/>
                <w:szCs w:val="18"/>
                <w:color w:val="auto"/>
              </w:rPr>
              <w:t>Comcast Corporation Stock</w:t>
            </w:r>
          </w:p>
        </w:tc>
        <w:tc>
          <w:tcPr>
            <w:tcW w:w="3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w:t>
            </w:r>
          </w:p>
        </w:tc>
        <w:tc>
          <w:tcPr>
            <w:tcW w:w="4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220,774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167,894</w:t>
            </w:r>
          </w:p>
        </w:tc>
        <w:tc>
          <w:tcPr>
            <w:tcW w:w="100" w:type="dxa"/>
            <w:vAlign w:val="bottom"/>
            <w:shd w:val="clear" w:color="auto" w:fill="CCEEFF"/>
          </w:tcPr>
          <w:p>
            <w:pPr>
              <w:spacing w:after="0"/>
              <w:rPr>
                <w:sz w:val="18"/>
                <w:szCs w:val="18"/>
                <w:color w:val="auto"/>
              </w:rPr>
            </w:pPr>
          </w:p>
        </w:tc>
      </w:tr>
      <w:tr>
        <w:trPr>
          <w:trHeight w:val="323"/>
        </w:trPr>
        <w:tc>
          <w:tcPr>
            <w:tcW w:w="6640" w:type="dxa"/>
            <w:vAlign w:val="bottom"/>
          </w:tcPr>
          <w:p>
            <w:pPr>
              <w:spacing w:after="0"/>
              <w:rPr>
                <w:sz w:val="20"/>
                <w:szCs w:val="20"/>
                <w:color w:val="auto"/>
              </w:rPr>
            </w:pPr>
            <w:r>
              <w:rPr>
                <w:rFonts w:ascii="Arial" w:cs="Arial" w:eastAsia="Arial" w:hAnsi="Arial"/>
                <w:sz w:val="18"/>
                <w:szCs w:val="18"/>
                <w:color w:val="auto"/>
              </w:rPr>
              <w:t>Comcast Stable Value Fund</w:t>
            </w:r>
          </w:p>
        </w:tc>
        <w:tc>
          <w:tcPr>
            <w:tcW w:w="3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Street Bank and Trust Company Boston</w:t>
            </w:r>
          </w:p>
        </w:tc>
        <w:tc>
          <w:tcPr>
            <w:tcW w:w="3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142,309</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JP Morgan Chase</w:t>
            </w:r>
          </w:p>
        </w:tc>
        <w:tc>
          <w:tcPr>
            <w:tcW w:w="4020" w:type="dxa"/>
            <w:vAlign w:val="bottom"/>
            <w:gridSpan w:val="3"/>
          </w:tcPr>
          <w:p>
            <w:pPr>
              <w:jc w:val="right"/>
              <w:ind w:right="320"/>
              <w:spacing w:after="0"/>
              <w:rPr>
                <w:sz w:val="20"/>
                <w:szCs w:val="20"/>
                <w:color w:val="auto"/>
              </w:rPr>
            </w:pPr>
            <w:r>
              <w:rPr>
                <w:rFonts w:ascii="Arial" w:cs="Arial" w:eastAsia="Arial" w:hAnsi="Arial"/>
                <w:sz w:val="18"/>
                <w:szCs w:val="18"/>
                <w:color w:val="auto"/>
              </w:rPr>
              <w:t>195,336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192,684</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Natixis</w:t>
            </w:r>
          </w:p>
        </w:tc>
        <w:tc>
          <w:tcPr>
            <w:tcW w:w="3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142,299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left="460" w:right="220"/>
        <w:spacing w:after="0" w:line="268" w:lineRule="auto"/>
        <w:rPr>
          <w:sz w:val="20"/>
          <w:szCs w:val="20"/>
          <w:color w:val="auto"/>
        </w:rPr>
      </w:pPr>
      <w:r>
        <w:rPr>
          <w:rFonts w:ascii="Arial" w:cs="Arial" w:eastAsia="Arial" w:hAnsi="Arial"/>
          <w:sz w:val="18"/>
          <w:szCs w:val="18"/>
          <w:color w:val="auto"/>
        </w:rPr>
        <w:t>During 2010, the Plan’s investments, including investments purchased and sold, as well as held during the year, appreciated (depreciated) in fair value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Comcast Class A</w:t>
            </w:r>
          </w:p>
        </w:tc>
        <w:tc>
          <w:tcPr>
            <w:tcW w:w="3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Comcast Class A Special</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0" w:type="dxa"/>
            <w:vAlign w:val="bottom"/>
          </w:tcPr>
          <w:p>
            <w:pPr>
              <w:ind w:left="860"/>
              <w:spacing w:after="0"/>
              <w:rPr>
                <w:sz w:val="20"/>
                <w:szCs w:val="20"/>
                <w:color w:val="auto"/>
              </w:rPr>
            </w:pPr>
            <w:r>
              <w:rPr>
                <w:rFonts w:ascii="Arial" w:cs="Arial" w:eastAsia="Arial" w:hAnsi="Arial"/>
                <w:sz w:val="18"/>
                <w:szCs w:val="18"/>
                <w:color w:val="auto"/>
              </w:rPr>
              <w:t>Total common stock</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59,914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Domestic stock funds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Balanced funds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0" w:type="dxa"/>
            <w:vAlign w:val="bottom"/>
          </w:tcPr>
          <w:p>
            <w:pPr>
              <w:ind w:left="860"/>
              <w:spacing w:after="0"/>
              <w:rPr>
                <w:sz w:val="20"/>
                <w:szCs w:val="20"/>
                <w:color w:val="auto"/>
              </w:rPr>
            </w:pPr>
            <w:r>
              <w:rPr>
                <w:rFonts w:ascii="Arial" w:cs="Arial" w:eastAsia="Arial" w:hAnsi="Arial"/>
                <w:sz w:val="18"/>
                <w:szCs w:val="18"/>
                <w:color w:val="auto"/>
              </w:rPr>
              <w:t>Total mutual funds</w:t>
            </w:r>
          </w:p>
        </w:tc>
        <w:tc>
          <w:tcPr>
            <w:tcW w:w="3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125,778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Separate account</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30,266</w:t>
            </w:r>
          </w:p>
        </w:tc>
        <w:tc>
          <w:tcPr>
            <w:tcW w:w="0" w:type="dxa"/>
            <w:vAlign w:val="bottom"/>
          </w:tcPr>
          <w:p>
            <w:pPr>
              <w:spacing w:after="0"/>
              <w:rPr>
                <w:sz w:val="1"/>
                <w:szCs w:val="1"/>
                <w:color w:val="auto"/>
              </w:rPr>
            </w:pPr>
          </w:p>
        </w:tc>
      </w:tr>
      <w:tr>
        <w:trPr>
          <w:trHeight w:val="331"/>
        </w:trPr>
        <w:tc>
          <w:tcPr>
            <w:tcW w:w="6020" w:type="dxa"/>
            <w:vAlign w:val="bottom"/>
            <w:gridSpan w:val="2"/>
          </w:tcPr>
          <w:p>
            <w:pPr>
              <w:spacing w:after="0"/>
              <w:rPr>
                <w:sz w:val="20"/>
                <w:szCs w:val="20"/>
                <w:color w:val="auto"/>
              </w:rPr>
            </w:pPr>
            <w:r>
              <w:rPr>
                <w:rFonts w:ascii="Arial" w:cs="Arial" w:eastAsia="Arial" w:hAnsi="Arial"/>
                <w:sz w:val="18"/>
                <w:szCs w:val="18"/>
                <w:color w:val="auto"/>
              </w:rPr>
              <w:t>Common collective trusts</w:t>
            </w:r>
          </w:p>
        </w:tc>
        <w:tc>
          <w:tcPr>
            <w:tcW w:w="3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306,346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460" w:right="200"/>
        <w:spacing w:after="0" w:line="306" w:lineRule="auto"/>
        <w:rPr>
          <w:sz w:val="20"/>
          <w:szCs w:val="20"/>
          <w:color w:val="auto"/>
        </w:rPr>
      </w:pPr>
      <w:r>
        <w:rPr>
          <w:rFonts w:ascii="Arial" w:cs="Arial" w:eastAsia="Arial" w:hAnsi="Arial"/>
          <w:sz w:val="16"/>
          <w:szCs w:val="16"/>
          <w:color w:val="auto"/>
        </w:rPr>
        <w:t>As described in Note 2, included in the Comcast Stable Value Fund are fully benefit-responsive investment contracts, which are carried at contract value. The rate at which interest is credited to the Plan is that determined under the contract, consistent with reflecting participant balances at contract value as opposed to the market value of the underlying assets. Interest rates are reset quarterly by the issuers of the investment contracts.</w:t>
      </w:r>
    </w:p>
    <w:p>
      <w:pPr>
        <w:spacing w:after="0" w:line="26"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The average yield of investment contracts held as of December 31, 2010 and 2009 was 2.30% and 2.42%, respectively. When adjusted to reflect the actual interest credited to the Plan, the average yield of investment contracts held as of both December 31, 2010 and 2009 was 2.12%.</w:t>
      </w:r>
    </w:p>
    <w:p>
      <w:pPr>
        <w:spacing w:after="0" w:line="4"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The following table summarizes the adjustments from fair value to contract value related to the fully benefit-responsive investment contracts included in the Comcast Stable Value Fund: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3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Credit Rating</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State Street Bank and Trust Company Boston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JP Morgan Chase</w:t>
            </w:r>
          </w:p>
        </w:tc>
        <w:tc>
          <w:tcPr>
            <w:tcW w:w="800" w:type="dxa"/>
            <w:vAlign w:val="bottom"/>
          </w:tcPr>
          <w:p>
            <w:pPr>
              <w:jc w:val="center"/>
              <w:spacing w:after="0"/>
              <w:rPr>
                <w:sz w:val="20"/>
                <w:szCs w:val="20"/>
                <w:color w:val="auto"/>
              </w:rPr>
            </w:pPr>
            <w:r>
              <w:rPr>
                <w:rFonts w:ascii="Arial" w:cs="Arial" w:eastAsia="Arial" w:hAnsi="Arial"/>
                <w:sz w:val="18"/>
                <w:szCs w:val="18"/>
                <w:color w:val="auto"/>
              </w:rPr>
              <w:t>AA-</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(4,705)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(1,059)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Natixis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(3,470)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AIG Financial Products Corp</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(2,235)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(1,058)</w:t>
            </w:r>
          </w:p>
        </w:tc>
      </w:tr>
      <w:tr>
        <w:trPr>
          <w:trHeight w:val="27"/>
        </w:trPr>
        <w:tc>
          <w:tcPr>
            <w:tcW w:w="7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(13,880)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(4,235)</w:t>
            </w:r>
          </w:p>
        </w:tc>
      </w:tr>
      <w:tr>
        <w:trPr>
          <w:trHeight w:val="20"/>
        </w:trPr>
        <w:tc>
          <w:tcPr>
            <w:tcW w:w="7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60"/>
        <w:spacing w:after="0" w:line="268" w:lineRule="auto"/>
        <w:rPr>
          <w:sz w:val="20"/>
          <w:szCs w:val="20"/>
          <w:color w:val="auto"/>
        </w:rPr>
      </w:pPr>
      <w:r>
        <w:rPr>
          <w:rFonts w:ascii="Arial" w:cs="Arial" w:eastAsia="Arial" w:hAnsi="Arial"/>
          <w:sz w:val="18"/>
          <w:szCs w:val="18"/>
          <w:color w:val="auto"/>
        </w:rPr>
        <w:t>There are certain events, such as the Plan’s failure to qualify under Section 401(a) or 401(k) of the Code, which can limit the fund’s ability to transact at contract value. At this time, the occurrence of any such limiting event is not probable.</w:t>
      </w:r>
    </w:p>
    <w:p>
      <w:pPr>
        <w:spacing w:after="0" w:line="51"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A contract issuer may terminate a contract at any time. Settlement upon termination will be at contract value unless the terms of the contract were not met or the Trustee’s authority over the Plan is limited or terminated.</w:t>
      </w:r>
    </w:p>
    <w:p>
      <w:pPr>
        <w:spacing w:after="0" w:line="4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ASC 820 establishes a hierarchy that prioritizes fair value measurements based on the types of inputs used for the various valuation techniques. The levels of the hierarchy are described below:</w:t>
      </w:r>
    </w:p>
    <w:p>
      <w:pPr>
        <w:spacing w:after="0" w:line="50" w:lineRule="exact"/>
        <w:rPr>
          <w:rFonts w:ascii="Arial" w:cs="Arial" w:eastAsia="Arial" w:hAnsi="Arial"/>
          <w:sz w:val="18"/>
          <w:szCs w:val="18"/>
          <w:b w:val="1"/>
          <w:bCs w:val="1"/>
          <w:color w:val="auto"/>
        </w:rPr>
      </w:pPr>
    </w:p>
    <w:p>
      <w:pPr>
        <w:ind w:left="1420" w:right="880" w:hanging="94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Level 1Consists of financial instruments whose values are based on quoted market prices for identical financial instruments in an active market.</w:t>
      </w:r>
    </w:p>
    <w:p>
      <w:pPr>
        <w:spacing w:after="0" w:line="77" w:lineRule="exact"/>
        <w:rPr>
          <w:rFonts w:ascii="Arial" w:cs="Arial" w:eastAsia="Arial" w:hAnsi="Arial"/>
          <w:sz w:val="18"/>
          <w:szCs w:val="18"/>
          <w:b w:val="1"/>
          <w:bCs w:val="1"/>
          <w:color w:val="auto"/>
        </w:rPr>
      </w:pPr>
    </w:p>
    <w:p>
      <w:pPr>
        <w:ind w:left="1420" w:right="780" w:hanging="94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Level 2Consists of financial instruments that are valued using models or other valuation methodologies. These models use inputs that are observable either directly or indirectly and include:</w:t>
      </w:r>
    </w:p>
    <w:p>
      <w:pPr>
        <w:spacing w:after="0" w:line="253" w:lineRule="exact"/>
        <w:rPr>
          <w:rFonts w:ascii="Arial" w:cs="Arial" w:eastAsia="Arial" w:hAnsi="Arial"/>
          <w:sz w:val="18"/>
          <w:szCs w:val="18"/>
          <w:b w:val="1"/>
          <w:bCs w:val="1"/>
          <w:color w:val="auto"/>
        </w:rPr>
      </w:pPr>
    </w:p>
    <w:p>
      <w:pPr>
        <w:ind w:left="1920" w:hanging="318"/>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financial instrument;</w:t>
      </w:r>
    </w:p>
    <w:p>
      <w:pPr>
        <w:spacing w:after="0" w:line="90" w:lineRule="exact"/>
        <w:rPr>
          <w:rFonts w:ascii="Arial" w:cs="Arial" w:eastAsia="Arial" w:hAnsi="Arial"/>
          <w:sz w:val="18"/>
          <w:szCs w:val="18"/>
          <w:color w:val="auto"/>
        </w:rPr>
      </w:pPr>
    </w:p>
    <w:p>
      <w:pPr>
        <w:ind w:left="1920" w:right="320" w:hanging="318"/>
        <w:spacing w:after="0" w:line="268"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51" w:lineRule="exact"/>
        <w:rPr>
          <w:sz w:val="20"/>
          <w:szCs w:val="20"/>
          <w:color w:val="auto"/>
        </w:rPr>
      </w:pPr>
    </w:p>
    <w:p>
      <w:pPr>
        <w:ind w:left="1420" w:right="680" w:hanging="944"/>
        <w:spacing w:after="0" w:line="268" w:lineRule="auto"/>
        <w:tabs>
          <w:tab w:leader="none" w:pos="14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Consists of financial instruments whose values are determined using pricing models that utilize significant inputs that are primarily unobservable and significant to the fair value measurement.</w:t>
      </w:r>
    </w:p>
    <w:p>
      <w:pPr>
        <w:spacing w:after="0" w:line="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Mutual funds, separate account and common collective trusts: Valued at the net asset value of shares held by the Plan at year end.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stocks: Valued at the closing price reported on the active market on which the individual securities are traded.</w:t>
      </w:r>
    </w:p>
    <w:p>
      <w:pPr>
        <w:spacing w:after="0" w:line="90"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Guaranteed investment contracts: Valued at fair value by discounting the related cash flows based on current yields of similar instruments with comparable durations considering the credit-worthiness of the issuer.</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63"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sets forth by level, within the fair value hierarchy, the Plan’s assets at fair value as of December 31, 2010 and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4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4"/>
                <w:szCs w:val="14"/>
                <w:b w:val="1"/>
                <w:bCs w:val="1"/>
                <w:color w:val="auto"/>
                <w:w w:val="88"/>
              </w:rPr>
              <w:t>Assets at Fair Value as of December 31, 2010 (in thousands)</w:t>
            </w: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9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84"/>
              </w:rPr>
              <w:t>Level 3</w:t>
            </w: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Comcast Class A</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220,774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Comcast Class A Special</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860"/>
              <w:spacing w:after="0"/>
              <w:rPr>
                <w:sz w:val="20"/>
                <w:szCs w:val="20"/>
                <w:color w:val="auto"/>
              </w:rPr>
            </w:pPr>
            <w:r>
              <w:rPr>
                <w:rFonts w:ascii="Arial" w:cs="Arial" w:eastAsia="Arial" w:hAnsi="Arial"/>
                <w:sz w:val="18"/>
                <w:szCs w:val="18"/>
                <w:color w:val="auto"/>
              </w:rPr>
              <w:t>Total common stock</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255,586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Domestic stock funds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659,073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659,073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308,284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Balanced funds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191,340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174,573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mutual funds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1,333,275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1,333,275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40" w:type="dxa"/>
            <w:vAlign w:val="bottom"/>
            <w:gridSpan w:val="2"/>
          </w:tcPr>
          <w:p>
            <w:pPr>
              <w:spacing w:after="0"/>
              <w:rPr>
                <w:sz w:val="20"/>
                <w:szCs w:val="20"/>
                <w:color w:val="auto"/>
              </w:rPr>
            </w:pPr>
            <w:r>
              <w:rPr>
                <w:rFonts w:ascii="Arial" w:cs="Arial" w:eastAsia="Arial" w:hAnsi="Arial"/>
                <w:sz w:val="18"/>
                <w:szCs w:val="18"/>
                <w:color w:val="auto"/>
              </w:rPr>
              <w:t>Separate account</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213,652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213,652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757,332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840" w:type="dxa"/>
            <w:vAlign w:val="bottom"/>
            <w:gridSpan w:val="2"/>
          </w:tcPr>
          <w:p>
            <w:pPr>
              <w:spacing w:after="0"/>
              <w:rPr>
                <w:sz w:val="20"/>
                <w:szCs w:val="20"/>
                <w:color w:val="auto"/>
              </w:rPr>
            </w:pPr>
            <w:r>
              <w:rPr>
                <w:rFonts w:ascii="Arial" w:cs="Arial" w:eastAsia="Arial" w:hAnsi="Arial"/>
                <w:sz w:val="18"/>
                <w:szCs w:val="18"/>
                <w:color w:val="auto"/>
              </w:rPr>
              <w:t>Comcast Stable Value Fund</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 term investments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24,348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Guaranteed investment contracts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575,967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Comcast Stable Value Fund</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575,967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840" w:type="dxa"/>
            <w:vAlign w:val="bottom"/>
            <w:gridSpan w:val="2"/>
          </w:tcPr>
          <w:p>
            <w:pPr>
              <w:spacing w:after="0"/>
              <w:rPr>
                <w:sz w:val="20"/>
                <w:szCs w:val="20"/>
                <w:color w:val="auto"/>
              </w:rPr>
            </w:pPr>
            <w:r>
              <w:rPr>
                <w:rFonts w:ascii="Arial" w:cs="Arial" w:eastAsia="Arial" w:hAnsi="Arial"/>
                <w:sz w:val="18"/>
                <w:szCs w:val="18"/>
                <w:color w:val="auto"/>
              </w:rPr>
              <w:t>Total investments at fair value</w:t>
            </w:r>
          </w:p>
        </w:tc>
        <w:tc>
          <w:tcPr>
            <w:tcW w:w="3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1,613,209</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1,546,951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3,160,160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4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4"/>
                <w:szCs w:val="14"/>
                <w:b w:val="1"/>
                <w:bCs w:val="1"/>
                <w:color w:val="auto"/>
                <w:w w:val="88"/>
              </w:rPr>
              <w:t>Assets at Fair Value as of December 31, 2009 (in thousands)</w:t>
            </w: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4"/>
                <w:szCs w:val="24"/>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9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84"/>
              </w:rPr>
              <w:t>Level 3</w:t>
            </w: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Comcast Class A</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167,894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167,894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Comcast Class A Special</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29,759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860"/>
              <w:spacing w:after="0"/>
              <w:rPr>
                <w:sz w:val="20"/>
                <w:szCs w:val="20"/>
                <w:color w:val="auto"/>
              </w:rPr>
            </w:pPr>
            <w:r>
              <w:rPr>
                <w:rFonts w:ascii="Arial" w:cs="Arial" w:eastAsia="Arial" w:hAnsi="Arial"/>
                <w:sz w:val="18"/>
                <w:szCs w:val="18"/>
                <w:color w:val="auto"/>
              </w:rPr>
              <w:t>Total common stock</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197,653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Domestic stock funds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525,329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525,329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279,602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Balanced funds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169,295</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137,314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mutual funds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1,111,545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1,111,545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40" w:type="dxa"/>
            <w:vAlign w:val="bottom"/>
            <w:gridSpan w:val="2"/>
          </w:tcPr>
          <w:p>
            <w:pPr>
              <w:spacing w:after="0"/>
              <w:rPr>
                <w:sz w:val="20"/>
                <w:szCs w:val="20"/>
                <w:color w:val="auto"/>
              </w:rPr>
            </w:pPr>
            <w:r>
              <w:rPr>
                <w:rFonts w:ascii="Arial" w:cs="Arial" w:eastAsia="Arial" w:hAnsi="Arial"/>
                <w:sz w:val="18"/>
                <w:szCs w:val="18"/>
                <w:color w:val="auto"/>
              </w:rPr>
              <w:t>Separate account</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184,759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184,759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584,266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840" w:type="dxa"/>
            <w:vAlign w:val="bottom"/>
            <w:gridSpan w:val="2"/>
          </w:tcPr>
          <w:p>
            <w:pPr>
              <w:spacing w:after="0"/>
              <w:rPr>
                <w:sz w:val="20"/>
                <w:szCs w:val="20"/>
                <w:color w:val="auto"/>
              </w:rPr>
            </w:pPr>
            <w:r>
              <w:rPr>
                <w:rFonts w:ascii="Arial" w:cs="Arial" w:eastAsia="Arial" w:hAnsi="Arial"/>
                <w:sz w:val="18"/>
                <w:szCs w:val="18"/>
                <w:color w:val="auto"/>
              </w:rPr>
              <w:t>Comcast Stable Value Fund</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 term investments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22,705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420"/>
              <w:spacing w:after="0"/>
              <w:rPr>
                <w:sz w:val="20"/>
                <w:szCs w:val="20"/>
                <w:color w:val="auto"/>
              </w:rPr>
            </w:pPr>
            <w:r>
              <w:rPr>
                <w:rFonts w:ascii="Arial" w:cs="Arial" w:eastAsia="Arial" w:hAnsi="Arial"/>
                <w:sz w:val="18"/>
                <w:szCs w:val="18"/>
                <w:color w:val="auto"/>
              </w:rPr>
              <w:t>Guaranteed investment contracts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569,217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Comcast Stable Value Fund</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569,217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840" w:type="dxa"/>
            <w:vAlign w:val="bottom"/>
            <w:gridSpan w:val="2"/>
          </w:tcPr>
          <w:p>
            <w:pPr>
              <w:spacing w:after="0"/>
              <w:rPr>
                <w:sz w:val="20"/>
                <w:szCs w:val="20"/>
                <w:color w:val="auto"/>
              </w:rPr>
            </w:pPr>
            <w:r>
              <w:rPr>
                <w:rFonts w:ascii="Arial" w:cs="Arial" w:eastAsia="Arial" w:hAnsi="Arial"/>
                <w:sz w:val="18"/>
                <w:szCs w:val="18"/>
                <w:color w:val="auto"/>
              </w:rPr>
              <w:t>Total investments at fair value</w:t>
            </w:r>
          </w:p>
        </w:tc>
        <w:tc>
          <w:tcPr>
            <w:tcW w:w="35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1,331,903</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1,338,242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2,670,145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540" w:type="dxa"/>
            <w:vAlign w:val="bottom"/>
            <w:vMerge w:val="restart"/>
          </w:tcPr>
          <w:p>
            <w:pPr>
              <w:jc w:val="right"/>
              <w:ind w:right="154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 LOANS AND HARDSHIP WITHDRAWALS</w:t>
      </w:r>
    </w:p>
    <w:p>
      <w:pPr>
        <w:spacing w:after="0" w:line="96" w:lineRule="exact"/>
        <w:rPr>
          <w:rFonts w:ascii="Arial" w:cs="Arial" w:eastAsia="Arial" w:hAnsi="Arial"/>
          <w:sz w:val="18"/>
          <w:szCs w:val="18"/>
          <w:b w:val="1"/>
          <w:bCs w:val="1"/>
          <w:color w:val="auto"/>
        </w:rPr>
      </w:pPr>
    </w:p>
    <w:p>
      <w:pPr>
        <w:ind w:left="452"/>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 Interest accrues at the rate of prime plus 1% as of the month the loan application is approved. Principal and interest are paid through payroll deductions or participant initiated payments. Interest rates ranged from 4.25% to 10.5% for the year ended December 31, 2010. Maturities on active outstanding loans ranged from 2011 to 2038 for the year ended December 31, 2010. Loan transactions are treated as a transfer between the investment fund and notes receivable from participants.</w:t>
      </w:r>
    </w:p>
    <w:p>
      <w:pPr>
        <w:spacing w:after="0" w:line="37" w:lineRule="exact"/>
        <w:rPr>
          <w:rFonts w:ascii="Arial" w:cs="Arial" w:eastAsia="Arial" w:hAnsi="Arial"/>
          <w:sz w:val="18"/>
          <w:szCs w:val="18"/>
          <w:b w:val="1"/>
          <w:bCs w:val="1"/>
          <w:color w:val="auto"/>
        </w:rPr>
      </w:pPr>
    </w:p>
    <w:p>
      <w:pPr>
        <w:ind w:left="452"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Effective after a calendar quarter of non-repayment, a loan is considered to be in default. Defaulted loans are treated as distributions for tax purposes and become taxable income to the participant in the year in which the default occurs.</w:t>
      </w:r>
    </w:p>
    <w:p>
      <w:pPr>
        <w:spacing w:after="0" w:line="50" w:lineRule="exact"/>
        <w:rPr>
          <w:rFonts w:ascii="Arial" w:cs="Arial" w:eastAsia="Arial" w:hAnsi="Arial"/>
          <w:sz w:val="18"/>
          <w:szCs w:val="18"/>
          <w:b w:val="1"/>
          <w:bCs w:val="1"/>
          <w:color w:val="auto"/>
        </w:rPr>
      </w:pPr>
    </w:p>
    <w:p>
      <w:pPr>
        <w:ind w:left="452"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 participant may withdraw all or a portion of his/her benefits derived from salary reduction, rollovers or the vested portion of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258"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96" w:lineRule="exact"/>
        <w:rPr>
          <w:rFonts w:ascii="Arial" w:cs="Arial" w:eastAsia="Arial" w:hAnsi="Arial"/>
          <w:sz w:val="18"/>
          <w:szCs w:val="18"/>
          <w:b w:val="1"/>
          <w:bCs w:val="1"/>
          <w:color w:val="auto"/>
        </w:rPr>
      </w:pPr>
    </w:p>
    <w:p>
      <w:pPr>
        <w:ind w:left="452"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reconciliation of net assets available for benefits per the financial statements to the total net assets per the Form 5500 as of December 31, 2010 and the increase in net assets available for benefits per the financial statements to the net income per the Form 5500 for the year ended December 31, 2010 is as follows (in thousands):</w:t>
      </w:r>
    </w:p>
    <w:p>
      <w:pPr>
        <w:spacing w:after="0" w:line="176"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per the Form 5500</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December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available for benefits per the financial statements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Form 5500</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476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12"/>
          </w:cols>
          <w:pgMar w:left="248" w:top="274" w:right="239" w:bottom="1440" w:gutter="0" w:footer="0" w:header="0"/>
        </w:sectPr>
      </w:pPr>
    </w:p>
    <w:bookmarkStart w:id="12" w:name="page13"/>
    <w:bookmarkEnd w:id="12"/>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ADMINISTRATION OF THE PLAN</w:t>
      </w:r>
    </w:p>
    <w:p>
      <w:pPr>
        <w:spacing w:after="0" w:line="96" w:lineRule="exact"/>
        <w:rPr>
          <w:rFonts w:ascii="Arial" w:cs="Arial" w:eastAsia="Arial" w:hAnsi="Arial"/>
          <w:sz w:val="18"/>
          <w:szCs w:val="18"/>
          <w:b w:val="1"/>
          <w:bCs w:val="1"/>
          <w:color w:val="auto"/>
        </w:rPr>
      </w:pPr>
    </w:p>
    <w:p>
      <w:pPr>
        <w:ind w:left="452"/>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200"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96" w:lineRule="exact"/>
        <w:rPr>
          <w:rFonts w:ascii="Arial" w:cs="Arial" w:eastAsia="Arial" w:hAnsi="Arial"/>
          <w:sz w:val="18"/>
          <w:szCs w:val="18"/>
          <w:b w:val="1"/>
          <w:bCs w:val="1"/>
          <w:color w:val="auto"/>
        </w:rPr>
      </w:pPr>
    </w:p>
    <w:p>
      <w:pPr>
        <w:ind w:left="452" w:right="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200"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96" w:lineRule="exact"/>
        <w:rPr>
          <w:rFonts w:ascii="Arial" w:cs="Arial" w:eastAsia="Arial" w:hAnsi="Arial"/>
          <w:sz w:val="18"/>
          <w:szCs w:val="18"/>
          <w:b w:val="1"/>
          <w:bCs w:val="1"/>
          <w:color w:val="auto"/>
        </w:rPr>
      </w:pPr>
    </w:p>
    <w:p>
      <w:pPr>
        <w:ind w:left="1472" w:right="20" w:hanging="567"/>
        <w:spacing w:after="0" w:line="259" w:lineRule="auto"/>
        <w:tabs>
          <w:tab w:leader="none" w:pos="1472"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 Status of the Plan</w:t>
      </w:r>
      <w:r>
        <w:rPr>
          <w:rFonts w:ascii="Arial" w:cs="Arial" w:eastAsia="Arial" w:hAnsi="Arial"/>
          <w:sz w:val="18"/>
          <w:szCs w:val="18"/>
          <w:color w:val="auto"/>
        </w:rPr>
        <w:t>—On May 8, 2009, the Plan received an updated determination letter from the IRS stating that the Plan,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December 12, 2007, is qualified and that the trust established under the Plan is tax-exempt. Therefore, no provision for income taxes has been included in the Plan’s financial statements.</w:t>
      </w:r>
    </w:p>
    <w:p>
      <w:pPr>
        <w:spacing w:after="0" w:line="59" w:lineRule="exact"/>
        <w:rPr>
          <w:rFonts w:ascii="Arial" w:cs="Arial" w:eastAsia="Arial" w:hAnsi="Arial"/>
          <w:sz w:val="18"/>
          <w:szCs w:val="18"/>
          <w:color w:val="auto"/>
        </w:rPr>
      </w:pPr>
    </w:p>
    <w:p>
      <w:pPr>
        <w:ind w:left="1472" w:right="40" w:hanging="567"/>
        <w:spacing w:after="0" w:line="259" w:lineRule="auto"/>
        <w:tabs>
          <w:tab w:leader="none" w:pos="1472"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—Matching contributions and salary reduction contributions, as well as earnings on Plan assets, are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subject to federal income tax until distributed from a qualified plan that meets the requirements of Sections 401(a), 401(k) and 401(m) of the Code.</w:t>
      </w:r>
    </w:p>
    <w:p>
      <w:pPr>
        <w:spacing w:after="0" w:line="59" w:lineRule="exact"/>
        <w:rPr>
          <w:rFonts w:ascii="Arial" w:cs="Arial" w:eastAsia="Arial" w:hAnsi="Arial"/>
          <w:sz w:val="18"/>
          <w:szCs w:val="18"/>
          <w:color w:val="auto"/>
        </w:rPr>
      </w:pPr>
    </w:p>
    <w:p>
      <w:pPr>
        <w:ind w:left="1472" w:right="60" w:hanging="567"/>
        <w:spacing w:after="0" w:line="294" w:lineRule="auto"/>
        <w:tabs>
          <w:tab w:leader="none" w:pos="1472" w:val="left"/>
        </w:tabs>
        <w:numPr>
          <w:ilvl w:val="1"/>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Evaluation of Tax Position</w:t>
      </w:r>
      <w:r>
        <w:rPr>
          <w:rFonts w:ascii="Arial" w:cs="Arial" w:eastAsia="Arial" w:hAnsi="Arial"/>
          <w:sz w:val="16"/>
          <w:szCs w:val="16"/>
          <w:color w:val="auto"/>
        </w:rPr>
        <w:t>—In accordance with Accounting Standards Codification (ASC) 740-10-50-15 c – e, the Plan Administrator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analyzed the tax positions taken by the Plan and has concluded that as of December 31, 2010,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the Plan is no longer subject to income tax examinations for years prior to 2007.</w:t>
      </w:r>
    </w:p>
    <w:p>
      <w:pPr>
        <w:spacing w:after="0" w:line="2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12"/>
          </w:cols>
          <w:pgMar w:left="248"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 – PART IV, LINE 4i – 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FEIN #27-0000798</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PLAN #001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(c) Description of</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Investment,</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Rate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Interest, Collateral,</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Par, or</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 Current</w:t>
            </w: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5180" w:type="dxa"/>
            <w:vAlign w:val="bottom"/>
            <w:gridSpan w:val="3"/>
          </w:tcPr>
          <w:p>
            <w:pPr>
              <w:ind w:left="40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3060" w:type="dxa"/>
            <w:vAlign w:val="bottom"/>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Maturity Value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1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Mutual Funds (at fair value)</w:t>
            </w:r>
          </w:p>
        </w:tc>
        <w:tc>
          <w:tcPr>
            <w:tcW w:w="30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Dodge and Cox Balanced Fund</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2,724,862 units</w:t>
            </w:r>
          </w:p>
        </w:tc>
        <w:tc>
          <w:tcPr>
            <w:tcW w:w="920" w:type="dxa"/>
            <w:vAlign w:val="bottom"/>
          </w:tcPr>
          <w:p>
            <w:pPr>
              <w:jc w:val="right"/>
              <w:spacing w:after="0"/>
              <w:rPr>
                <w:sz w:val="20"/>
                <w:szCs w:val="20"/>
                <w:color w:val="auto"/>
              </w:rPr>
            </w:pPr>
            <w:r>
              <w:rPr>
                <w:rFonts w:ascii="Arial" w:cs="Arial" w:eastAsia="Arial" w:hAnsi="Arial"/>
                <w:sz w:val="18"/>
                <w:szCs w:val="18"/>
                <w:color w:val="auto"/>
              </w:rPr>
              <w:t>191,340</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Fidelity Diversified International Fund</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6,537,366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197,102</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Fidelity Growth Company</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1,380,677 units</w:t>
            </w:r>
          </w:p>
        </w:tc>
        <w:tc>
          <w:tcPr>
            <w:tcW w:w="920" w:type="dxa"/>
            <w:vAlign w:val="bottom"/>
          </w:tcPr>
          <w:p>
            <w:pPr>
              <w:jc w:val="right"/>
              <w:spacing w:after="0"/>
              <w:rPr>
                <w:sz w:val="20"/>
                <w:szCs w:val="20"/>
                <w:color w:val="auto"/>
              </w:rPr>
            </w:pPr>
            <w:r>
              <w:rPr>
                <w:rFonts w:ascii="Arial" w:cs="Arial" w:eastAsia="Arial" w:hAnsi="Arial"/>
                <w:sz w:val="18"/>
                <w:szCs w:val="18"/>
                <w:color w:val="auto"/>
              </w:rPr>
              <w:t>114,803</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Fidelity Ret Govt MM</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5,416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Fidelity Small Cap Stock Fund</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7,747,291 units</w:t>
            </w:r>
          </w:p>
        </w:tc>
        <w:tc>
          <w:tcPr>
            <w:tcW w:w="920" w:type="dxa"/>
            <w:vAlign w:val="bottom"/>
          </w:tcPr>
          <w:p>
            <w:pPr>
              <w:jc w:val="right"/>
              <w:spacing w:after="0"/>
              <w:rPr>
                <w:sz w:val="20"/>
                <w:szCs w:val="20"/>
                <w:color w:val="auto"/>
              </w:rPr>
            </w:pPr>
            <w:r>
              <w:rPr>
                <w:rFonts w:ascii="Arial" w:cs="Arial" w:eastAsia="Arial" w:hAnsi="Arial"/>
                <w:sz w:val="18"/>
                <w:szCs w:val="18"/>
                <w:color w:val="auto"/>
              </w:rPr>
              <w:t>151,847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Pimco Total Return Institutional Fund</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16,089,640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174,573</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Fidelity Spartan International Index Fund</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1,302,723 units</w:t>
            </w:r>
          </w:p>
        </w:tc>
        <w:tc>
          <w:tcPr>
            <w:tcW w:w="920" w:type="dxa"/>
            <w:vAlign w:val="bottom"/>
          </w:tcPr>
          <w:p>
            <w:pPr>
              <w:jc w:val="right"/>
              <w:spacing w:after="0"/>
              <w:rPr>
                <w:sz w:val="20"/>
                <w:szCs w:val="20"/>
                <w:color w:val="auto"/>
              </w:rPr>
            </w:pPr>
            <w:r>
              <w:rPr>
                <w:rFonts w:ascii="Arial" w:cs="Arial" w:eastAsia="Arial" w:hAnsi="Arial"/>
                <w:sz w:val="18"/>
                <w:szCs w:val="18"/>
                <w:color w:val="auto"/>
              </w:rPr>
              <w:t>45,817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Fidelity Spartan 500 Index Advantage Fund</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3,700,234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167,700</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Templeton World Fund, Class A</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4,404,660 units</w:t>
            </w:r>
          </w:p>
        </w:tc>
        <w:tc>
          <w:tcPr>
            <w:tcW w:w="920" w:type="dxa"/>
            <w:vAlign w:val="bottom"/>
          </w:tcPr>
          <w:p>
            <w:pPr>
              <w:jc w:val="right"/>
              <w:spacing w:after="0"/>
              <w:rPr>
                <w:sz w:val="20"/>
                <w:szCs w:val="20"/>
                <w:color w:val="auto"/>
              </w:rPr>
            </w:pPr>
            <w:r>
              <w:rPr>
                <w:rFonts w:ascii="Arial" w:cs="Arial" w:eastAsia="Arial" w:hAnsi="Arial"/>
                <w:sz w:val="18"/>
                <w:szCs w:val="18"/>
                <w:color w:val="auto"/>
              </w:rPr>
              <w:t>65,365</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Vanguard Small Cap Index Fund</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1,826,777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63,517</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Vanguard Total Stock Market Index Fund</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1,494,354 units</w:t>
            </w:r>
          </w:p>
        </w:tc>
        <w:tc>
          <w:tcPr>
            <w:tcW w:w="920" w:type="dxa"/>
            <w:vAlign w:val="bottom"/>
          </w:tcPr>
          <w:p>
            <w:pPr>
              <w:jc w:val="right"/>
              <w:spacing w:after="0"/>
              <w:rPr>
                <w:sz w:val="20"/>
                <w:szCs w:val="20"/>
                <w:color w:val="auto"/>
              </w:rPr>
            </w:pPr>
            <w:r>
              <w:rPr>
                <w:rFonts w:ascii="Arial" w:cs="Arial" w:eastAsia="Arial" w:hAnsi="Arial"/>
                <w:sz w:val="18"/>
                <w:szCs w:val="18"/>
                <w:color w:val="auto"/>
              </w:rPr>
              <w:t>47,177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Vanguard Windsor II Fund</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2,502,821 units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114,029</w:t>
            </w:r>
          </w:p>
        </w:tc>
        <w:tc>
          <w:tcPr>
            <w:tcW w:w="100" w:type="dxa"/>
            <w:vAlign w:val="bottom"/>
            <w:shd w:val="clear" w:color="auto" w:fill="CCEEFF"/>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1,333,275</w:t>
            </w:r>
          </w:p>
        </w:tc>
        <w:tc>
          <w:tcPr>
            <w:tcW w:w="10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Separate Account (at fair value)</w:t>
            </w:r>
          </w:p>
        </w:tc>
        <w:tc>
          <w:tcPr>
            <w:tcW w:w="30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w w:val="94"/>
              </w:rPr>
              <w:t>T. Rowe Price Blue Chip Growth Fund (separate account)</w:t>
            </w:r>
          </w:p>
        </w:tc>
        <w:tc>
          <w:tcPr>
            <w:tcW w:w="3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(B28XP76)</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(B4BNMY3)</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36,800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(009158106)</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(00971T101)</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11,100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(018490102)</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(021441100)</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23,600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(023135106)</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(025816109)</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63,900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(029912201)</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(03076C106)</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26,100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(031162100)</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(037833100)</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46,000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14,838</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(052769106)</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(053015103)</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1,800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(056752108)</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(064058100)</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1,800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(075896100)</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(09247X101)</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1,000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(111320107)</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(12572Q105)</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300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(126408103)</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(13342B105)</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36,800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(14149Y108)</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(143130102)</w:t>
            </w:r>
          </w:p>
        </w:tc>
        <w:tc>
          <w:tcPr>
            <w:tcW w:w="306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11,700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(143658300)</w:t>
            </w:r>
          </w:p>
        </w:tc>
        <w:tc>
          <w:tcPr>
            <w:tcW w:w="30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8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(151020104)</w:t>
            </w:r>
          </w:p>
        </w:tc>
        <w:tc>
          <w:tcPr>
            <w:tcW w:w="3060" w:type="dxa"/>
            <w:vAlign w:val="bottom"/>
          </w:tcPr>
          <w:p>
            <w:pPr>
              <w:spacing w:after="0"/>
              <w:rPr>
                <w:sz w:val="19"/>
                <w:szCs w:val="19"/>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47,300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9"/>
                <w:szCs w:val="19"/>
                <w:color w:val="auto"/>
              </w:rPr>
            </w:pPr>
          </w:p>
        </w:tc>
      </w:tr>
      <w:tr>
        <w:trPr>
          <w:trHeight w:val="356"/>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60" w:type="dxa"/>
            <w:vAlign w:val="bottom"/>
          </w:tcPr>
          <w:p>
            <w:pPr>
              <w:jc w:val="right"/>
              <w:ind w:right="2532"/>
              <w:spacing w:after="0"/>
              <w:rPr>
                <w:sz w:val="20"/>
                <w:szCs w:val="20"/>
                <w:color w:val="auto"/>
              </w:rPr>
            </w:pPr>
            <w:r>
              <w:rPr>
                <w:rFonts w:ascii="Arial" w:cs="Arial" w:eastAsia="Arial" w:hAnsi="Arial"/>
                <w:sz w:val="18"/>
                <w:szCs w:val="18"/>
                <w:color w:val="auto"/>
              </w:rPr>
              <w:t>11</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(c) Description of</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Investment,</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Rate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Interest, Collateral,</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Par, or</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 Current</w:t>
            </w: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3900" w:type="dxa"/>
            <w:vAlign w:val="bottom"/>
            <w:gridSpan w:val="2"/>
          </w:tcPr>
          <w:p>
            <w:pPr>
              <w:ind w:left="480"/>
              <w:spacing w:after="0"/>
              <w:rPr>
                <w:sz w:val="20"/>
                <w:szCs w:val="20"/>
                <w:color w:val="auto"/>
              </w:rPr>
            </w:pPr>
            <w:r>
              <w:rPr>
                <w:rFonts w:ascii="Arial" w:cs="Arial" w:eastAsia="Arial" w:hAnsi="Arial"/>
                <w:sz w:val="14"/>
                <w:szCs w:val="14"/>
                <w:b w:val="1"/>
                <w:bCs w:val="1"/>
                <w:color w:val="auto"/>
                <w:w w:val="93"/>
              </w:rPr>
              <w:t>(b) Identity of Issue, Borrower, Lessor, or Similar Party</w:t>
            </w:r>
          </w:p>
        </w:tc>
        <w:tc>
          <w:tcPr>
            <w:tcW w:w="4260" w:type="dxa"/>
            <w:vAlign w:val="bottom"/>
          </w:tcPr>
          <w:p>
            <w:pPr>
              <w:spacing w:after="0"/>
              <w:rPr>
                <w:sz w:val="14"/>
                <w:szCs w:val="14"/>
                <w:color w:val="auto"/>
              </w:rPr>
            </w:pPr>
          </w:p>
        </w:tc>
        <w:tc>
          <w:tcPr>
            <w:tcW w:w="2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Maturity Value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1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(156782104)</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(189754104)</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36,800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(191216100)</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(20605P101)</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5,700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(219350105)</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55,300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(22160K105)</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4,000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(231021106)</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(235851102)</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154,000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(244199105)</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(254687106)</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70,100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(25470F302)</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(256746108)</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4,000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common stock (2594653 )</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(268648102)</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69,700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(26875P101)</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(278058102)</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(278642103)</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(28176E108)</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4,600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(291011104)</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44,300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(302130109)</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40,500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(302182100)</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(30231G102)</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900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(30249U101)</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(311900104)</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38,300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(31428X106)</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(337738108)</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19,200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(354613101)</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(35671D857)</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10,500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(37045V100)</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(38141G104)</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9,600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(38259P508)</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18,300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(384802104)</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9,400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(406216101)</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(428236103)</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(438516106)</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(452308109)</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(458140100)</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(45865V100)</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16,000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(459200101)</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(46120E602)</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(461202103)</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(46625H100)</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64,200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(478366107)</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(481165108)</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2,900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(48203R104)</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(500255104)</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20,000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(517834107)</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(53071M104)</w:t>
            </w:r>
          </w:p>
        </w:tc>
        <w:tc>
          <w:tcPr>
            <w:tcW w:w="42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89,200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(53217V109)</w:t>
            </w:r>
          </w:p>
        </w:tc>
        <w:tc>
          <w:tcPr>
            <w:tcW w:w="42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(548661107)</w:t>
            </w:r>
          </w:p>
        </w:tc>
        <w:tc>
          <w:tcPr>
            <w:tcW w:w="4260" w:type="dxa"/>
            <w:vAlign w:val="bottom"/>
          </w:tcPr>
          <w:p>
            <w:pPr>
              <w:spacing w:after="0"/>
              <w:rPr>
                <w:sz w:val="19"/>
                <w:szCs w:val="19"/>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49,600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r>
      <w:tr>
        <w:trPr>
          <w:trHeight w:val="356"/>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260" w:type="dxa"/>
            <w:vAlign w:val="bottom"/>
          </w:tcPr>
          <w:p>
            <w:pPr>
              <w:jc w:val="right"/>
              <w:ind w:right="2452"/>
              <w:spacing w:after="0"/>
              <w:rPr>
                <w:sz w:val="20"/>
                <w:szCs w:val="20"/>
                <w:color w:val="auto"/>
              </w:rPr>
            </w:pPr>
            <w:r>
              <w:rPr>
                <w:rFonts w:ascii="Arial" w:cs="Arial" w:eastAsia="Arial" w:hAnsi="Arial"/>
                <w:sz w:val="18"/>
                <w:szCs w:val="18"/>
                <w:color w:val="auto"/>
              </w:rPr>
              <w:t>12</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1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(c) Description of</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Investment,</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Rate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Interest, Collateral,</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Par, or</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 Current</w:t>
            </w: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b w:val="1"/>
                <w:bCs w:val="1"/>
                <w:color w:val="auto"/>
                <w:w w:val="93"/>
              </w:rPr>
              <w:t>(b) Identity of Issue, Borrower, Lessor, or Similar Party</w:t>
            </w:r>
          </w:p>
        </w:tc>
        <w:tc>
          <w:tcPr>
            <w:tcW w:w="4100" w:type="dxa"/>
            <w:vAlign w:val="bottom"/>
          </w:tcPr>
          <w:p>
            <w:pPr>
              <w:spacing w:after="0"/>
              <w:rPr>
                <w:sz w:val="14"/>
                <w:szCs w:val="14"/>
                <w:color w:val="auto"/>
              </w:rPr>
            </w:pPr>
          </w:p>
        </w:tc>
        <w:tc>
          <w:tcPr>
            <w:tcW w:w="21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Maturity Value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1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41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(571903202)</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79,157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(57636Q104)</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12,400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(577081102)</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(580037109)</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20,500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(580135101)</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(58155Q103)</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36,900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(58405U102)</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(594918104)</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900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Corporate common stock (61166W101)</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(61945A107)</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23,100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(629491101)</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17,300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(637071101)</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(64110D104)</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(654106103)</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25,500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(665859104)</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(67103H107)</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28,500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(674599105)</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(681919106)</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29,400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(693475105)</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(704549104)</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29,000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(713448108)</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(731572103)</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8,100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(74005P104)</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(740189105)</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21,700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(741503403)</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(742718109)</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22,600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(744320102)</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(747525103)</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82,700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(75281A109)</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(773903109)</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21,200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(776696106)</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(790849103)</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9,100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(79466L302)</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(806857108)</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75,000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6,263</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(808513105)</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23,700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(824348106)</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(82481R106)</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(854502101)</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8,400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(855244109)</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(85590A401)</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32,600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(857477103)</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(863667101)</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27,000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(867224107)</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(87236Y108)</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9,100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(87612E106)</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(883556102)</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1,400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(88579Y101)</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(886547108)</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900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(887317303)</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(902973304)</w:t>
            </w:r>
          </w:p>
        </w:tc>
        <w:tc>
          <w:tcPr>
            <w:tcW w:w="4100" w:type="dxa"/>
            <w:vAlign w:val="bottom"/>
          </w:tcPr>
          <w:p>
            <w:pPr>
              <w:spacing w:after="0"/>
              <w:rPr>
                <w:sz w:val="19"/>
                <w:szCs w:val="19"/>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53,500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r>
      <w:tr>
        <w:trPr>
          <w:trHeight w:val="356"/>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100" w:type="dxa"/>
            <w:vAlign w:val="bottom"/>
          </w:tcPr>
          <w:p>
            <w:pPr>
              <w:jc w:val="right"/>
              <w:ind w:right="2372"/>
              <w:spacing w:after="0"/>
              <w:rPr>
                <w:sz w:val="20"/>
                <w:szCs w:val="20"/>
                <w:color w:val="auto"/>
              </w:rPr>
            </w:pPr>
            <w:r>
              <w:rPr>
                <w:rFonts w:ascii="Arial" w:cs="Arial" w:eastAsia="Arial" w:hAnsi="Arial"/>
                <w:sz w:val="18"/>
                <w:szCs w:val="18"/>
                <w:color w:val="auto"/>
              </w:rPr>
              <w:t>13</w:t>
            </w: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(c) Description of</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Investment,</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Rate of</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Interest, Collateral,</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Par, or</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 Current</w:t>
            </w: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5280" w:type="dxa"/>
            <w:vAlign w:val="bottom"/>
            <w:gridSpan w:val="3"/>
          </w:tcPr>
          <w:p>
            <w:pPr>
              <w:ind w:left="48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2860" w:type="dxa"/>
            <w:vAlign w:val="bottom"/>
          </w:tcPr>
          <w:p>
            <w:pPr>
              <w:spacing w:after="0"/>
              <w:rPr>
                <w:sz w:val="14"/>
                <w:szCs w:val="14"/>
                <w:color w:val="auto"/>
              </w:rPr>
            </w:pPr>
          </w:p>
        </w:tc>
        <w:tc>
          <w:tcPr>
            <w:tcW w:w="2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Maturity Value</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1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(903914109)</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(907818108)</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26,300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2,437</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(913017109)</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24,300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(92532F100)</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9,000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(92826C839)</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40,000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(949746101)</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48,900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1,515</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(959802109)</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55,200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(966837106)</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700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(983134107)</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(983919101)</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60,200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1,745</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bearing cash (98765455B)</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1,635,653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Receivables</w:t>
            </w: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Benefit Claims Payable</w:t>
            </w:r>
          </w:p>
        </w:tc>
        <w:tc>
          <w:tcPr>
            <w:tcW w:w="2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Operating Payables</w:t>
            </w: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2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r>
      <w:tr>
        <w:trPr>
          <w:trHeight w:val="230"/>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213,652</w:t>
            </w:r>
          </w:p>
        </w:tc>
        <w:tc>
          <w:tcPr>
            <w:tcW w:w="10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52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4"/>
              </w:rPr>
              <w:t>Common Collective Trust (at fair value) – not Direct Filing Entity</w:t>
            </w:r>
          </w:p>
        </w:tc>
        <w:tc>
          <w:tcPr>
            <w:tcW w:w="2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Thompson, Siegel and Walmsley SMID Cap Value</w:t>
            </w: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(B4XGY11 )</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33,800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(B4Y5TZ6)</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27,700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(007865108)</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47,950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(011659109)</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7,100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(018802108)</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43,000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(023436108)</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17,500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(04269Q100)</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88,100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(118440106)</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18,700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(12497T101)</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18,500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(125896100)</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111,700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2,078</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(14161H108)</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31,100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(146229109)</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30,700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(15189T107)</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133,700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(156708109)</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17,600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(16115Q308)</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16,700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(171484108)</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5,000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(18538R103)</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(205826209)</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17,700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(2172372)</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46,600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(218868107)</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44,200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(228368106)</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28,000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(2339252)</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2,900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(243537107)</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(261608103)</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22,100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(2671932)</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12,400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(2728429)</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15,200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(2740542)</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(278768106)</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32,600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(29084Q100)</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32,700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(29100P102)</w:t>
            </w:r>
          </w:p>
        </w:tc>
        <w:tc>
          <w:tcPr>
            <w:tcW w:w="286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18,000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common stock (29264F205)</w:t>
            </w:r>
          </w:p>
        </w:tc>
        <w:tc>
          <w:tcPr>
            <w:tcW w:w="28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32,800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Corporate common stock (29275Y102)</w:t>
            </w:r>
          </w:p>
        </w:tc>
        <w:tc>
          <w:tcPr>
            <w:tcW w:w="2860" w:type="dxa"/>
            <w:vAlign w:val="bottom"/>
          </w:tcPr>
          <w:p>
            <w:pPr>
              <w:spacing w:after="0"/>
              <w:rPr>
                <w:sz w:val="19"/>
                <w:szCs w:val="19"/>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17,300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r>
      <w:tr>
        <w:trPr>
          <w:trHeight w:val="356"/>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60" w:type="dxa"/>
            <w:vAlign w:val="bottom"/>
          </w:tcPr>
          <w:p>
            <w:pPr>
              <w:jc w:val="right"/>
              <w:ind w:right="2432"/>
              <w:spacing w:after="0"/>
              <w:rPr>
                <w:sz w:val="20"/>
                <w:szCs w:val="20"/>
                <w:color w:val="auto"/>
              </w:rPr>
            </w:pPr>
            <w:r>
              <w:rPr>
                <w:rFonts w:ascii="Arial" w:cs="Arial" w:eastAsia="Arial" w:hAnsi="Arial"/>
                <w:sz w:val="18"/>
                <w:szCs w:val="18"/>
                <w:color w:val="auto"/>
              </w:rPr>
              <w:t>14</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1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(c) Description of</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Investment,</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Rate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Interest, Collateral,</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1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Par, or</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 Current</w:t>
            </w: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b w:val="1"/>
                <w:bCs w:val="1"/>
                <w:color w:val="auto"/>
                <w:w w:val="93"/>
              </w:rPr>
              <w:t>(b) Identity of Issue, Borrower, Lessor, or Similar Party</w:t>
            </w:r>
          </w:p>
        </w:tc>
        <w:tc>
          <w:tcPr>
            <w:tcW w:w="4100" w:type="dxa"/>
            <w:vAlign w:val="bottom"/>
          </w:tcPr>
          <w:p>
            <w:pPr>
              <w:spacing w:after="0"/>
              <w:rPr>
                <w:sz w:val="14"/>
                <w:szCs w:val="14"/>
                <w:color w:val="auto"/>
              </w:rPr>
            </w:pPr>
          </w:p>
        </w:tc>
        <w:tc>
          <w:tcPr>
            <w:tcW w:w="21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Maturity Value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1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41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(297425100)</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(302941109)</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21,300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Corporate common stock (36467W109)</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(378967103)</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34,900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(404132102)</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(405024100)</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8,900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(410867105)</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(451107106)</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26,200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(45256B101)</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(45867G101)</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19,800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(46626E205)</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(488360207)</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72,000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(52602E102)</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(55272X102)</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225,200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(564563104)</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(570535104)</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(584690309)</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(58502B106)</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9,300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(64107N206)</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(65473P105)</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58,500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(670837103)</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40,500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(675746309)</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59,600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(681904108)</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4"/>
              </w:rPr>
              <w:t>Corporate common stock (68618W100)</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47,600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(68628V308)</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(688239201)</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39,000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(69329Y104)</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58,100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(723484101)</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46,800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(727493108)</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(73930R102)</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73,100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(74835Y101)</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38,000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(751028101)</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24,800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(754907103)</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(758766109)</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81,500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(76009N100)</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(81725T100)</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15,700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(83088M102)</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14,300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(864159108)</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23,000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(879101103)</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62,900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(879664100)</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66,700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(88164L100)</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55,400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(891906109)</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67,400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(89784N104)</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(901109108)</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37,000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(90333E108)</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70,600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(909214306)</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22,600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(911268100)</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58,200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(918866104)</w:t>
            </w:r>
          </w:p>
        </w:tc>
        <w:tc>
          <w:tcPr>
            <w:tcW w:w="4100" w:type="dxa"/>
            <w:vAlign w:val="bottom"/>
          </w:tcPr>
          <w:p>
            <w:pPr>
              <w:spacing w:after="0"/>
              <w:rPr>
                <w:sz w:val="18"/>
                <w:szCs w:val="18"/>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23,500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(91911K102)</w:t>
            </w:r>
          </w:p>
        </w:tc>
        <w:tc>
          <w:tcPr>
            <w:tcW w:w="4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26,800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(92046N102)</w:t>
            </w:r>
          </w:p>
        </w:tc>
        <w:tc>
          <w:tcPr>
            <w:tcW w:w="4100" w:type="dxa"/>
            <w:vAlign w:val="bottom"/>
          </w:tcPr>
          <w:p>
            <w:pPr>
              <w:spacing w:after="0"/>
              <w:rPr>
                <w:sz w:val="19"/>
                <w:szCs w:val="19"/>
                <w:color w:val="auto"/>
              </w:rPr>
            </w:pPr>
          </w:p>
        </w:tc>
        <w:tc>
          <w:tcPr>
            <w:tcW w:w="2140" w:type="dxa"/>
            <w:vAlign w:val="bottom"/>
            <w:gridSpan w:val="2"/>
          </w:tcPr>
          <w:p>
            <w:pPr>
              <w:jc w:val="right"/>
              <w:ind w:right="680"/>
              <w:spacing w:after="0"/>
              <w:rPr>
                <w:sz w:val="20"/>
                <w:szCs w:val="20"/>
                <w:color w:val="auto"/>
              </w:rPr>
            </w:pPr>
            <w:r>
              <w:rPr>
                <w:rFonts w:ascii="Arial" w:cs="Arial" w:eastAsia="Arial" w:hAnsi="Arial"/>
                <w:sz w:val="18"/>
                <w:szCs w:val="18"/>
                <w:color w:val="auto"/>
              </w:rPr>
              <w:t>32,800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r>
      <w:tr>
        <w:trPr>
          <w:trHeight w:val="356"/>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100" w:type="dxa"/>
            <w:vAlign w:val="bottom"/>
          </w:tcPr>
          <w:p>
            <w:pPr>
              <w:jc w:val="right"/>
              <w:ind w:right="2372"/>
              <w:spacing w:after="0"/>
              <w:rPr>
                <w:sz w:val="20"/>
                <w:szCs w:val="20"/>
                <w:color w:val="auto"/>
              </w:rPr>
            </w:pPr>
            <w:r>
              <w:rPr>
                <w:rFonts w:ascii="Arial" w:cs="Arial" w:eastAsia="Arial" w:hAnsi="Arial"/>
                <w:sz w:val="18"/>
                <w:szCs w:val="18"/>
                <w:color w:val="auto"/>
              </w:rPr>
              <w:t>15</w:t>
            </w: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(c) Description of</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Investment,</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Rate of</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Interest, Collateral,</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Par, or</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 Current</w:t>
            </w: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3820" w:type="dxa"/>
            <w:vAlign w:val="bottom"/>
            <w:gridSpan w:val="2"/>
          </w:tcPr>
          <w:p>
            <w:pPr>
              <w:ind w:left="400"/>
              <w:spacing w:after="0"/>
              <w:rPr>
                <w:sz w:val="20"/>
                <w:szCs w:val="20"/>
                <w:color w:val="auto"/>
              </w:rPr>
            </w:pPr>
            <w:r>
              <w:rPr>
                <w:rFonts w:ascii="Arial" w:cs="Arial" w:eastAsia="Arial" w:hAnsi="Arial"/>
                <w:sz w:val="14"/>
                <w:szCs w:val="14"/>
                <w:b w:val="1"/>
                <w:bCs w:val="1"/>
                <w:color w:val="auto"/>
                <w:w w:val="93"/>
              </w:rPr>
              <w:t>(b) Identity of Issue, Borrower, Lessor, or Similar Party</w:t>
            </w:r>
          </w:p>
        </w:tc>
        <w:tc>
          <w:tcPr>
            <w:tcW w:w="4400" w:type="dxa"/>
            <w:vAlign w:val="bottom"/>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Maturity Value</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1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(92275P307)</w:t>
            </w:r>
          </w:p>
        </w:tc>
        <w:tc>
          <w:tcPr>
            <w:tcW w:w="4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37,300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(95709T100)</w:t>
            </w:r>
          </w:p>
        </w:tc>
        <w:tc>
          <w:tcPr>
            <w:tcW w:w="44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70,400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1,771</w:t>
            </w: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(966387102)</w:t>
            </w:r>
          </w:p>
        </w:tc>
        <w:tc>
          <w:tcPr>
            <w:tcW w:w="4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(968223206)</w:t>
            </w:r>
          </w:p>
        </w:tc>
        <w:tc>
          <w:tcPr>
            <w:tcW w:w="44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9,300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(98233Q105)</w:t>
            </w:r>
          </w:p>
        </w:tc>
        <w:tc>
          <w:tcPr>
            <w:tcW w:w="4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Interest bearing cash (98765455B)</w:t>
            </w:r>
          </w:p>
        </w:tc>
        <w:tc>
          <w:tcPr>
            <w:tcW w:w="44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3,833,448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3,833</w:t>
            </w: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4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w:t>
            </w: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Benefit Claims Payable</w:t>
            </w:r>
          </w:p>
        </w:tc>
        <w:tc>
          <w:tcPr>
            <w:tcW w:w="4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Payables</w:t>
            </w:r>
          </w:p>
        </w:tc>
        <w:tc>
          <w:tcPr>
            <w:tcW w:w="4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r>
      <w:tr>
        <w:trPr>
          <w:trHeight w:val="223"/>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4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(1,056)</w:t>
            </w: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77,870</w:t>
            </w:r>
          </w:p>
        </w:tc>
        <w:tc>
          <w:tcPr>
            <w:tcW w:w="100" w:type="dxa"/>
            <w:vAlign w:val="bottom"/>
            <w:shd w:val="clear" w:color="auto" w:fill="CCEEFF"/>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3820" w:type="dxa"/>
            <w:vAlign w:val="bottom"/>
            <w:gridSpan w:val="2"/>
          </w:tcPr>
          <w:p>
            <w:pPr>
              <w:ind w:left="400"/>
              <w:spacing w:after="0"/>
              <w:rPr>
                <w:sz w:val="20"/>
                <w:szCs w:val="20"/>
                <w:color w:val="auto"/>
              </w:rPr>
            </w:pPr>
            <w:r>
              <w:rPr>
                <w:rFonts w:ascii="Arial" w:cs="Arial" w:eastAsia="Arial" w:hAnsi="Arial"/>
                <w:sz w:val="18"/>
                <w:szCs w:val="18"/>
                <w:color w:val="auto"/>
              </w:rPr>
              <w:t>Common collective trusts</w:t>
            </w:r>
          </w:p>
        </w:tc>
        <w:tc>
          <w:tcPr>
            <w:tcW w:w="4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Vanguard Target Income</w:t>
            </w:r>
          </w:p>
        </w:tc>
        <w:tc>
          <w:tcPr>
            <w:tcW w:w="4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222,036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5,178</w:t>
            </w: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Vanguard Target 2010</w:t>
            </w:r>
          </w:p>
        </w:tc>
        <w:tc>
          <w:tcPr>
            <w:tcW w:w="44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663,631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13,857</w:t>
            </w: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Vanguard Target 2015</w:t>
            </w:r>
          </w:p>
        </w:tc>
        <w:tc>
          <w:tcPr>
            <w:tcW w:w="4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2,188,094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44,046</w:t>
            </w: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Vanguard Target 2020</w:t>
            </w:r>
          </w:p>
        </w:tc>
        <w:tc>
          <w:tcPr>
            <w:tcW w:w="44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3,984,421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76,899</w:t>
            </w: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Vanguard Target 2025</w:t>
            </w:r>
          </w:p>
        </w:tc>
        <w:tc>
          <w:tcPr>
            <w:tcW w:w="4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5,223,940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96,956</w:t>
            </w: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Vanguard Target 2030</w:t>
            </w:r>
          </w:p>
        </w:tc>
        <w:tc>
          <w:tcPr>
            <w:tcW w:w="44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5,275,517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93,957</w:t>
            </w: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Vanguard Target 2035</w:t>
            </w:r>
          </w:p>
        </w:tc>
        <w:tc>
          <w:tcPr>
            <w:tcW w:w="4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5,318,653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93,076</w:t>
            </w: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Vanguard Target 2040</w:t>
            </w:r>
          </w:p>
        </w:tc>
        <w:tc>
          <w:tcPr>
            <w:tcW w:w="44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4,805,962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84,489</w:t>
            </w: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Vanguard Target 2045</w:t>
            </w:r>
          </w:p>
        </w:tc>
        <w:tc>
          <w:tcPr>
            <w:tcW w:w="4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3,742,998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65,727</w:t>
            </w: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rPr>
              <w:t>Vanguard Target 2050</w:t>
            </w:r>
          </w:p>
        </w:tc>
        <w:tc>
          <w:tcPr>
            <w:tcW w:w="44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2,013,067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35,551</w:t>
            </w: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Mellon Aggregate Bond Index Fund</w:t>
            </w:r>
          </w:p>
        </w:tc>
        <w:tc>
          <w:tcPr>
            <w:tcW w:w="44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363,899 units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69,726</w:t>
            </w:r>
          </w:p>
        </w:tc>
        <w:tc>
          <w:tcPr>
            <w:tcW w:w="100" w:type="dxa"/>
            <w:vAlign w:val="bottom"/>
            <w:shd w:val="clear" w:color="auto" w:fill="CCEEFF"/>
          </w:tcPr>
          <w:p>
            <w:pPr>
              <w:spacing w:after="0"/>
              <w:rPr>
                <w:sz w:val="18"/>
                <w:szCs w:val="18"/>
                <w:color w:val="auto"/>
              </w:rPr>
            </w:pPr>
          </w:p>
        </w:tc>
      </w:tr>
      <w:tr>
        <w:trPr>
          <w:trHeight w:val="221"/>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679,462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1270</wp:posOffset>
            </wp:positionV>
            <wp:extent cx="591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Comcast Corporation Stock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280" w:type="dxa"/>
            <w:vAlign w:val="bottom"/>
          </w:tcPr>
          <w:p>
            <w:pPr>
              <w:spacing w:after="0"/>
              <w:rPr>
                <w:sz w:val="18"/>
                <w:szCs w:val="18"/>
                <w:color w:val="auto"/>
              </w:rPr>
            </w:pPr>
          </w:p>
        </w:tc>
        <w:tc>
          <w:tcPr>
            <w:tcW w:w="6920" w:type="dxa"/>
            <w:vAlign w:val="bottom"/>
            <w:gridSpan w:val="2"/>
          </w:tcPr>
          <w:p>
            <w:pPr>
              <w:ind w:left="720"/>
              <w:spacing w:after="0"/>
              <w:rPr>
                <w:sz w:val="20"/>
                <w:szCs w:val="20"/>
                <w:color w:val="auto"/>
              </w:rPr>
            </w:pPr>
            <w:r>
              <w:rPr>
                <w:rFonts w:ascii="Arial" w:cs="Arial" w:eastAsia="Arial" w:hAnsi="Arial"/>
                <w:sz w:val="18"/>
                <w:szCs w:val="18"/>
                <w:color w:val="auto"/>
              </w:rPr>
              <w:t>Class A Common Stock</w:t>
            </w:r>
          </w:p>
        </w:tc>
        <w:tc>
          <w:tcPr>
            <w:tcW w:w="3340" w:type="dxa"/>
            <w:vAlign w:val="bottom"/>
            <w:gridSpan w:val="2"/>
          </w:tcPr>
          <w:p>
            <w:pPr>
              <w:jc w:val="right"/>
              <w:ind w:right="680"/>
              <w:spacing w:after="0"/>
              <w:rPr>
                <w:sz w:val="20"/>
                <w:szCs w:val="20"/>
                <w:color w:val="auto"/>
              </w:rPr>
            </w:pPr>
            <w:r>
              <w:rPr>
                <w:rFonts w:ascii="Arial" w:cs="Arial" w:eastAsia="Arial" w:hAnsi="Arial"/>
                <w:sz w:val="18"/>
                <w:szCs w:val="18"/>
                <w:color w:val="auto"/>
              </w:rPr>
              <w:t>10,048,890 shares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220,774</w:t>
            </w:r>
          </w:p>
        </w:tc>
      </w:tr>
      <w:tr>
        <w:trPr>
          <w:trHeight w:val="216"/>
        </w:trPr>
        <w:tc>
          <w:tcPr>
            <w:tcW w:w="28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Class A Special Common Stock</w:t>
            </w:r>
          </w:p>
        </w:tc>
        <w:tc>
          <w:tcPr>
            <w:tcW w:w="31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1,672,854 shares</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34,812</w:t>
            </w:r>
          </w:p>
        </w:tc>
        <w:tc>
          <w:tcPr>
            <w:tcW w:w="100" w:type="dxa"/>
            <w:vAlign w:val="bottom"/>
            <w:shd w:val="clear" w:color="auto" w:fill="CCEEFF"/>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255,586</w:t>
            </w:r>
          </w:p>
        </w:tc>
      </w:tr>
      <w:tr>
        <w:trPr>
          <w:trHeight w:val="216"/>
        </w:trPr>
        <w:tc>
          <w:tcPr>
            <w:tcW w:w="28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Comcast Stable Value Fund (at fair value)</w:t>
            </w:r>
          </w:p>
        </w:tc>
        <w:tc>
          <w:tcPr>
            <w:tcW w:w="3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920" w:type="dxa"/>
            <w:vAlign w:val="bottom"/>
            <w:gridSpan w:val="2"/>
          </w:tcPr>
          <w:p>
            <w:pPr>
              <w:ind w:left="720"/>
              <w:spacing w:after="0"/>
              <w:rPr>
                <w:sz w:val="20"/>
                <w:szCs w:val="20"/>
                <w:color w:val="auto"/>
              </w:rPr>
            </w:pPr>
            <w:r>
              <w:rPr>
                <w:rFonts w:ascii="Arial" w:cs="Arial" w:eastAsia="Arial" w:hAnsi="Arial"/>
                <w:sz w:val="18"/>
                <w:szCs w:val="18"/>
                <w:color w:val="auto"/>
              </w:rPr>
              <w:t>Fidelity Short Term Investment Fund; .21%</w:t>
            </w:r>
          </w:p>
        </w:tc>
        <w:tc>
          <w:tcPr>
            <w:tcW w:w="3340" w:type="dxa"/>
            <w:vAlign w:val="bottom"/>
            <w:gridSpan w:val="2"/>
          </w:tcPr>
          <w:p>
            <w:pPr>
              <w:jc w:val="right"/>
              <w:ind w:right="680"/>
              <w:spacing w:after="0"/>
              <w:rPr>
                <w:sz w:val="20"/>
                <w:szCs w:val="20"/>
                <w:color w:val="auto"/>
              </w:rPr>
            </w:pPr>
            <w:r>
              <w:rPr>
                <w:rFonts w:ascii="Arial" w:cs="Arial" w:eastAsia="Arial" w:hAnsi="Arial"/>
                <w:sz w:val="18"/>
                <w:szCs w:val="18"/>
                <w:color w:val="auto"/>
              </w:rPr>
              <w:t>24,599,654 units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24,348</w:t>
            </w:r>
          </w:p>
        </w:tc>
      </w:tr>
      <w:tr>
        <w:trPr>
          <w:trHeight w:val="216"/>
        </w:trPr>
        <w:tc>
          <w:tcPr>
            <w:tcW w:w="28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Security-Backed Investment Contracts:</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920" w:type="dxa"/>
            <w:vAlign w:val="bottom"/>
            <w:gridSpan w:val="2"/>
          </w:tcPr>
          <w:p>
            <w:pPr>
              <w:ind w:left="720"/>
              <w:spacing w:after="0"/>
              <w:rPr>
                <w:sz w:val="20"/>
                <w:szCs w:val="20"/>
                <w:color w:val="auto"/>
              </w:rPr>
            </w:pPr>
            <w:r>
              <w:rPr>
                <w:rFonts w:ascii="Arial" w:cs="Arial" w:eastAsia="Arial" w:hAnsi="Arial"/>
                <w:sz w:val="18"/>
                <w:szCs w:val="18"/>
                <w:color w:val="auto"/>
              </w:rPr>
              <w:t>Natixis; 2.38%</w:t>
            </w:r>
          </w:p>
        </w:tc>
        <w:tc>
          <w:tcPr>
            <w:tcW w:w="3340" w:type="dxa"/>
            <w:vAlign w:val="bottom"/>
            <w:gridSpan w:val="2"/>
          </w:tcPr>
          <w:p>
            <w:pPr>
              <w:jc w:val="right"/>
              <w:ind w:right="680"/>
              <w:spacing w:after="0"/>
              <w:rPr>
                <w:sz w:val="20"/>
                <w:szCs w:val="20"/>
                <w:color w:val="auto"/>
              </w:rPr>
            </w:pPr>
            <w:r>
              <w:rPr>
                <w:rFonts w:ascii="Arial" w:cs="Arial" w:eastAsia="Arial" w:hAnsi="Arial"/>
                <w:sz w:val="18"/>
                <w:szCs w:val="18"/>
                <w:color w:val="auto"/>
              </w:rPr>
              <w:t>140,517,292 units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143,987</w:t>
            </w:r>
          </w:p>
        </w:tc>
      </w:tr>
      <w:tr>
        <w:trPr>
          <w:trHeight w:val="216"/>
        </w:trPr>
        <w:tc>
          <w:tcPr>
            <w:tcW w:w="28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JP Morgan Chase; 2.42%</w:t>
            </w:r>
          </w:p>
        </w:tc>
        <w:tc>
          <w:tcPr>
            <w:tcW w:w="3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190,630,632 units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195,336</w:t>
            </w:r>
          </w:p>
        </w:tc>
      </w:tr>
      <w:tr>
        <w:trPr>
          <w:trHeight w:val="216"/>
        </w:trPr>
        <w:tc>
          <w:tcPr>
            <w:tcW w:w="280" w:type="dxa"/>
            <w:vAlign w:val="bottom"/>
          </w:tcPr>
          <w:p>
            <w:pPr>
              <w:spacing w:after="0"/>
              <w:rPr>
                <w:sz w:val="18"/>
                <w:szCs w:val="18"/>
                <w:color w:val="auto"/>
              </w:rPr>
            </w:pPr>
          </w:p>
        </w:tc>
        <w:tc>
          <w:tcPr>
            <w:tcW w:w="6920" w:type="dxa"/>
            <w:vAlign w:val="bottom"/>
            <w:gridSpan w:val="2"/>
          </w:tcPr>
          <w:p>
            <w:pPr>
              <w:ind w:left="720"/>
              <w:spacing w:after="0"/>
              <w:rPr>
                <w:sz w:val="20"/>
                <w:szCs w:val="20"/>
                <w:color w:val="auto"/>
              </w:rPr>
            </w:pPr>
            <w:r>
              <w:rPr>
                <w:rFonts w:ascii="Arial" w:cs="Arial" w:eastAsia="Arial" w:hAnsi="Arial"/>
                <w:sz w:val="18"/>
                <w:szCs w:val="18"/>
                <w:color w:val="auto"/>
              </w:rPr>
              <w:t>AIG Financial Products Corp; 2.49%</w:t>
            </w:r>
          </w:p>
        </w:tc>
        <w:tc>
          <w:tcPr>
            <w:tcW w:w="3340" w:type="dxa"/>
            <w:vAlign w:val="bottom"/>
            <w:gridSpan w:val="2"/>
          </w:tcPr>
          <w:p>
            <w:pPr>
              <w:jc w:val="right"/>
              <w:ind w:right="680"/>
              <w:spacing w:after="0"/>
              <w:rPr>
                <w:sz w:val="20"/>
                <w:szCs w:val="20"/>
                <w:color w:val="auto"/>
              </w:rPr>
            </w:pPr>
            <w:r>
              <w:rPr>
                <w:rFonts w:ascii="Arial" w:cs="Arial" w:eastAsia="Arial" w:hAnsi="Arial"/>
                <w:sz w:val="18"/>
                <w:szCs w:val="18"/>
                <w:color w:val="auto"/>
              </w:rPr>
              <w:t>90,412,789 units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92,648</w:t>
            </w:r>
          </w:p>
        </w:tc>
      </w:tr>
      <w:tr>
        <w:trPr>
          <w:trHeight w:val="216"/>
        </w:trPr>
        <w:tc>
          <w:tcPr>
            <w:tcW w:w="28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State Street Bank and Trust Company Boston; 2.37%</w:t>
            </w:r>
          </w:p>
        </w:tc>
        <w:tc>
          <w:tcPr>
            <w:tcW w:w="31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140,526,208 units</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143,996</w:t>
            </w:r>
          </w:p>
        </w:tc>
        <w:tc>
          <w:tcPr>
            <w:tcW w:w="100" w:type="dxa"/>
            <w:vAlign w:val="bottom"/>
            <w:shd w:val="clear" w:color="auto" w:fill="CCEEFF"/>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575,967</w:t>
            </w:r>
          </w:p>
        </w:tc>
        <w:tc>
          <w:tcPr>
            <w:tcW w:w="100" w:type="dxa"/>
            <w:vAlign w:val="bottom"/>
          </w:tcPr>
          <w:p>
            <w:pPr>
              <w:spacing w:after="0"/>
              <w:rPr>
                <w:sz w:val="20"/>
                <w:szCs w:val="20"/>
                <w:color w:val="auto"/>
              </w:rPr>
            </w:pPr>
          </w:p>
        </w:tc>
      </w:tr>
      <w:tr>
        <w:trPr>
          <w:trHeight w:val="216"/>
        </w:trPr>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600,315</w:t>
            </w:r>
          </w:p>
        </w:tc>
      </w:tr>
      <w:tr>
        <w:trPr>
          <w:trHeight w:val="215"/>
        </w:trPr>
        <w:tc>
          <w:tcPr>
            <w:tcW w:w="280" w:type="dxa"/>
            <w:vAlign w:val="bottom"/>
          </w:tcPr>
          <w:p>
            <w:pPr>
              <w:spacing w:after="0"/>
              <w:rPr>
                <w:sz w:val="18"/>
                <w:szCs w:val="18"/>
                <w:color w:val="auto"/>
              </w:rPr>
            </w:pPr>
          </w:p>
        </w:tc>
        <w:tc>
          <w:tcPr>
            <w:tcW w:w="6920" w:type="dxa"/>
            <w:vAlign w:val="bottom"/>
            <w:gridSpan w:val="2"/>
          </w:tcPr>
          <w:p>
            <w:pPr>
              <w:ind w:left="300"/>
              <w:spacing w:after="0"/>
              <w:rPr>
                <w:sz w:val="20"/>
                <w:szCs w:val="20"/>
                <w:color w:val="auto"/>
              </w:rPr>
            </w:pPr>
            <w:r>
              <w:rPr>
                <w:rFonts w:ascii="Arial" w:cs="Arial" w:eastAsia="Arial" w:hAnsi="Arial"/>
                <w:sz w:val="18"/>
                <w:szCs w:val="18"/>
                <w:color w:val="auto"/>
              </w:rPr>
              <w:t>Notes receivable from participants (principal balance plus accrued but</w:t>
            </w:r>
          </w:p>
        </w:tc>
        <w:tc>
          <w:tcPr>
            <w:tcW w:w="3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920" w:type="dxa"/>
            <w:vAlign w:val="bottom"/>
            <w:gridSpan w:val="2"/>
          </w:tcPr>
          <w:p>
            <w:pPr>
              <w:ind w:left="720"/>
              <w:spacing w:after="0"/>
              <w:rPr>
                <w:sz w:val="20"/>
                <w:szCs w:val="20"/>
                <w:color w:val="auto"/>
              </w:rPr>
            </w:pPr>
            <w:r>
              <w:rPr>
                <w:rFonts w:ascii="Arial" w:cs="Arial" w:eastAsia="Arial" w:hAnsi="Arial"/>
                <w:sz w:val="18"/>
                <w:szCs w:val="18"/>
                <w:color w:val="auto"/>
              </w:rPr>
              <w:t>unpaid interest - interest rates from 4.25% to 10.5%; maturities from</w:t>
            </w: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80" w:type="dxa"/>
            <w:vAlign w:val="bottom"/>
          </w:tcPr>
          <w:p>
            <w:pPr>
              <w:spacing w:after="0"/>
              <w:rPr>
                <w:sz w:val="21"/>
                <w:szCs w:val="21"/>
                <w:color w:val="auto"/>
              </w:rPr>
            </w:pPr>
          </w:p>
        </w:tc>
        <w:tc>
          <w:tcPr>
            <w:tcW w:w="6920" w:type="dxa"/>
            <w:vAlign w:val="bottom"/>
            <w:gridSpan w:val="2"/>
          </w:tcPr>
          <w:p>
            <w:pPr>
              <w:ind w:left="720"/>
              <w:spacing w:after="0"/>
              <w:rPr>
                <w:sz w:val="20"/>
                <w:szCs w:val="20"/>
                <w:color w:val="auto"/>
              </w:rPr>
            </w:pPr>
            <w:r>
              <w:rPr>
                <w:rFonts w:ascii="Arial" w:cs="Arial" w:eastAsia="Arial" w:hAnsi="Arial"/>
                <w:sz w:val="18"/>
                <w:szCs w:val="18"/>
                <w:color w:val="auto"/>
              </w:rPr>
              <w:t>2011 to 2038)</w:t>
            </w:r>
          </w:p>
        </w:tc>
        <w:tc>
          <w:tcPr>
            <w:tcW w:w="3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107,933</w:t>
            </w:r>
          </w:p>
        </w:tc>
        <w:tc>
          <w:tcPr>
            <w:tcW w:w="100" w:type="dxa"/>
            <w:vAlign w:val="bottom"/>
          </w:tcPr>
          <w:p>
            <w:pPr>
              <w:spacing w:after="0"/>
              <w:rPr>
                <w:sz w:val="21"/>
                <w:szCs w:val="21"/>
                <w:color w:val="auto"/>
              </w:rPr>
            </w:pPr>
          </w:p>
        </w:tc>
      </w:tr>
      <w:tr>
        <w:trPr>
          <w:trHeight w:val="216"/>
        </w:trPr>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3,268,093</w:t>
            </w: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Represents a party-in-interest to the Plan.</w:t>
            </w: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280" w:type="dxa"/>
            <w:vAlign w:val="bottom"/>
          </w:tcPr>
          <w:p>
            <w:pPr>
              <w:spacing w:after="0"/>
              <w:rPr>
                <w:sz w:val="24"/>
                <w:szCs w:val="24"/>
                <w:color w:val="auto"/>
              </w:rPr>
            </w:pPr>
          </w:p>
        </w:tc>
        <w:tc>
          <w:tcPr>
            <w:tcW w:w="6920" w:type="dxa"/>
            <w:vAlign w:val="bottom"/>
            <w:gridSpan w:val="2"/>
          </w:tcPr>
          <w:p>
            <w:pPr>
              <w:ind w:left="5340"/>
              <w:spacing w:after="0"/>
              <w:rPr>
                <w:sz w:val="20"/>
                <w:szCs w:val="20"/>
                <w:color w:val="auto"/>
              </w:rPr>
            </w:pPr>
            <w:r>
              <w:rPr>
                <w:rFonts w:ascii="Arial" w:cs="Arial" w:eastAsia="Arial" w:hAnsi="Arial"/>
                <w:sz w:val="18"/>
                <w:szCs w:val="18"/>
                <w:color w:val="auto"/>
              </w:rPr>
              <w:t>16</w:t>
            </w: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19" w:name="page20"/>
    <w:bookmarkEnd w:id="19"/>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OF INDEPENDENT REGISTERED PUBLIC ACCOUNTING FIRM</w:t>
      </w:r>
    </w:p>
    <w:p>
      <w:pPr>
        <w:spacing w:after="0" w:line="17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consent to the incorporation by reference in Registration Statement No. 333-101295 of Comcast Corporation on Form S-8 of our report dated June 28, 2011, relating to the statements of net assets available for benefits as of December 31, 2010 and 2009, the related statement of changes in net assets available for benefits for the year ended December 31, 2010 and the related supplemental Schedule H - Part IV, Line 4i - Schedule of Assets (Held at End of Year) as of December 31, 2010, which report appears in the December 31, 2010 Annual Report on Form 11-K of the Comcast Corporation Retirement-Investment Plan.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2011</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240" w:top="274" w:right="379" w:bottom="1440" w:gutter="0" w:footer="0" w:header="0"/>
        </w:sectPr>
      </w:pPr>
    </w:p>
    <w:bookmarkStart w:id="20" w:name="page21"/>
    <w:bookmarkEnd w:id="20"/>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RETIREMENT-INVESTMENT PLAN</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Plan Administrator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2011</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6985</wp:posOffset>
            </wp:positionV>
            <wp:extent cx="34734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1"/>
    </w:lvl>
  </w:abstractNum>
  <w:abstractNum w:abstractNumId="3">
    <w:nsid w:val="41B71EFB"/>
    <w:multiLevelType w:val="hybridMultilevel"/>
    <w:lvl w:ilvl="0">
      <w:lvlJc w:val="left"/>
      <w:lvlText w:val="%1."/>
      <w:numFmt w:val="upperLetter"/>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4"/>
    </w:lvl>
    <w:lvl w:ilvl="1">
      <w:lvlJc w:val="left"/>
      <w:lvlText w:val="•"/>
      <w:numFmt w:val="bullet"/>
      <w:start w:val="1"/>
    </w:lvl>
  </w:abstractNum>
  <w:abstractNum w:abstractNumId="7">
    <w:nsid w:val="5BD062C2"/>
    <w:multiLevelType w:val="hybridMultilevel"/>
    <w:lvl w:ilvl="0">
      <w:lvlJc w:val="left"/>
      <w:lvlText w:val="%1."/>
      <w:numFmt w:val="decimal"/>
      <w:start w:val="5"/>
    </w:lvl>
  </w:abstractNum>
  <w:abstractNum w:abstractNumId="8">
    <w:nsid w:val="12200854"/>
    <w:multiLevelType w:val="hybridMultilevel"/>
    <w:lvl w:ilvl="0">
      <w:lvlJc w:val="left"/>
      <w:lvlText w:val="%1."/>
      <w:numFmt w:val="decimal"/>
      <w:start w:val="7"/>
    </w:lvl>
    <w:lvl w:ilvl="1">
      <w:lvlJc w:val="left"/>
      <w:lvlText w:val="%2."/>
      <w:numFmt w:val="lowerLetter"/>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2019-12-10T22:01:45Z</dcterms:created>
  <dcterms:modified xsi:type="dcterms:W3CDTF">2019-12-10T22:01:45Z</dcterms:modified>
</cp:coreProperties>
</file>