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11440_fwp-corp.htm"/>
      <w:bookmarkStart w:id="1" w:name="ksdp211440_fwpcorp"/>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433</w:t>
        <w:br/>
        <w:t>Registration Statement Number 333-266390</w:t>
        <w:br/>
        <w:t>May 20, 2024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COMCAST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$750,000,000 5.100% </w:t>
      </w:r>
      <w:r>
        <w:rPr>
          <w:rFonts w:ascii="Times New Roman;Times;Serif" w:hAnsi="Times New Roman;Times;Serif"/>
          <w:b/>
          <w:i w:val="false"/>
          <w:caps/>
          <w:sz w:val="20"/>
        </w:rPr>
        <w:t>Notes due 2029</w:t>
        <w:br/>
        <w:t>$</w:t>
      </w:r>
      <w:r>
        <w:rPr>
          <w:rFonts w:ascii="Times New Roman;Times;Serif" w:hAnsi="Times New Roman;Times;Serif"/>
          <w:b/>
          <w:i w:val="false"/>
          <w:caps w:val="false"/>
          <w:smallCaps w:val="false"/>
          <w:sz w:val="20"/>
        </w:rPr>
        <w:t xml:space="preserve">1,300,000,000 </w:t>
      </w:r>
      <w:r>
        <w:rPr>
          <w:rFonts w:ascii="Times New Roman;Times;Serif" w:hAnsi="Times New Roman;Times;Serif"/>
          <w:b/>
          <w:i w:val="false"/>
          <w:caps/>
          <w:sz w:val="20"/>
        </w:rPr>
        <w:t>5.300% Notes due 2034</w:t>
        <w:br/>
        <w:t>$</w:t>
      </w:r>
      <w:r>
        <w:rPr>
          <w:rFonts w:ascii="Times New Roman;Times;Serif" w:hAnsi="Times New Roman;Times;Serif"/>
          <w:b/>
          <w:i w:val="false"/>
          <w:caps w:val="false"/>
          <w:smallCaps w:val="false"/>
          <w:sz w:val="20"/>
        </w:rPr>
        <w:t xml:space="preserve">1,200,000,000 </w:t>
      </w:r>
      <w:r>
        <w:rPr>
          <w:rFonts w:ascii="Times New Roman;Times;Serif" w:hAnsi="Times New Roman;Times;Serif"/>
          <w:b/>
          <w:i w:val="false"/>
          <w:caps/>
          <w:sz w:val="20"/>
        </w:rPr>
        <w:t>5.650% Notes due 2054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Final Term Sheet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3"/>
        <w:gridCol w:w="8502"/>
      </w:tblGrid>
      <w:tr>
        <w:trPr/>
        <w:tc>
          <w:tcPr>
            <w:tcW w:w="1703" w:type="dxa"/>
            <w:tcBorders/>
            <w:vAlign w:val="center"/>
          </w:tcPr>
          <w:p>
            <w:pPr>
              <w:pStyle w:val="TableContents"/>
              <w:bidi w:val="0"/>
              <w:spacing w:before="0" w:after="283"/>
              <w:jc w:val="left"/>
              <w:rPr/>
            </w:pPr>
            <w:r>
              <w:rPr/>
              <w:t>Issuer</w:t>
            </w:r>
          </w:p>
        </w:tc>
        <w:tc>
          <w:tcPr>
            <w:tcW w:w="8502" w:type="dxa"/>
            <w:tcBorders/>
            <w:vAlign w:val="center"/>
          </w:tcPr>
          <w:p>
            <w:pPr>
              <w:pStyle w:val="TableContents"/>
              <w:bidi w:val="0"/>
              <w:spacing w:before="0" w:after="283"/>
              <w:jc w:val="left"/>
              <w:rPr/>
            </w:pPr>
            <w:r>
              <w:rPr/>
              <w:t>Comcast Corporation (the “</w:t>
            </w:r>
            <w:r>
              <w:rPr>
                <w:b/>
              </w:rPr>
              <w:t>Company</w:t>
            </w:r>
            <w:r>
              <w:rPr/>
              <w:t>”)</w:t>
            </w:r>
          </w:p>
        </w:tc>
      </w:tr>
      <w:tr>
        <w:trPr/>
        <w:tc>
          <w:tcPr>
            <w:tcW w:w="1703" w:type="dxa"/>
            <w:tcBorders/>
            <w:vAlign w:val="center"/>
          </w:tcPr>
          <w:p>
            <w:pPr>
              <w:pStyle w:val="TableContents"/>
              <w:bidi w:val="0"/>
              <w:spacing w:before="0" w:after="283"/>
              <w:jc w:val="left"/>
              <w:rPr/>
            </w:pPr>
            <w:r>
              <w:rPr/>
              <w:t>Guarantors</w:t>
            </w:r>
          </w:p>
        </w:tc>
        <w:tc>
          <w:tcPr>
            <w:tcW w:w="8502" w:type="dxa"/>
            <w:tcBorders/>
            <w:vAlign w:val="center"/>
          </w:tcPr>
          <w:p>
            <w:pPr>
              <w:pStyle w:val="TableContents"/>
              <w:bidi w:val="0"/>
              <w:spacing w:before="0" w:after="283"/>
              <w:jc w:val="left"/>
              <w:rPr/>
            </w:pPr>
            <w:r>
              <w:rPr/>
              <w:t>Comcast Cable Communications, LLC and NBCUniversal Media, LLC</w:t>
            </w:r>
          </w:p>
        </w:tc>
      </w:tr>
      <w:tr>
        <w:trPr/>
        <w:tc>
          <w:tcPr>
            <w:tcW w:w="1703" w:type="dxa"/>
            <w:tcBorders/>
            <w:vAlign w:val="center"/>
          </w:tcPr>
          <w:p>
            <w:pPr>
              <w:pStyle w:val="TableContents"/>
              <w:bidi w:val="0"/>
              <w:spacing w:before="0" w:after="283"/>
              <w:jc w:val="left"/>
              <w:rPr/>
            </w:pPr>
            <w:r>
              <w:rPr/>
              <w:t>Issue of Securities</w:t>
            </w:r>
          </w:p>
        </w:tc>
        <w:tc>
          <w:tcPr>
            <w:tcW w:w="8502" w:type="dxa"/>
            <w:tcBorders/>
            <w:vAlign w:val="center"/>
          </w:tcPr>
          <w:p>
            <w:pPr>
              <w:pStyle w:val="TableContents"/>
              <w:bidi w:val="0"/>
              <w:spacing w:before="0" w:after="283"/>
              <w:jc w:val="left"/>
              <w:rPr/>
            </w:pPr>
            <w:r>
              <w:rPr/>
              <w:t>5.100% Notes due 2029</w:t>
              <w:br/>
              <w:t>5.300% Notes due 2034</w:t>
              <w:br/>
              <w:t>5.650% Notes due 2054</w:t>
            </w:r>
          </w:p>
        </w:tc>
      </w:tr>
      <w:tr>
        <w:trPr/>
        <w:tc>
          <w:tcPr>
            <w:tcW w:w="1703" w:type="dxa"/>
            <w:tcBorders/>
            <w:vAlign w:val="center"/>
          </w:tcPr>
          <w:p>
            <w:pPr>
              <w:pStyle w:val="TableContents"/>
              <w:bidi w:val="0"/>
              <w:spacing w:before="0" w:after="283"/>
              <w:jc w:val="left"/>
              <w:rPr/>
            </w:pPr>
            <w:r>
              <w:rPr/>
              <w:t>Denominations</w:t>
            </w:r>
          </w:p>
        </w:tc>
        <w:tc>
          <w:tcPr>
            <w:tcW w:w="8502" w:type="dxa"/>
            <w:tcBorders/>
            <w:vAlign w:val="center"/>
          </w:tcPr>
          <w:p>
            <w:pPr>
              <w:pStyle w:val="TableContents"/>
              <w:bidi w:val="0"/>
              <w:spacing w:before="0" w:after="283"/>
              <w:jc w:val="left"/>
              <w:rPr/>
            </w:pPr>
            <w:r>
              <w:rPr/>
              <w:t>$2,000 and multiples of $1,000 in excess thereof</w:t>
            </w:r>
          </w:p>
        </w:tc>
      </w:tr>
      <w:tr>
        <w:trPr/>
        <w:tc>
          <w:tcPr>
            <w:tcW w:w="1703" w:type="dxa"/>
            <w:tcBorders/>
            <w:vAlign w:val="center"/>
          </w:tcPr>
          <w:p>
            <w:pPr>
              <w:pStyle w:val="TableContents"/>
              <w:bidi w:val="0"/>
              <w:spacing w:before="0" w:after="283"/>
              <w:jc w:val="left"/>
              <w:rPr/>
            </w:pPr>
            <w:r>
              <w:rPr/>
              <w:t>Use of Proceeds</w:t>
            </w:r>
          </w:p>
        </w:tc>
        <w:tc>
          <w:tcPr>
            <w:tcW w:w="8502" w:type="dxa"/>
            <w:tcBorders/>
            <w:vAlign w:val="center"/>
          </w:tcPr>
          <w:p>
            <w:pPr>
              <w:pStyle w:val="TableContents"/>
              <w:bidi w:val="0"/>
              <w:spacing w:before="0" w:after="283"/>
              <w:jc w:val="left"/>
              <w:rPr>
                <w:shd w:fill="FFFFFF" w:val="clear"/>
              </w:rPr>
            </w:pPr>
            <w:r>
              <w:rPr>
                <w:shd w:fill="FFFFFF" w:val="clear"/>
              </w:rPr>
              <w:t xml:space="preserve">The Company intends to use the net proceeds from this offering, after deducting underwriters’ discount and expenses, for the repayment of some or all of its outstanding commercial paper, and for working capital and general corporate purposes. The Company’s outstanding commercial paper of $2.638 billion had a weighted average annual interest rate of approximately 5.521% and a weighted average remaining maturity of approximately 17 days as of May 17, 2024. </w:t>
            </w:r>
          </w:p>
        </w:tc>
      </w:tr>
      <w:tr>
        <w:trPr/>
        <w:tc>
          <w:tcPr>
            <w:tcW w:w="1703" w:type="dxa"/>
            <w:tcBorders/>
            <w:vAlign w:val="center"/>
          </w:tcPr>
          <w:p>
            <w:pPr>
              <w:pStyle w:val="TableContents"/>
              <w:bidi w:val="0"/>
              <w:spacing w:before="0" w:after="283"/>
              <w:jc w:val="left"/>
              <w:rPr/>
            </w:pPr>
            <w:r>
              <w:rPr/>
              <w:t>Indenture</w:t>
            </w:r>
          </w:p>
        </w:tc>
        <w:tc>
          <w:tcPr>
            <w:tcW w:w="8502" w:type="dxa"/>
            <w:tcBorders/>
            <w:vAlign w:val="center"/>
          </w:tcPr>
          <w:p>
            <w:pPr>
              <w:pStyle w:val="TableContents"/>
              <w:bidi w:val="0"/>
              <w:spacing w:before="0" w:after="283"/>
              <w:jc w:val="left"/>
              <w:rPr/>
            </w:pPr>
            <w:r>
              <w:rPr/>
              <w:t>Indenture dated as of September 18, 2013 by and among the Company, the guarantors named therein and The Bank of New York Mellon, as trustee (the “</w:t>
            </w:r>
            <w:r>
              <w:rPr>
                <w:b/>
              </w:rPr>
              <w:t>Trustee</w:t>
            </w:r>
            <w:r>
              <w:rPr/>
              <w:t>”), as amended by the First Supplemental Indenture dated as of November 17, 2015 by and among the Company, the guarantors named therein and the Trustee and as further amended by the Second Supplemental Indenture dated as of July 29, 2022 by and among the Company, the guarantors named therein and the Trustee.</w:t>
            </w:r>
          </w:p>
        </w:tc>
      </w:tr>
      <w:tr>
        <w:trPr/>
        <w:tc>
          <w:tcPr>
            <w:tcW w:w="1703" w:type="dxa"/>
            <w:tcBorders/>
            <w:vAlign w:val="center"/>
          </w:tcPr>
          <w:p>
            <w:pPr>
              <w:pStyle w:val="TableContents"/>
              <w:bidi w:val="0"/>
              <w:spacing w:before="0" w:after="283"/>
              <w:jc w:val="left"/>
              <w:rPr/>
            </w:pPr>
            <w:r>
              <w:rPr/>
              <w:t>Trustee</w:t>
            </w:r>
          </w:p>
        </w:tc>
        <w:tc>
          <w:tcPr>
            <w:tcW w:w="8502" w:type="dxa"/>
            <w:tcBorders/>
            <w:vAlign w:val="center"/>
          </w:tcPr>
          <w:p>
            <w:pPr>
              <w:pStyle w:val="TableContents"/>
              <w:bidi w:val="0"/>
              <w:spacing w:before="0" w:after="283"/>
              <w:jc w:val="left"/>
              <w:rPr/>
            </w:pPr>
            <w:r>
              <w:rPr/>
              <w:t>The Bank of New York Mellon</w:t>
            </w:r>
          </w:p>
        </w:tc>
      </w:tr>
      <w:tr>
        <w:trPr/>
        <w:tc>
          <w:tcPr>
            <w:tcW w:w="1703" w:type="dxa"/>
            <w:tcBorders/>
            <w:vAlign w:val="center"/>
          </w:tcPr>
          <w:p>
            <w:pPr>
              <w:pStyle w:val="TableContents"/>
              <w:bidi w:val="0"/>
              <w:spacing w:before="0" w:after="283"/>
              <w:jc w:val="left"/>
              <w:rPr/>
            </w:pPr>
            <w:r>
              <w:rPr/>
              <w:t>Expected Ratings</w:t>
            </w:r>
            <w:r>
              <w:rPr>
                <w:position w:val="8"/>
                <w:sz w:val="19"/>
              </w:rPr>
              <w:t>1</w:t>
            </w:r>
          </w:p>
        </w:tc>
        <w:tc>
          <w:tcPr>
            <w:tcW w:w="8502" w:type="dxa"/>
            <w:tcBorders/>
            <w:vAlign w:val="center"/>
          </w:tcPr>
          <w:p>
            <w:pPr>
              <w:pStyle w:val="TableContents"/>
              <w:bidi w:val="0"/>
              <w:spacing w:before="0" w:after="283"/>
              <w:jc w:val="left"/>
              <w:rPr/>
            </w:pPr>
            <w:r>
              <w:rPr/>
              <w:t>Moody’s: A3; S&amp;P: A-; Fitch: A-</w:t>
            </w:r>
          </w:p>
        </w:tc>
      </w:tr>
      <w:tr>
        <w:trPr/>
        <w:tc>
          <w:tcPr>
            <w:tcW w:w="1703" w:type="dxa"/>
            <w:tcBorders/>
            <w:vAlign w:val="center"/>
          </w:tcPr>
          <w:p>
            <w:pPr>
              <w:pStyle w:val="TableContents"/>
              <w:bidi w:val="0"/>
              <w:spacing w:before="0" w:after="283"/>
              <w:jc w:val="left"/>
              <w:rPr/>
            </w:pPr>
            <w:r>
              <w:rPr/>
              <w:t>Joint Book-Running Managers</w:t>
            </w:r>
          </w:p>
        </w:tc>
        <w:tc>
          <w:tcPr>
            <w:tcW w:w="8502" w:type="dxa"/>
            <w:tcBorders/>
            <w:vAlign w:val="center"/>
          </w:tcPr>
          <w:p>
            <w:pPr>
              <w:pStyle w:val="TableContents"/>
              <w:bidi w:val="0"/>
              <w:spacing w:before="0" w:after="283"/>
              <w:jc w:val="left"/>
              <w:rPr/>
            </w:pPr>
            <w:r>
              <w:rPr/>
              <w:t>Barclays Capital Inc.</w:t>
              <w:br/>
              <w:t>Citigroup Global Markets Inc.</w:t>
              <w:br/>
              <w:t>Santander US Capital Markets LLC</w:t>
              <w:br/>
              <w:t>BNP Paribas Securities Corp.</w:t>
              <w:tab/>
              <w:br/>
              <w:t>Deutsche Bank Securities Inc.</w:t>
              <w:br/>
              <w:t>TD Securities (USA)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 securities rating is not a recommendation to buy, sell or hold securities and may be subject to revision or withdrawal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95"/>
        <w:gridCol w:w="8110"/>
      </w:tblGrid>
      <w:tr>
        <w:trPr/>
        <w:tc>
          <w:tcPr>
            <w:tcW w:w="2095" w:type="dxa"/>
            <w:tcBorders/>
            <w:vAlign w:val="center"/>
          </w:tcPr>
          <w:p>
            <w:pPr>
              <w:pStyle w:val="TableContents"/>
              <w:bidi w:val="0"/>
              <w:spacing w:before="0" w:after="283"/>
              <w:jc w:val="left"/>
              <w:rPr/>
            </w:pPr>
            <w:r>
              <w:rPr/>
              <w:t>Co-Managers</w:t>
            </w:r>
          </w:p>
        </w:tc>
        <w:tc>
          <w:tcPr>
            <w:tcW w:w="8110" w:type="dxa"/>
            <w:tcBorders/>
            <w:vAlign w:val="center"/>
          </w:tcPr>
          <w:p>
            <w:pPr>
              <w:pStyle w:val="TableContents"/>
              <w:bidi w:val="0"/>
              <w:spacing w:before="0" w:after="283"/>
              <w:jc w:val="left"/>
              <w:rPr/>
            </w:pPr>
            <w:r>
              <w:rPr/>
              <w:t>BofA Securities, Inc.</w:t>
              <w:br/>
              <w:t>Goldman Sachs &amp; Co. LLC</w:t>
              <w:br/>
              <w:t>J.P. Morgan Securities LLC</w:t>
              <w:br/>
              <w:t>Mizuho Securities USA LLC</w:t>
              <w:br/>
              <w:t>Morgan Stanley &amp; Co. LLC</w:t>
              <w:br/>
              <w:t>PNC Capital Markets LLC</w:t>
              <w:br/>
              <w:t>SG Americas Securities, LLC</w:t>
              <w:br/>
              <w:t>SMBC Nikko Securities America, Inc.</w:t>
              <w:br/>
              <w:t>U.S. Bancorp Investments, Inc.</w:t>
              <w:br/>
              <w:t>Wells Fargo Securities, LLC</w:t>
              <w:br/>
              <w:t>ICBC Standard Bank Plc</w:t>
              <w:br/>
              <w:t>Lloyds Securities Inc.</w:t>
              <w:br/>
              <w:t>NatWest Markets Securities Inc.</w:t>
              <w:br/>
              <w:t>Scotia Capital (USA) Inc.</w:t>
              <w:br/>
              <w:t>Truist Securities, Inc.</w:t>
              <w:br/>
              <w:t xml:space="preserve">Academy Securities, Inc. </w:t>
              <w:br/>
              <w:t>BNY Mellon Capital Markets, LLC</w:t>
              <w:br/>
              <w:t>Commerz Markets LLC</w:t>
              <w:br/>
              <w:t>ING Financial Markets LLC</w:t>
              <w:br/>
              <w:t>Intesa Sanpaolo IMI Securities Corp.</w:t>
              <w:br/>
              <w:t>Loop Capital Markets LLC</w:t>
              <w:br/>
              <w:t>Bancroft Capital, LLC</w:t>
              <w:br/>
              <w:t>Cabrera Capital Markets LLC</w:t>
              <w:br/>
              <w:t>CastleOak Securities, L.P.</w:t>
              <w:br/>
              <w:t>Drexel Hamilton, LLC</w:t>
              <w:br/>
              <w:t>Telsey Advisory Group LLC</w:t>
            </w:r>
          </w:p>
        </w:tc>
      </w:tr>
      <w:tr>
        <w:trPr/>
        <w:tc>
          <w:tcPr>
            <w:tcW w:w="2095" w:type="dxa"/>
            <w:tcBorders/>
            <w:vAlign w:val="center"/>
          </w:tcPr>
          <w:p>
            <w:pPr>
              <w:pStyle w:val="TableContents"/>
              <w:bidi w:val="0"/>
              <w:spacing w:before="0" w:after="283"/>
              <w:jc w:val="left"/>
              <w:rPr/>
            </w:pPr>
            <w:r>
              <w:rPr/>
              <w:t>Trade Date</w:t>
            </w:r>
          </w:p>
        </w:tc>
        <w:tc>
          <w:tcPr>
            <w:tcW w:w="8110" w:type="dxa"/>
            <w:tcBorders/>
            <w:vAlign w:val="center"/>
          </w:tcPr>
          <w:p>
            <w:pPr>
              <w:pStyle w:val="TableContents"/>
              <w:bidi w:val="0"/>
              <w:spacing w:before="0" w:after="283"/>
              <w:jc w:val="left"/>
              <w:rPr/>
            </w:pPr>
            <w:r>
              <w:rPr/>
              <w:t>May 20, 2024</w:t>
            </w:r>
          </w:p>
        </w:tc>
      </w:tr>
      <w:tr>
        <w:trPr/>
        <w:tc>
          <w:tcPr>
            <w:tcW w:w="2095" w:type="dxa"/>
            <w:tcBorders/>
            <w:vAlign w:val="center"/>
          </w:tcPr>
          <w:p>
            <w:pPr>
              <w:pStyle w:val="TableContents"/>
              <w:bidi w:val="0"/>
              <w:spacing w:before="0" w:after="283"/>
              <w:jc w:val="left"/>
              <w:rPr/>
            </w:pPr>
            <w:r>
              <w:rPr/>
              <w:t>Settlement Date</w:t>
            </w:r>
          </w:p>
        </w:tc>
        <w:tc>
          <w:tcPr>
            <w:tcW w:w="8110" w:type="dxa"/>
            <w:tcBorders/>
            <w:vAlign w:val="center"/>
          </w:tcPr>
          <w:p>
            <w:pPr>
              <w:pStyle w:val="TableContents"/>
              <w:bidi w:val="0"/>
              <w:spacing w:before="0" w:after="283"/>
              <w:jc w:val="left"/>
              <w:rPr/>
            </w:pPr>
            <w:r>
              <w:rPr/>
              <w:t>May 22, 2024 (T+2)</w:t>
            </w:r>
          </w:p>
        </w:tc>
      </w:tr>
      <w:tr>
        <w:trPr/>
        <w:tc>
          <w:tcPr>
            <w:tcW w:w="2095" w:type="dxa"/>
            <w:tcBorders/>
            <w:vAlign w:val="center"/>
          </w:tcPr>
          <w:p>
            <w:pPr>
              <w:pStyle w:val="TableContents"/>
              <w:bidi w:val="0"/>
              <w:spacing w:before="0" w:after="283"/>
              <w:jc w:val="left"/>
              <w:rPr/>
            </w:pPr>
            <w:r>
              <w:rPr/>
              <w:t>Risk Factors</w:t>
            </w:r>
          </w:p>
        </w:tc>
        <w:tc>
          <w:tcPr>
            <w:tcW w:w="8110" w:type="dxa"/>
            <w:tcBorders/>
            <w:vAlign w:val="center"/>
          </w:tcPr>
          <w:p>
            <w:pPr>
              <w:pStyle w:val="TableContents"/>
              <w:bidi w:val="0"/>
              <w:spacing w:before="0" w:after="283"/>
              <w:jc w:val="left"/>
              <w:rPr/>
            </w:pPr>
            <w:r>
              <w:rPr/>
              <w:t>Investing in the notes involves certain risks. See “Item 1A-Risk Factors” beginning on page 20 of the Company’s Annual Report on Form 10-K for the year ended December 31, 2023.</w:t>
            </w:r>
          </w:p>
        </w:tc>
      </w:tr>
      <w:tr>
        <w:trPr/>
        <w:tc>
          <w:tcPr>
            <w:tcW w:w="2095" w:type="dxa"/>
            <w:tcBorders/>
            <w:vAlign w:val="center"/>
          </w:tcPr>
          <w:p>
            <w:pPr>
              <w:pStyle w:val="TableContents"/>
              <w:bidi w:val="0"/>
              <w:spacing w:before="0" w:after="283"/>
              <w:jc w:val="left"/>
              <w:rPr>
                <w:b/>
              </w:rPr>
            </w:pPr>
            <w:r>
              <w:rPr>
                <w:b/>
              </w:rPr>
              <w:t>5.100% Notes Due 2029</w:t>
            </w:r>
          </w:p>
        </w:tc>
        <w:tc>
          <w:tcPr>
            <w:tcW w:w="8110" w:type="dxa"/>
            <w:tcBorders/>
            <w:vAlign w:val="center"/>
          </w:tcPr>
          <w:p>
            <w:pPr>
              <w:pStyle w:val="TableContents"/>
              <w:bidi w:val="0"/>
              <w:spacing w:before="0" w:after="283"/>
              <w:jc w:val="left"/>
              <w:rPr/>
            </w:pPr>
            <w:r>
              <w:rPr/>
              <w:t> </w:t>
            </w:r>
          </w:p>
        </w:tc>
      </w:tr>
      <w:tr>
        <w:trPr/>
        <w:tc>
          <w:tcPr>
            <w:tcW w:w="2095" w:type="dxa"/>
            <w:tcBorders/>
            <w:vAlign w:val="center"/>
          </w:tcPr>
          <w:p>
            <w:pPr>
              <w:pStyle w:val="TableContents"/>
              <w:bidi w:val="0"/>
              <w:spacing w:before="0" w:after="283"/>
              <w:jc w:val="left"/>
              <w:rPr/>
            </w:pPr>
            <w:r>
              <w:rPr/>
              <w:t>Aggregate Principal Amount</w:t>
            </w:r>
          </w:p>
        </w:tc>
        <w:tc>
          <w:tcPr>
            <w:tcW w:w="8110" w:type="dxa"/>
            <w:tcBorders/>
            <w:vAlign w:val="center"/>
          </w:tcPr>
          <w:p>
            <w:pPr>
              <w:pStyle w:val="TableContents"/>
              <w:bidi w:val="0"/>
              <w:spacing w:before="0" w:after="283"/>
              <w:jc w:val="left"/>
              <w:rPr/>
            </w:pPr>
            <w:r>
              <w:rPr/>
              <w:t>$750,000,000</w:t>
            </w:r>
          </w:p>
        </w:tc>
      </w:tr>
      <w:tr>
        <w:trPr/>
        <w:tc>
          <w:tcPr>
            <w:tcW w:w="2095" w:type="dxa"/>
            <w:tcBorders/>
            <w:vAlign w:val="center"/>
          </w:tcPr>
          <w:p>
            <w:pPr>
              <w:pStyle w:val="TableContents"/>
              <w:bidi w:val="0"/>
              <w:spacing w:before="0" w:after="283"/>
              <w:jc w:val="left"/>
              <w:rPr/>
            </w:pPr>
            <w:r>
              <w:rPr/>
              <w:t>Maturity Date</w:t>
            </w:r>
          </w:p>
        </w:tc>
        <w:tc>
          <w:tcPr>
            <w:tcW w:w="8110" w:type="dxa"/>
            <w:tcBorders/>
            <w:vAlign w:val="center"/>
          </w:tcPr>
          <w:p>
            <w:pPr>
              <w:pStyle w:val="TableContents"/>
              <w:bidi w:val="0"/>
              <w:spacing w:before="0" w:after="283"/>
              <w:jc w:val="left"/>
              <w:rPr/>
            </w:pPr>
            <w:r>
              <w:rPr/>
              <w:t>June 1, 2029</w:t>
            </w:r>
          </w:p>
        </w:tc>
      </w:tr>
      <w:tr>
        <w:trPr/>
        <w:tc>
          <w:tcPr>
            <w:tcW w:w="2095" w:type="dxa"/>
            <w:tcBorders/>
            <w:vAlign w:val="center"/>
          </w:tcPr>
          <w:p>
            <w:pPr>
              <w:pStyle w:val="TableContents"/>
              <w:bidi w:val="0"/>
              <w:spacing w:before="0" w:after="283"/>
              <w:jc w:val="left"/>
              <w:rPr/>
            </w:pPr>
            <w:r>
              <w:rPr/>
              <w:t>Interest Rate</w:t>
            </w:r>
          </w:p>
        </w:tc>
        <w:tc>
          <w:tcPr>
            <w:tcW w:w="8110" w:type="dxa"/>
            <w:tcBorders/>
            <w:vAlign w:val="center"/>
          </w:tcPr>
          <w:p>
            <w:pPr>
              <w:pStyle w:val="TableContents"/>
              <w:bidi w:val="0"/>
              <w:spacing w:before="0" w:after="283"/>
              <w:jc w:val="left"/>
              <w:rPr/>
            </w:pPr>
            <w:r>
              <w:rPr/>
              <w:t>5.100% per annum, accruing from May 22, 2024 (calculated on the basis of a 360-day year consisting of twelve 30-day months)</w:t>
            </w:r>
          </w:p>
        </w:tc>
      </w:tr>
      <w:tr>
        <w:trPr/>
        <w:tc>
          <w:tcPr>
            <w:tcW w:w="2095" w:type="dxa"/>
            <w:tcBorders/>
            <w:vAlign w:val="center"/>
          </w:tcPr>
          <w:p>
            <w:pPr>
              <w:pStyle w:val="TableContents"/>
              <w:bidi w:val="0"/>
              <w:spacing w:before="0" w:after="283"/>
              <w:jc w:val="left"/>
              <w:rPr/>
            </w:pPr>
            <w:r>
              <w:rPr/>
              <w:t>Interest Payment Dates</w:t>
            </w:r>
          </w:p>
        </w:tc>
        <w:tc>
          <w:tcPr>
            <w:tcW w:w="8110" w:type="dxa"/>
            <w:tcBorders/>
            <w:vAlign w:val="center"/>
          </w:tcPr>
          <w:p>
            <w:pPr>
              <w:pStyle w:val="TableContents"/>
              <w:bidi w:val="0"/>
              <w:spacing w:before="0" w:after="283"/>
              <w:jc w:val="left"/>
              <w:rPr/>
            </w:pPr>
            <w:r>
              <w:rPr/>
              <w:t>June 1 and December 1, commencing December 1, 2024</w:t>
            </w:r>
          </w:p>
        </w:tc>
      </w:tr>
      <w:tr>
        <w:trPr/>
        <w:tc>
          <w:tcPr>
            <w:tcW w:w="2095" w:type="dxa"/>
            <w:tcBorders/>
            <w:vAlign w:val="center"/>
          </w:tcPr>
          <w:p>
            <w:pPr>
              <w:pStyle w:val="TableContents"/>
              <w:bidi w:val="0"/>
              <w:spacing w:before="0" w:after="283"/>
              <w:jc w:val="left"/>
              <w:rPr/>
            </w:pPr>
            <w:r>
              <w:rPr/>
              <w:t>Benchmark Treasury</w:t>
            </w:r>
          </w:p>
        </w:tc>
        <w:tc>
          <w:tcPr>
            <w:tcW w:w="8110" w:type="dxa"/>
            <w:tcBorders/>
            <w:vAlign w:val="center"/>
          </w:tcPr>
          <w:p>
            <w:pPr>
              <w:pStyle w:val="TableContents"/>
              <w:bidi w:val="0"/>
              <w:spacing w:before="0" w:after="283"/>
              <w:jc w:val="left"/>
              <w:rPr/>
            </w:pPr>
            <w:r>
              <w:rPr/>
              <w:t>UST 4.625% due April 30, 2029</w:t>
            </w:r>
          </w:p>
        </w:tc>
      </w:tr>
      <w:tr>
        <w:trPr/>
        <w:tc>
          <w:tcPr>
            <w:tcW w:w="2095" w:type="dxa"/>
            <w:tcBorders/>
            <w:vAlign w:val="center"/>
          </w:tcPr>
          <w:p>
            <w:pPr>
              <w:pStyle w:val="TableContents"/>
              <w:bidi w:val="0"/>
              <w:spacing w:before="0" w:after="283"/>
              <w:jc w:val="left"/>
              <w:rPr/>
            </w:pPr>
            <w:r>
              <w:rPr/>
              <w:t>Benchmark Treasury Price/Yield</w:t>
            </w:r>
          </w:p>
        </w:tc>
        <w:tc>
          <w:tcPr>
            <w:tcW w:w="8110" w:type="dxa"/>
            <w:tcBorders/>
            <w:vAlign w:val="center"/>
          </w:tcPr>
          <w:p>
            <w:pPr>
              <w:pStyle w:val="TableContents"/>
              <w:bidi w:val="0"/>
              <w:spacing w:before="0" w:after="283"/>
              <w:jc w:val="left"/>
              <w:rPr/>
            </w:pPr>
            <w:r>
              <w:rPr/>
              <w:t>100-22¼ / 4.466%</w:t>
            </w:r>
          </w:p>
        </w:tc>
      </w:tr>
      <w:tr>
        <w:trPr/>
        <w:tc>
          <w:tcPr>
            <w:tcW w:w="2095" w:type="dxa"/>
            <w:tcBorders/>
            <w:vAlign w:val="center"/>
          </w:tcPr>
          <w:p>
            <w:pPr>
              <w:pStyle w:val="TableContents"/>
              <w:bidi w:val="0"/>
              <w:spacing w:before="0" w:after="283"/>
              <w:jc w:val="left"/>
              <w:rPr/>
            </w:pPr>
            <w:r>
              <w:rPr/>
              <w:t>Spread to Benchmark Treasury</w:t>
            </w:r>
          </w:p>
        </w:tc>
        <w:tc>
          <w:tcPr>
            <w:tcW w:w="8110" w:type="dxa"/>
            <w:tcBorders/>
            <w:vAlign w:val="center"/>
          </w:tcPr>
          <w:p>
            <w:pPr>
              <w:pStyle w:val="TableContents"/>
              <w:bidi w:val="0"/>
              <w:spacing w:before="0" w:after="283"/>
              <w:jc w:val="left"/>
              <w:rPr/>
            </w:pPr>
            <w:r>
              <w:rPr/>
              <w:t>+65 bps</w:t>
            </w:r>
          </w:p>
        </w:tc>
      </w:tr>
      <w:tr>
        <w:trPr/>
        <w:tc>
          <w:tcPr>
            <w:tcW w:w="2095" w:type="dxa"/>
            <w:tcBorders/>
            <w:vAlign w:val="center"/>
          </w:tcPr>
          <w:p>
            <w:pPr>
              <w:pStyle w:val="TableContents"/>
              <w:bidi w:val="0"/>
              <w:spacing w:before="0" w:after="283"/>
              <w:jc w:val="left"/>
              <w:rPr/>
            </w:pPr>
            <w:r>
              <w:rPr/>
              <w:t>Yield to Maturity</w:t>
            </w:r>
          </w:p>
        </w:tc>
        <w:tc>
          <w:tcPr>
            <w:tcW w:w="8110" w:type="dxa"/>
            <w:tcBorders/>
            <w:vAlign w:val="center"/>
          </w:tcPr>
          <w:p>
            <w:pPr>
              <w:pStyle w:val="TableContents"/>
              <w:bidi w:val="0"/>
              <w:spacing w:before="0" w:after="283"/>
              <w:jc w:val="left"/>
              <w:rPr/>
            </w:pPr>
            <w:r>
              <w:rPr/>
              <w:t>5.116%</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604"/>
        <w:gridCol w:w="8601"/>
      </w:tblGrid>
      <w:tr>
        <w:trPr/>
        <w:tc>
          <w:tcPr>
            <w:tcW w:w="1604" w:type="dxa"/>
            <w:tcBorders/>
            <w:vAlign w:val="center"/>
          </w:tcPr>
          <w:p>
            <w:pPr>
              <w:pStyle w:val="TableContents"/>
              <w:bidi w:val="0"/>
              <w:spacing w:before="0" w:after="283"/>
              <w:jc w:val="left"/>
              <w:rPr/>
            </w:pPr>
            <w:r>
              <w:rPr/>
              <w:t>Optional Redemption</w:t>
            </w:r>
          </w:p>
        </w:tc>
        <w:tc>
          <w:tcPr>
            <w:tcW w:w="86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May 1, 2029 (one (1) month prior to the maturity date of the 5.100% Notes due 2029) (the “</w:t>
            </w:r>
            <w:r>
              <w:rPr>
                <w:rFonts w:ascii="Times New Roman;Times;Serif" w:hAnsi="Times New Roman;Times;Serif"/>
                <w:b/>
                <w:i w:val="false"/>
                <w:caps w:val="false"/>
                <w:smallCaps w:val="false"/>
                <w:sz w:val="20"/>
              </w:rPr>
              <w:t>2029 Par Call Date</w:t>
            </w:r>
            <w:r>
              <w:rPr>
                <w:rFonts w:ascii="Times New Roman;Times;Serif" w:hAnsi="Times New Roman;Times;Serif"/>
                <w:b w:val="false"/>
                <w:i w:val="false"/>
                <w:caps w:val="false"/>
                <w:smallCaps w:val="false"/>
                <w:sz w:val="20"/>
              </w:rPr>
              <w:t>”), the Company may redeem the 5.100% Notes due 2029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5.100% Notes due 2029 matured on the 2029 Par Call Date) on a semi-annual basis (assuming a 360-day year consisting of twelve 30-day months) at the Treasury Rate (as defined below) plus 10 basis points, less (b) interest accrued to the date of redemption, and (2) 100% of the principal amount of the 5.100% Notes due 2029 to be redeemed, plus, in either case, accrued and unpaid interest thereon to the redemption date.</w:t>
            </w:r>
          </w:p>
          <w:p>
            <w:pPr>
              <w:pStyle w:val="TableContents"/>
              <w:bidi w:val="0"/>
              <w:spacing w:before="0" w:after="0"/>
              <w:ind w:left="144"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2029 Par Call Date, the Company may redeem the 5.100% Notes due 2029, in whole or in part, at any time and from time to time, at a redemption price equal to 100% of the principal amount of the 5.100% Notes due 2029 being redeemed plus accrued and unpaid interest thereon to the redemption date.</w:t>
            </w:r>
          </w:p>
        </w:tc>
      </w:tr>
      <w:tr>
        <w:trPr/>
        <w:tc>
          <w:tcPr>
            <w:tcW w:w="1604" w:type="dxa"/>
            <w:tcBorders/>
            <w:vAlign w:val="center"/>
          </w:tcPr>
          <w:p>
            <w:pPr>
              <w:pStyle w:val="TableContents"/>
              <w:bidi w:val="0"/>
              <w:spacing w:before="0" w:after="283"/>
              <w:jc w:val="left"/>
              <w:rPr/>
            </w:pPr>
            <w:r>
              <w:rPr/>
              <w:t>Additional Issuances</w:t>
            </w:r>
          </w:p>
        </w:tc>
        <w:tc>
          <w:tcPr>
            <w:tcW w:w="8601" w:type="dxa"/>
            <w:tcBorders/>
            <w:vAlign w:val="center"/>
          </w:tcPr>
          <w:p>
            <w:pPr>
              <w:pStyle w:val="TableContents"/>
              <w:bidi w:val="0"/>
              <w:spacing w:before="0" w:after="283"/>
              <w:jc w:val="left"/>
              <w:rPr/>
            </w:pPr>
            <w:r>
              <w:rPr/>
              <w:t>An unlimited amount of additional 5.100% Notes due 2029 may be issued. The 5.100% Notes due 2029 and any additional 5.100% Notes due 2029 that may be issued may be treated as a single series for all purposes under the Indenture.</w:t>
            </w:r>
          </w:p>
        </w:tc>
      </w:tr>
      <w:tr>
        <w:trPr/>
        <w:tc>
          <w:tcPr>
            <w:tcW w:w="1604" w:type="dxa"/>
            <w:tcBorders/>
            <w:vAlign w:val="center"/>
          </w:tcPr>
          <w:p>
            <w:pPr>
              <w:pStyle w:val="TableContents"/>
              <w:bidi w:val="0"/>
              <w:spacing w:before="0" w:after="283"/>
              <w:jc w:val="left"/>
              <w:rPr/>
            </w:pPr>
            <w:r>
              <w:rPr/>
              <w:t>CUSIP / ISIN</w:t>
            </w:r>
          </w:p>
        </w:tc>
        <w:tc>
          <w:tcPr>
            <w:tcW w:w="8601" w:type="dxa"/>
            <w:tcBorders/>
            <w:vAlign w:val="center"/>
          </w:tcPr>
          <w:p>
            <w:pPr>
              <w:pStyle w:val="TableContents"/>
              <w:bidi w:val="0"/>
              <w:spacing w:before="0" w:after="283"/>
              <w:jc w:val="left"/>
              <w:rPr/>
            </w:pPr>
            <w:r>
              <w:rPr/>
              <w:t>20030N EH0 / US20030NEH08</w:t>
            </w:r>
          </w:p>
        </w:tc>
      </w:tr>
      <w:tr>
        <w:trPr/>
        <w:tc>
          <w:tcPr>
            <w:tcW w:w="1604" w:type="dxa"/>
            <w:tcBorders/>
            <w:vAlign w:val="center"/>
          </w:tcPr>
          <w:p>
            <w:pPr>
              <w:pStyle w:val="TableContents"/>
              <w:bidi w:val="0"/>
              <w:spacing w:before="0" w:after="283"/>
              <w:jc w:val="left"/>
              <w:rPr/>
            </w:pPr>
            <w:r>
              <w:rPr/>
              <w:t>Public Offering Price</w:t>
            </w:r>
          </w:p>
        </w:tc>
        <w:tc>
          <w:tcPr>
            <w:tcW w:w="8601" w:type="dxa"/>
            <w:tcBorders/>
            <w:vAlign w:val="center"/>
          </w:tcPr>
          <w:p>
            <w:pPr>
              <w:pStyle w:val="TableContents"/>
              <w:bidi w:val="0"/>
              <w:spacing w:before="0" w:after="283"/>
              <w:jc w:val="left"/>
              <w:rPr/>
            </w:pPr>
            <w:r>
              <w:rPr/>
              <w:t>99.928% plus accrued interest, if any, from May 22, 2024</w:t>
            </w:r>
          </w:p>
        </w:tc>
      </w:tr>
      <w:tr>
        <w:trPr/>
        <w:tc>
          <w:tcPr>
            <w:tcW w:w="1604" w:type="dxa"/>
            <w:tcBorders/>
            <w:vAlign w:val="center"/>
          </w:tcPr>
          <w:p>
            <w:pPr>
              <w:pStyle w:val="TableContents"/>
              <w:bidi w:val="0"/>
              <w:spacing w:before="0" w:after="283"/>
              <w:jc w:val="left"/>
              <w:rPr/>
            </w:pPr>
            <w:r>
              <w:rPr/>
              <w:t>Underwriters’ Discount</w:t>
            </w:r>
          </w:p>
        </w:tc>
        <w:tc>
          <w:tcPr>
            <w:tcW w:w="8601" w:type="dxa"/>
            <w:tcBorders/>
            <w:vAlign w:val="center"/>
          </w:tcPr>
          <w:p>
            <w:pPr>
              <w:pStyle w:val="TableContents"/>
              <w:bidi w:val="0"/>
              <w:spacing w:before="0" w:after="283"/>
              <w:jc w:val="left"/>
              <w:rPr/>
            </w:pPr>
            <w:r>
              <w:rPr/>
              <w:t>0.250%</w:t>
            </w:r>
          </w:p>
        </w:tc>
      </w:tr>
      <w:tr>
        <w:trPr/>
        <w:tc>
          <w:tcPr>
            <w:tcW w:w="1604" w:type="dxa"/>
            <w:tcBorders/>
            <w:vAlign w:val="center"/>
          </w:tcPr>
          <w:p>
            <w:pPr>
              <w:pStyle w:val="TableContents"/>
              <w:bidi w:val="0"/>
              <w:spacing w:before="0" w:after="283"/>
              <w:jc w:val="left"/>
              <w:rPr/>
            </w:pPr>
            <w:r>
              <w:rPr/>
              <w:t>Net Proceeds to Comcast, Before Expenses</w:t>
            </w:r>
          </w:p>
        </w:tc>
        <w:tc>
          <w:tcPr>
            <w:tcW w:w="8601" w:type="dxa"/>
            <w:tcBorders/>
            <w:vAlign w:val="center"/>
          </w:tcPr>
          <w:p>
            <w:pPr>
              <w:pStyle w:val="TableContents"/>
              <w:bidi w:val="0"/>
              <w:spacing w:before="0" w:after="283"/>
              <w:jc w:val="left"/>
              <w:rPr/>
            </w:pPr>
            <w:r>
              <w:rPr/>
              <w:t>99.678% per $1,000 principal amount of 5.100% Notes due 2029; $747,585,000 total</w:t>
            </w:r>
          </w:p>
        </w:tc>
      </w:tr>
      <w:tr>
        <w:trPr/>
        <w:tc>
          <w:tcPr>
            <w:tcW w:w="1604" w:type="dxa"/>
            <w:tcBorders/>
            <w:vAlign w:val="center"/>
          </w:tcPr>
          <w:p>
            <w:pPr>
              <w:pStyle w:val="TableContents"/>
              <w:bidi w:val="0"/>
              <w:spacing w:before="0" w:after="283"/>
              <w:jc w:val="left"/>
              <w:rPr>
                <w:b/>
              </w:rPr>
            </w:pPr>
            <w:r>
              <w:rPr>
                <w:b/>
              </w:rPr>
              <w:t>5.300% Notes Due 2034</w:t>
            </w:r>
          </w:p>
        </w:tc>
        <w:tc>
          <w:tcPr>
            <w:tcW w:w="8601" w:type="dxa"/>
            <w:tcBorders/>
            <w:vAlign w:val="center"/>
          </w:tcPr>
          <w:p>
            <w:pPr>
              <w:pStyle w:val="TableContents"/>
              <w:bidi w:val="0"/>
              <w:spacing w:before="0" w:after="283"/>
              <w:jc w:val="left"/>
              <w:rPr/>
            </w:pPr>
            <w:r>
              <w:rPr/>
              <w:t> </w:t>
            </w:r>
          </w:p>
        </w:tc>
      </w:tr>
      <w:tr>
        <w:trPr/>
        <w:tc>
          <w:tcPr>
            <w:tcW w:w="1604" w:type="dxa"/>
            <w:tcBorders/>
            <w:vAlign w:val="center"/>
          </w:tcPr>
          <w:p>
            <w:pPr>
              <w:pStyle w:val="TableContents"/>
              <w:bidi w:val="0"/>
              <w:spacing w:before="0" w:after="283"/>
              <w:jc w:val="left"/>
              <w:rPr/>
            </w:pPr>
            <w:r>
              <w:rPr/>
              <w:t>Aggregate Principal Amount</w:t>
            </w:r>
          </w:p>
        </w:tc>
        <w:tc>
          <w:tcPr>
            <w:tcW w:w="8601" w:type="dxa"/>
            <w:tcBorders/>
            <w:vAlign w:val="center"/>
          </w:tcPr>
          <w:p>
            <w:pPr>
              <w:pStyle w:val="TableContents"/>
              <w:bidi w:val="0"/>
              <w:spacing w:before="0" w:after="283"/>
              <w:jc w:val="left"/>
              <w:rPr/>
            </w:pPr>
            <w:r>
              <w:rPr/>
              <w:t>$1,300,000,000</w:t>
            </w:r>
          </w:p>
        </w:tc>
      </w:tr>
      <w:tr>
        <w:trPr/>
        <w:tc>
          <w:tcPr>
            <w:tcW w:w="1604" w:type="dxa"/>
            <w:tcBorders/>
            <w:vAlign w:val="center"/>
          </w:tcPr>
          <w:p>
            <w:pPr>
              <w:pStyle w:val="TableContents"/>
              <w:bidi w:val="0"/>
              <w:spacing w:before="0" w:after="283"/>
              <w:jc w:val="left"/>
              <w:rPr/>
            </w:pPr>
            <w:r>
              <w:rPr/>
              <w:t>Maturity Date</w:t>
            </w:r>
          </w:p>
        </w:tc>
        <w:tc>
          <w:tcPr>
            <w:tcW w:w="8601" w:type="dxa"/>
            <w:tcBorders/>
            <w:vAlign w:val="center"/>
          </w:tcPr>
          <w:p>
            <w:pPr>
              <w:pStyle w:val="TableContents"/>
              <w:bidi w:val="0"/>
              <w:spacing w:before="0" w:after="283"/>
              <w:jc w:val="left"/>
              <w:rPr/>
            </w:pPr>
            <w:r>
              <w:rPr/>
              <w:t>June 1, 2034</w:t>
            </w:r>
          </w:p>
        </w:tc>
      </w:tr>
      <w:tr>
        <w:trPr/>
        <w:tc>
          <w:tcPr>
            <w:tcW w:w="1604" w:type="dxa"/>
            <w:tcBorders/>
            <w:vAlign w:val="center"/>
          </w:tcPr>
          <w:p>
            <w:pPr>
              <w:pStyle w:val="TableContents"/>
              <w:bidi w:val="0"/>
              <w:spacing w:before="0" w:after="283"/>
              <w:jc w:val="left"/>
              <w:rPr/>
            </w:pPr>
            <w:r>
              <w:rPr/>
              <w:t>Interest Rate</w:t>
            </w:r>
          </w:p>
        </w:tc>
        <w:tc>
          <w:tcPr>
            <w:tcW w:w="8601" w:type="dxa"/>
            <w:tcBorders/>
            <w:vAlign w:val="center"/>
          </w:tcPr>
          <w:p>
            <w:pPr>
              <w:pStyle w:val="TableContents"/>
              <w:bidi w:val="0"/>
              <w:spacing w:before="0" w:after="283"/>
              <w:jc w:val="left"/>
              <w:rPr/>
            </w:pPr>
            <w:r>
              <w:rPr/>
              <w:t>5.300% per annum, accruing from May 22, 2024 (calculated on the basis of a 360-day year consisting of twelve 30-day months)</w:t>
            </w:r>
          </w:p>
        </w:tc>
      </w:tr>
      <w:tr>
        <w:trPr/>
        <w:tc>
          <w:tcPr>
            <w:tcW w:w="1604" w:type="dxa"/>
            <w:tcBorders/>
            <w:vAlign w:val="center"/>
          </w:tcPr>
          <w:p>
            <w:pPr>
              <w:pStyle w:val="TableContents"/>
              <w:bidi w:val="0"/>
              <w:spacing w:before="0" w:after="283"/>
              <w:jc w:val="left"/>
              <w:rPr/>
            </w:pPr>
            <w:r>
              <w:rPr/>
              <w:t>Interest Payment Dates</w:t>
            </w:r>
          </w:p>
        </w:tc>
        <w:tc>
          <w:tcPr>
            <w:tcW w:w="8601" w:type="dxa"/>
            <w:tcBorders/>
            <w:vAlign w:val="center"/>
          </w:tcPr>
          <w:p>
            <w:pPr>
              <w:pStyle w:val="TableContents"/>
              <w:bidi w:val="0"/>
              <w:spacing w:before="0" w:after="283"/>
              <w:jc w:val="left"/>
              <w:rPr/>
            </w:pPr>
            <w:r>
              <w:rPr/>
              <w:t>June 1 and December 1, commencing December 1, 2024</w:t>
            </w:r>
          </w:p>
        </w:tc>
      </w:tr>
      <w:tr>
        <w:trPr/>
        <w:tc>
          <w:tcPr>
            <w:tcW w:w="1604" w:type="dxa"/>
            <w:tcBorders/>
            <w:vAlign w:val="center"/>
          </w:tcPr>
          <w:p>
            <w:pPr>
              <w:pStyle w:val="TableContents"/>
              <w:bidi w:val="0"/>
              <w:spacing w:before="0" w:after="283"/>
              <w:jc w:val="left"/>
              <w:rPr/>
            </w:pPr>
            <w:r>
              <w:rPr/>
              <w:t>Benchmark Treasury</w:t>
            </w:r>
          </w:p>
        </w:tc>
        <w:tc>
          <w:tcPr>
            <w:tcW w:w="8601" w:type="dxa"/>
            <w:tcBorders/>
            <w:vAlign w:val="center"/>
          </w:tcPr>
          <w:p>
            <w:pPr>
              <w:pStyle w:val="TableContents"/>
              <w:bidi w:val="0"/>
              <w:spacing w:before="0" w:after="283"/>
              <w:jc w:val="left"/>
              <w:rPr/>
            </w:pPr>
            <w:r>
              <w:rPr/>
              <w:t>UST 4.375% due May 15, 2034</w:t>
            </w:r>
          </w:p>
        </w:tc>
      </w:tr>
      <w:tr>
        <w:trPr/>
        <w:tc>
          <w:tcPr>
            <w:tcW w:w="1604" w:type="dxa"/>
            <w:tcBorders/>
            <w:vAlign w:val="center"/>
          </w:tcPr>
          <w:p>
            <w:pPr>
              <w:pStyle w:val="TableContents"/>
              <w:bidi w:val="0"/>
              <w:spacing w:before="0" w:after="283"/>
              <w:jc w:val="left"/>
              <w:rPr/>
            </w:pPr>
            <w:r>
              <w:rPr/>
              <w:t>Benchmark Treasury Price/Yield</w:t>
            </w:r>
          </w:p>
        </w:tc>
        <w:tc>
          <w:tcPr>
            <w:tcW w:w="8601" w:type="dxa"/>
            <w:tcBorders/>
            <w:vAlign w:val="center"/>
          </w:tcPr>
          <w:p>
            <w:pPr>
              <w:pStyle w:val="TableContents"/>
              <w:bidi w:val="0"/>
              <w:spacing w:before="0" w:after="283"/>
              <w:jc w:val="left"/>
              <w:rPr/>
            </w:pPr>
            <w:r>
              <w:rPr/>
              <w:t>99-14+ / 4.443%</w:t>
            </w:r>
          </w:p>
        </w:tc>
      </w:tr>
      <w:tr>
        <w:trPr/>
        <w:tc>
          <w:tcPr>
            <w:tcW w:w="1604" w:type="dxa"/>
            <w:tcBorders/>
            <w:vAlign w:val="center"/>
          </w:tcPr>
          <w:p>
            <w:pPr>
              <w:pStyle w:val="TableContents"/>
              <w:bidi w:val="0"/>
              <w:spacing w:before="0" w:after="283"/>
              <w:jc w:val="left"/>
              <w:rPr/>
            </w:pPr>
            <w:r>
              <w:rPr/>
              <w:t>Spread to Benchmark Treasury</w:t>
            </w:r>
          </w:p>
        </w:tc>
        <w:tc>
          <w:tcPr>
            <w:tcW w:w="8601" w:type="dxa"/>
            <w:tcBorders/>
            <w:vAlign w:val="center"/>
          </w:tcPr>
          <w:p>
            <w:pPr>
              <w:pStyle w:val="TableContents"/>
              <w:bidi w:val="0"/>
              <w:spacing w:before="0" w:after="283"/>
              <w:jc w:val="left"/>
              <w:rPr/>
            </w:pPr>
            <w:r>
              <w:rPr/>
              <w:t>+90 bps</w:t>
            </w:r>
          </w:p>
        </w:tc>
      </w:tr>
      <w:tr>
        <w:trPr/>
        <w:tc>
          <w:tcPr>
            <w:tcW w:w="1604" w:type="dxa"/>
            <w:tcBorders/>
            <w:vAlign w:val="center"/>
          </w:tcPr>
          <w:p>
            <w:pPr>
              <w:pStyle w:val="TableContents"/>
              <w:bidi w:val="0"/>
              <w:spacing w:before="0" w:after="283"/>
              <w:jc w:val="left"/>
              <w:rPr/>
            </w:pPr>
            <w:r>
              <w:rPr/>
              <w:t>Yield to Maturity</w:t>
            </w:r>
          </w:p>
        </w:tc>
        <w:tc>
          <w:tcPr>
            <w:tcW w:w="8601" w:type="dxa"/>
            <w:tcBorders/>
            <w:vAlign w:val="center"/>
          </w:tcPr>
          <w:p>
            <w:pPr>
              <w:pStyle w:val="TableContents"/>
              <w:bidi w:val="0"/>
              <w:spacing w:before="0" w:after="283"/>
              <w:jc w:val="left"/>
              <w:rPr/>
            </w:pPr>
            <w:r>
              <w:rPr/>
              <w:t>5.343%</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606"/>
        <w:gridCol w:w="8599"/>
      </w:tblGrid>
      <w:tr>
        <w:trPr/>
        <w:tc>
          <w:tcPr>
            <w:tcW w:w="1606" w:type="dxa"/>
            <w:tcBorders/>
            <w:vAlign w:val="center"/>
          </w:tcPr>
          <w:p>
            <w:pPr>
              <w:pStyle w:val="TableContents"/>
              <w:bidi w:val="0"/>
              <w:spacing w:before="0" w:after="283"/>
              <w:jc w:val="left"/>
              <w:rPr/>
            </w:pPr>
            <w:r>
              <w:rPr/>
              <w:t>Optional Redemption</w:t>
            </w:r>
          </w:p>
        </w:tc>
        <w:tc>
          <w:tcPr>
            <w:tcW w:w="8599"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March 1, 2034 (three (3) months prior to the maturity date of the 5.300% Notes due 2034) (the “</w:t>
            </w:r>
            <w:r>
              <w:rPr>
                <w:rFonts w:ascii="Times New Roman;Times;Serif" w:hAnsi="Times New Roman;Times;Serif"/>
                <w:b/>
                <w:i w:val="false"/>
                <w:caps w:val="false"/>
                <w:smallCaps w:val="false"/>
                <w:sz w:val="20"/>
              </w:rPr>
              <w:t>2034 Par Call Date</w:t>
            </w:r>
            <w:r>
              <w:rPr>
                <w:rFonts w:ascii="Times New Roman;Times;Serif" w:hAnsi="Times New Roman;Times;Serif"/>
                <w:b w:val="false"/>
                <w:i w:val="false"/>
                <w:caps w:val="false"/>
                <w:smallCaps w:val="false"/>
                <w:sz w:val="20"/>
              </w:rPr>
              <w:t>”), the Company may redeem the 5.300% Notes due 2034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5.300% Notes due 2034 matured on the 2034 Par Call Date) on a semi-annual basis (assuming a 360-day year consisting of twelve 30-day months) at the Treasury Rate (as defined below) plus 15 basis points, less (b) interest accrued to the date of redemption, and (2) 100% of the principal amount of the 5.300% Notes due 2034 to be redeemed, plus, in either case, accrued and unpaid interest thereon to the redemption date.</w:t>
            </w:r>
          </w:p>
          <w:p>
            <w:pPr>
              <w:pStyle w:val="TableContents"/>
              <w:bidi w:val="0"/>
              <w:spacing w:before="0" w:after="0"/>
              <w:ind w:left="144"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2034 Par Call Date, the Company may redeem the 5.300% Notes due 2034, in whole or in part, at any time and from time to time, at a redemption price equal to 100% of the principal amount of the 5.300% Notes due 2034 being redeemed plus accrued and unpaid interest thereon to the redemption date.</w:t>
            </w:r>
          </w:p>
        </w:tc>
      </w:tr>
      <w:tr>
        <w:trPr/>
        <w:tc>
          <w:tcPr>
            <w:tcW w:w="1606" w:type="dxa"/>
            <w:tcBorders/>
            <w:vAlign w:val="center"/>
          </w:tcPr>
          <w:p>
            <w:pPr>
              <w:pStyle w:val="TableContents"/>
              <w:bidi w:val="0"/>
              <w:spacing w:before="0" w:after="283"/>
              <w:jc w:val="left"/>
              <w:rPr/>
            </w:pPr>
            <w:r>
              <w:rPr/>
              <w:t>Additional Issuances</w:t>
            </w:r>
          </w:p>
        </w:tc>
        <w:tc>
          <w:tcPr>
            <w:tcW w:w="8599" w:type="dxa"/>
            <w:tcBorders/>
            <w:vAlign w:val="center"/>
          </w:tcPr>
          <w:p>
            <w:pPr>
              <w:pStyle w:val="TableContents"/>
              <w:bidi w:val="0"/>
              <w:spacing w:before="0" w:after="283"/>
              <w:jc w:val="left"/>
              <w:rPr/>
            </w:pPr>
            <w:r>
              <w:rPr/>
              <w:t>An unlimited amount of additional 5.300% Notes due 2034 may be issued. The 5.300% Notes due 2034 and any additional 5.300% Notes due 2034 that may be issued may be treated as a single series for all purposes under the Indenture.</w:t>
            </w:r>
          </w:p>
        </w:tc>
      </w:tr>
      <w:tr>
        <w:trPr/>
        <w:tc>
          <w:tcPr>
            <w:tcW w:w="1606" w:type="dxa"/>
            <w:tcBorders/>
            <w:vAlign w:val="center"/>
          </w:tcPr>
          <w:p>
            <w:pPr>
              <w:pStyle w:val="TableContents"/>
              <w:bidi w:val="0"/>
              <w:spacing w:before="0" w:after="283"/>
              <w:jc w:val="left"/>
              <w:rPr/>
            </w:pPr>
            <w:r>
              <w:rPr/>
              <w:t>CUSIP / ISIN</w:t>
            </w:r>
          </w:p>
        </w:tc>
        <w:tc>
          <w:tcPr>
            <w:tcW w:w="8599" w:type="dxa"/>
            <w:tcBorders/>
            <w:vAlign w:val="center"/>
          </w:tcPr>
          <w:p>
            <w:pPr>
              <w:pStyle w:val="TableContents"/>
              <w:bidi w:val="0"/>
              <w:spacing w:before="0" w:after="283"/>
              <w:jc w:val="left"/>
              <w:rPr/>
            </w:pPr>
            <w:r>
              <w:rPr/>
              <w:t>20030N EJ6 / US20030NEJ63</w:t>
            </w:r>
          </w:p>
        </w:tc>
      </w:tr>
      <w:tr>
        <w:trPr/>
        <w:tc>
          <w:tcPr>
            <w:tcW w:w="1606" w:type="dxa"/>
            <w:tcBorders/>
            <w:vAlign w:val="center"/>
          </w:tcPr>
          <w:p>
            <w:pPr>
              <w:pStyle w:val="TableContents"/>
              <w:bidi w:val="0"/>
              <w:spacing w:before="0" w:after="283"/>
              <w:jc w:val="left"/>
              <w:rPr/>
            </w:pPr>
            <w:r>
              <w:rPr/>
              <w:t>Public Offering Price</w:t>
            </w:r>
          </w:p>
        </w:tc>
        <w:tc>
          <w:tcPr>
            <w:tcW w:w="8599" w:type="dxa"/>
            <w:tcBorders/>
            <w:vAlign w:val="center"/>
          </w:tcPr>
          <w:p>
            <w:pPr>
              <w:pStyle w:val="TableContents"/>
              <w:bidi w:val="0"/>
              <w:spacing w:before="0" w:after="283"/>
              <w:jc w:val="left"/>
              <w:rPr/>
            </w:pPr>
            <w:r>
              <w:rPr/>
              <w:t>99.668% plus accrued interest, if any, from May 22, 2024</w:t>
            </w:r>
          </w:p>
        </w:tc>
      </w:tr>
      <w:tr>
        <w:trPr/>
        <w:tc>
          <w:tcPr>
            <w:tcW w:w="1606" w:type="dxa"/>
            <w:tcBorders/>
            <w:vAlign w:val="center"/>
          </w:tcPr>
          <w:p>
            <w:pPr>
              <w:pStyle w:val="TableContents"/>
              <w:bidi w:val="0"/>
              <w:spacing w:before="0" w:after="283"/>
              <w:jc w:val="left"/>
              <w:rPr/>
            </w:pPr>
            <w:r>
              <w:rPr/>
              <w:t>Underwriters’ Discount</w:t>
            </w:r>
          </w:p>
        </w:tc>
        <w:tc>
          <w:tcPr>
            <w:tcW w:w="8599" w:type="dxa"/>
            <w:tcBorders/>
            <w:vAlign w:val="center"/>
          </w:tcPr>
          <w:p>
            <w:pPr>
              <w:pStyle w:val="TableContents"/>
              <w:bidi w:val="0"/>
              <w:spacing w:before="0" w:after="283"/>
              <w:jc w:val="left"/>
              <w:rPr/>
            </w:pPr>
            <w:r>
              <w:rPr/>
              <w:t>0.400%</w:t>
            </w:r>
          </w:p>
        </w:tc>
      </w:tr>
      <w:tr>
        <w:trPr/>
        <w:tc>
          <w:tcPr>
            <w:tcW w:w="1606" w:type="dxa"/>
            <w:tcBorders/>
            <w:vAlign w:val="center"/>
          </w:tcPr>
          <w:p>
            <w:pPr>
              <w:pStyle w:val="TableContents"/>
              <w:bidi w:val="0"/>
              <w:spacing w:before="0" w:after="283"/>
              <w:jc w:val="left"/>
              <w:rPr/>
            </w:pPr>
            <w:r>
              <w:rPr/>
              <w:t>Net Proceeds to Comcast, Before Expenses</w:t>
            </w:r>
          </w:p>
        </w:tc>
        <w:tc>
          <w:tcPr>
            <w:tcW w:w="8599" w:type="dxa"/>
            <w:tcBorders/>
            <w:vAlign w:val="center"/>
          </w:tcPr>
          <w:p>
            <w:pPr>
              <w:pStyle w:val="TableContents"/>
              <w:bidi w:val="0"/>
              <w:spacing w:before="0" w:after="283"/>
              <w:jc w:val="left"/>
              <w:rPr/>
            </w:pPr>
            <w:r>
              <w:rPr/>
              <w:t>99.268% per $1,000 principal amount of 5.300% Notes due 2034; $1,290,484,000 total</w:t>
            </w:r>
          </w:p>
        </w:tc>
      </w:tr>
      <w:tr>
        <w:trPr/>
        <w:tc>
          <w:tcPr>
            <w:tcW w:w="1606" w:type="dxa"/>
            <w:tcBorders/>
            <w:vAlign w:val="center"/>
          </w:tcPr>
          <w:p>
            <w:pPr>
              <w:pStyle w:val="TableContents"/>
              <w:bidi w:val="0"/>
              <w:spacing w:before="0" w:after="283"/>
              <w:jc w:val="left"/>
              <w:rPr>
                <w:b/>
              </w:rPr>
            </w:pPr>
            <w:r>
              <w:rPr>
                <w:b/>
              </w:rPr>
              <w:t>5.650% Notes Due 2054</w:t>
            </w:r>
          </w:p>
        </w:tc>
        <w:tc>
          <w:tcPr>
            <w:tcW w:w="8599" w:type="dxa"/>
            <w:tcBorders/>
            <w:vAlign w:val="center"/>
          </w:tcPr>
          <w:p>
            <w:pPr>
              <w:pStyle w:val="TableContents"/>
              <w:bidi w:val="0"/>
              <w:spacing w:before="0" w:after="283"/>
              <w:jc w:val="left"/>
              <w:rPr/>
            </w:pPr>
            <w:r>
              <w:rPr/>
              <w:t> </w:t>
            </w:r>
          </w:p>
        </w:tc>
      </w:tr>
      <w:tr>
        <w:trPr/>
        <w:tc>
          <w:tcPr>
            <w:tcW w:w="1606" w:type="dxa"/>
            <w:tcBorders/>
            <w:vAlign w:val="center"/>
          </w:tcPr>
          <w:p>
            <w:pPr>
              <w:pStyle w:val="TableContents"/>
              <w:bidi w:val="0"/>
              <w:spacing w:before="0" w:after="283"/>
              <w:jc w:val="left"/>
              <w:rPr/>
            </w:pPr>
            <w:r>
              <w:rPr/>
              <w:t>Aggregate Principal Amount</w:t>
            </w:r>
          </w:p>
        </w:tc>
        <w:tc>
          <w:tcPr>
            <w:tcW w:w="8599" w:type="dxa"/>
            <w:tcBorders/>
            <w:vAlign w:val="center"/>
          </w:tcPr>
          <w:p>
            <w:pPr>
              <w:pStyle w:val="TableContents"/>
              <w:bidi w:val="0"/>
              <w:spacing w:before="0" w:after="283"/>
              <w:jc w:val="left"/>
              <w:rPr/>
            </w:pPr>
            <w:r>
              <w:rPr/>
              <w:t>$1,200,000,000</w:t>
            </w:r>
          </w:p>
        </w:tc>
      </w:tr>
      <w:tr>
        <w:trPr/>
        <w:tc>
          <w:tcPr>
            <w:tcW w:w="1606" w:type="dxa"/>
            <w:tcBorders/>
            <w:vAlign w:val="center"/>
          </w:tcPr>
          <w:p>
            <w:pPr>
              <w:pStyle w:val="TableContents"/>
              <w:bidi w:val="0"/>
              <w:spacing w:before="0" w:after="283"/>
              <w:jc w:val="left"/>
              <w:rPr/>
            </w:pPr>
            <w:r>
              <w:rPr/>
              <w:t>Maturity Date</w:t>
            </w:r>
          </w:p>
        </w:tc>
        <w:tc>
          <w:tcPr>
            <w:tcW w:w="8599" w:type="dxa"/>
            <w:tcBorders/>
            <w:vAlign w:val="center"/>
          </w:tcPr>
          <w:p>
            <w:pPr>
              <w:pStyle w:val="TableContents"/>
              <w:bidi w:val="0"/>
              <w:spacing w:before="0" w:after="283"/>
              <w:jc w:val="left"/>
              <w:rPr/>
            </w:pPr>
            <w:r>
              <w:rPr/>
              <w:t>June 1, 2054</w:t>
            </w:r>
          </w:p>
        </w:tc>
      </w:tr>
      <w:tr>
        <w:trPr/>
        <w:tc>
          <w:tcPr>
            <w:tcW w:w="1606" w:type="dxa"/>
            <w:tcBorders/>
            <w:vAlign w:val="center"/>
          </w:tcPr>
          <w:p>
            <w:pPr>
              <w:pStyle w:val="TableContents"/>
              <w:bidi w:val="0"/>
              <w:spacing w:before="0" w:after="283"/>
              <w:jc w:val="left"/>
              <w:rPr/>
            </w:pPr>
            <w:r>
              <w:rPr/>
              <w:t>Interest Rate</w:t>
            </w:r>
          </w:p>
        </w:tc>
        <w:tc>
          <w:tcPr>
            <w:tcW w:w="8599" w:type="dxa"/>
            <w:tcBorders/>
            <w:vAlign w:val="center"/>
          </w:tcPr>
          <w:p>
            <w:pPr>
              <w:pStyle w:val="TableContents"/>
              <w:bidi w:val="0"/>
              <w:spacing w:before="0" w:after="283"/>
              <w:jc w:val="left"/>
              <w:rPr/>
            </w:pPr>
            <w:r>
              <w:rPr/>
              <w:t>5.650% per annum, accruing from May 22, 2024 (calculated on the basis of a 360-day year consisting of twelve 30-day months)</w:t>
            </w:r>
          </w:p>
        </w:tc>
      </w:tr>
      <w:tr>
        <w:trPr/>
        <w:tc>
          <w:tcPr>
            <w:tcW w:w="1606" w:type="dxa"/>
            <w:tcBorders/>
            <w:vAlign w:val="center"/>
          </w:tcPr>
          <w:p>
            <w:pPr>
              <w:pStyle w:val="TableContents"/>
              <w:bidi w:val="0"/>
              <w:spacing w:before="0" w:after="283"/>
              <w:jc w:val="left"/>
              <w:rPr/>
            </w:pPr>
            <w:r>
              <w:rPr/>
              <w:t>Interest Payment Dates</w:t>
            </w:r>
          </w:p>
        </w:tc>
        <w:tc>
          <w:tcPr>
            <w:tcW w:w="8599" w:type="dxa"/>
            <w:tcBorders/>
            <w:vAlign w:val="center"/>
          </w:tcPr>
          <w:p>
            <w:pPr>
              <w:pStyle w:val="TableContents"/>
              <w:bidi w:val="0"/>
              <w:spacing w:before="0" w:after="283"/>
              <w:jc w:val="left"/>
              <w:rPr/>
            </w:pPr>
            <w:r>
              <w:rPr/>
              <w:t>June 1 and December 1, commencing December 1, 2024</w:t>
            </w:r>
          </w:p>
        </w:tc>
      </w:tr>
      <w:tr>
        <w:trPr/>
        <w:tc>
          <w:tcPr>
            <w:tcW w:w="1606" w:type="dxa"/>
            <w:tcBorders/>
            <w:vAlign w:val="center"/>
          </w:tcPr>
          <w:p>
            <w:pPr>
              <w:pStyle w:val="TableContents"/>
              <w:bidi w:val="0"/>
              <w:spacing w:before="0" w:after="283"/>
              <w:jc w:val="left"/>
              <w:rPr/>
            </w:pPr>
            <w:r>
              <w:rPr/>
              <w:t>Benchmark Treasury</w:t>
            </w:r>
          </w:p>
        </w:tc>
        <w:tc>
          <w:tcPr>
            <w:tcW w:w="8599" w:type="dxa"/>
            <w:tcBorders/>
            <w:vAlign w:val="center"/>
          </w:tcPr>
          <w:p>
            <w:pPr>
              <w:pStyle w:val="TableContents"/>
              <w:bidi w:val="0"/>
              <w:spacing w:before="0" w:after="283"/>
              <w:jc w:val="left"/>
              <w:rPr/>
            </w:pPr>
            <w:r>
              <w:rPr/>
              <w:t>UST 4.250% due February 15, 2054</w:t>
            </w:r>
          </w:p>
        </w:tc>
      </w:tr>
      <w:tr>
        <w:trPr/>
        <w:tc>
          <w:tcPr>
            <w:tcW w:w="1606" w:type="dxa"/>
            <w:tcBorders/>
            <w:vAlign w:val="center"/>
          </w:tcPr>
          <w:p>
            <w:pPr>
              <w:pStyle w:val="TableContents"/>
              <w:bidi w:val="0"/>
              <w:spacing w:before="0" w:after="283"/>
              <w:jc w:val="left"/>
              <w:rPr/>
            </w:pPr>
            <w:r>
              <w:rPr/>
              <w:t>Benchmark Treasury Price/Yield</w:t>
            </w:r>
          </w:p>
        </w:tc>
        <w:tc>
          <w:tcPr>
            <w:tcW w:w="8599" w:type="dxa"/>
            <w:tcBorders/>
            <w:vAlign w:val="center"/>
          </w:tcPr>
          <w:p>
            <w:pPr>
              <w:pStyle w:val="TableContents"/>
              <w:bidi w:val="0"/>
              <w:spacing w:before="0" w:after="283"/>
              <w:jc w:val="left"/>
              <w:rPr/>
            </w:pPr>
            <w:r>
              <w:rPr/>
              <w:t>94-20+ / 4.581%</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602"/>
        <w:gridCol w:w="8603"/>
      </w:tblGrid>
      <w:tr>
        <w:trPr/>
        <w:tc>
          <w:tcPr>
            <w:tcW w:w="1602" w:type="dxa"/>
            <w:tcBorders/>
            <w:vAlign w:val="center"/>
          </w:tcPr>
          <w:p>
            <w:pPr>
              <w:pStyle w:val="TableContents"/>
              <w:bidi w:val="0"/>
              <w:spacing w:before="0" w:after="283"/>
              <w:jc w:val="left"/>
              <w:rPr/>
            </w:pPr>
            <w:r>
              <w:rPr/>
              <w:t>Spread to Benchmark Treasury</w:t>
            </w:r>
          </w:p>
        </w:tc>
        <w:tc>
          <w:tcPr>
            <w:tcW w:w="8603" w:type="dxa"/>
            <w:tcBorders/>
            <w:vAlign w:val="center"/>
          </w:tcPr>
          <w:p>
            <w:pPr>
              <w:pStyle w:val="TableContents"/>
              <w:bidi w:val="0"/>
              <w:spacing w:before="0" w:after="283"/>
              <w:jc w:val="left"/>
              <w:rPr/>
            </w:pPr>
            <w:r>
              <w:rPr/>
              <w:t>+110 bps</w:t>
            </w:r>
          </w:p>
        </w:tc>
      </w:tr>
      <w:tr>
        <w:trPr/>
        <w:tc>
          <w:tcPr>
            <w:tcW w:w="1602" w:type="dxa"/>
            <w:tcBorders/>
            <w:vAlign w:val="center"/>
          </w:tcPr>
          <w:p>
            <w:pPr>
              <w:pStyle w:val="TableContents"/>
              <w:bidi w:val="0"/>
              <w:spacing w:before="0" w:after="283"/>
              <w:jc w:val="left"/>
              <w:rPr/>
            </w:pPr>
            <w:r>
              <w:rPr/>
              <w:t>Yield to Maturity</w:t>
            </w:r>
          </w:p>
        </w:tc>
        <w:tc>
          <w:tcPr>
            <w:tcW w:w="8603" w:type="dxa"/>
            <w:tcBorders/>
            <w:vAlign w:val="center"/>
          </w:tcPr>
          <w:p>
            <w:pPr>
              <w:pStyle w:val="TableContents"/>
              <w:bidi w:val="0"/>
              <w:spacing w:before="0" w:after="283"/>
              <w:jc w:val="left"/>
              <w:rPr/>
            </w:pPr>
            <w:r>
              <w:rPr/>
              <w:t>5.681%</w:t>
            </w:r>
          </w:p>
        </w:tc>
      </w:tr>
      <w:tr>
        <w:trPr/>
        <w:tc>
          <w:tcPr>
            <w:tcW w:w="1602" w:type="dxa"/>
            <w:tcBorders/>
            <w:vAlign w:val="center"/>
          </w:tcPr>
          <w:p>
            <w:pPr>
              <w:pStyle w:val="TableContents"/>
              <w:bidi w:val="0"/>
              <w:spacing w:before="0" w:after="283"/>
              <w:jc w:val="left"/>
              <w:rPr/>
            </w:pPr>
            <w:r>
              <w:rPr/>
              <w:t>Optional Redemption</w:t>
            </w:r>
          </w:p>
        </w:tc>
        <w:tc>
          <w:tcPr>
            <w:tcW w:w="8603"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December 1, 2053 (six (6) months prior to the maturity date of the 5.650% Notes due 2054) (the “</w:t>
            </w:r>
            <w:r>
              <w:rPr>
                <w:rFonts w:ascii="Times New Roman;Times;Serif" w:hAnsi="Times New Roman;Times;Serif"/>
                <w:b/>
                <w:i w:val="false"/>
                <w:caps w:val="false"/>
                <w:smallCaps w:val="false"/>
                <w:sz w:val="20"/>
              </w:rPr>
              <w:t>2054 Par Call Date</w:t>
            </w:r>
            <w:r>
              <w:rPr>
                <w:rFonts w:ascii="Times New Roman;Times;Serif" w:hAnsi="Times New Roman;Times;Serif"/>
                <w:b w:val="false"/>
                <w:i w:val="false"/>
                <w:caps w:val="false"/>
                <w:smallCaps w:val="false"/>
                <w:sz w:val="20"/>
              </w:rPr>
              <w:t>”), the Company may redeem the 5.650% Notes due 2054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5.650% Notes due 2054 matured on the 2054 Par Call Date) on a semi-annual basis (assuming a 360-day year consisting of twelve 30-day months) at the Treasury Rate (as defined below) plus 20 basis points, less (b) interest accrued to the date of redemption, and (2) 100% of the principal amount of the 5.650% Notes due 2054 to be redeemed, plus, in either case, accrued and unpaid interest thereon to the redemption date.</w:t>
            </w:r>
          </w:p>
          <w:p>
            <w:pPr>
              <w:pStyle w:val="TableContents"/>
              <w:bidi w:val="0"/>
              <w:spacing w:before="0" w:after="0"/>
              <w:ind w:left="144"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2054 Par Call Date, the Company may redeem the 5.650% Notes due 2054, in whole or in part, at any time and from time to time, at a redemption price equal to 100% of the principal amount of the 5.650% Notes due 2054 being redeemed plus accrued and unpaid interest thereon to the redemption date.</w:t>
            </w:r>
          </w:p>
        </w:tc>
      </w:tr>
      <w:tr>
        <w:trPr/>
        <w:tc>
          <w:tcPr>
            <w:tcW w:w="1602" w:type="dxa"/>
            <w:tcBorders/>
            <w:vAlign w:val="center"/>
          </w:tcPr>
          <w:p>
            <w:pPr>
              <w:pStyle w:val="TableContents"/>
              <w:bidi w:val="0"/>
              <w:spacing w:before="0" w:after="283"/>
              <w:jc w:val="left"/>
              <w:rPr/>
            </w:pPr>
            <w:r>
              <w:rPr/>
              <w:t>Additional Issuances</w:t>
            </w:r>
          </w:p>
        </w:tc>
        <w:tc>
          <w:tcPr>
            <w:tcW w:w="8603" w:type="dxa"/>
            <w:tcBorders/>
            <w:vAlign w:val="center"/>
          </w:tcPr>
          <w:p>
            <w:pPr>
              <w:pStyle w:val="TableContents"/>
              <w:bidi w:val="0"/>
              <w:spacing w:before="0" w:after="283"/>
              <w:jc w:val="left"/>
              <w:rPr/>
            </w:pPr>
            <w:r>
              <w:rPr/>
              <w:t>An unlimited amount of additional 5.650% Notes due 2054 may be issued. The 5.650% Notes due 2054 and any additional 5.650% Notes due 2054 that may be issued may be treated as a single series for all purposes under the Indenture.</w:t>
            </w:r>
          </w:p>
        </w:tc>
      </w:tr>
      <w:tr>
        <w:trPr/>
        <w:tc>
          <w:tcPr>
            <w:tcW w:w="1602" w:type="dxa"/>
            <w:tcBorders/>
            <w:vAlign w:val="center"/>
          </w:tcPr>
          <w:p>
            <w:pPr>
              <w:pStyle w:val="TableContents"/>
              <w:bidi w:val="0"/>
              <w:spacing w:before="0" w:after="283"/>
              <w:jc w:val="left"/>
              <w:rPr/>
            </w:pPr>
            <w:r>
              <w:rPr/>
              <w:t>CUSIP / ISIN</w:t>
            </w:r>
          </w:p>
        </w:tc>
        <w:tc>
          <w:tcPr>
            <w:tcW w:w="8603" w:type="dxa"/>
            <w:tcBorders/>
            <w:vAlign w:val="center"/>
          </w:tcPr>
          <w:p>
            <w:pPr>
              <w:pStyle w:val="TableContents"/>
              <w:bidi w:val="0"/>
              <w:spacing w:before="0" w:after="283"/>
              <w:jc w:val="left"/>
              <w:rPr/>
            </w:pPr>
            <w:r>
              <w:rPr/>
              <w:t>20030N EK3 / US20030NEK37</w:t>
            </w:r>
          </w:p>
        </w:tc>
      </w:tr>
      <w:tr>
        <w:trPr/>
        <w:tc>
          <w:tcPr>
            <w:tcW w:w="1602" w:type="dxa"/>
            <w:tcBorders/>
            <w:vAlign w:val="center"/>
          </w:tcPr>
          <w:p>
            <w:pPr>
              <w:pStyle w:val="TableContents"/>
              <w:bidi w:val="0"/>
              <w:spacing w:before="0" w:after="283"/>
              <w:jc w:val="left"/>
              <w:rPr/>
            </w:pPr>
            <w:r>
              <w:rPr/>
              <w:t>Public Offering Price</w:t>
            </w:r>
          </w:p>
        </w:tc>
        <w:tc>
          <w:tcPr>
            <w:tcW w:w="8603" w:type="dxa"/>
            <w:tcBorders/>
            <w:vAlign w:val="center"/>
          </w:tcPr>
          <w:p>
            <w:pPr>
              <w:pStyle w:val="TableContents"/>
              <w:bidi w:val="0"/>
              <w:spacing w:before="0" w:after="283"/>
              <w:jc w:val="left"/>
              <w:rPr/>
            </w:pPr>
            <w:r>
              <w:rPr/>
              <w:t>99.554% plus accrued interest, if any, from May 22, 2024</w:t>
            </w:r>
          </w:p>
        </w:tc>
      </w:tr>
      <w:tr>
        <w:trPr/>
        <w:tc>
          <w:tcPr>
            <w:tcW w:w="1602" w:type="dxa"/>
            <w:tcBorders/>
            <w:vAlign w:val="center"/>
          </w:tcPr>
          <w:p>
            <w:pPr>
              <w:pStyle w:val="TableContents"/>
              <w:bidi w:val="0"/>
              <w:spacing w:before="0" w:after="283"/>
              <w:jc w:val="left"/>
              <w:rPr/>
            </w:pPr>
            <w:r>
              <w:rPr/>
              <w:t>Underwriters’ Discount</w:t>
            </w:r>
          </w:p>
        </w:tc>
        <w:tc>
          <w:tcPr>
            <w:tcW w:w="8603" w:type="dxa"/>
            <w:tcBorders/>
            <w:vAlign w:val="center"/>
          </w:tcPr>
          <w:p>
            <w:pPr>
              <w:pStyle w:val="TableContents"/>
              <w:bidi w:val="0"/>
              <w:spacing w:before="0" w:after="283"/>
              <w:jc w:val="left"/>
              <w:rPr/>
            </w:pPr>
            <w:r>
              <w:rPr/>
              <w:t>0.750%</w:t>
            </w:r>
          </w:p>
        </w:tc>
      </w:tr>
      <w:tr>
        <w:trPr/>
        <w:tc>
          <w:tcPr>
            <w:tcW w:w="1602" w:type="dxa"/>
            <w:tcBorders/>
            <w:vAlign w:val="center"/>
          </w:tcPr>
          <w:p>
            <w:pPr>
              <w:pStyle w:val="TableContents"/>
              <w:bidi w:val="0"/>
              <w:spacing w:before="0" w:after="283"/>
              <w:jc w:val="left"/>
              <w:rPr/>
            </w:pPr>
            <w:r>
              <w:rPr/>
              <w:t>Net Proceeds to Comcast, Before Expenses</w:t>
            </w:r>
          </w:p>
        </w:tc>
        <w:tc>
          <w:tcPr>
            <w:tcW w:w="8603" w:type="dxa"/>
            <w:tcBorders/>
            <w:vAlign w:val="center"/>
          </w:tcPr>
          <w:p>
            <w:pPr>
              <w:pStyle w:val="TableContents"/>
              <w:bidi w:val="0"/>
              <w:spacing w:before="0" w:after="283"/>
              <w:jc w:val="left"/>
              <w:rPr/>
            </w:pPr>
            <w:r>
              <w:rPr/>
              <w:t>98.804% per $1,000 principal amount of 5.650% Notes due 2054; $1,185,648,000 total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 of “Treasury Rate” used for Optional Redemptions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yield determined by the Company in accordance with the following two paragraphs.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Times;Serif" w:hAnsi="Times New Roman;Times;Serif"/>
          <w:b/>
          <w:i w:val="false"/>
          <w:caps w:val="false"/>
          <w:smallCaps w:val="false"/>
          <w:sz w:val="20"/>
        </w:rPr>
        <w:t>H.15</w:t>
      </w:r>
      <w:r>
        <w:rPr>
          <w:rFonts w:ascii="Times New Roman;Times;Serif" w:hAnsi="Times New Roman;Times;Serif"/>
          <w:b w:val="false"/>
          <w:i w:val="false"/>
          <w:caps w:val="false"/>
          <w:smallCaps w:val="false"/>
          <w:sz w:val="20"/>
        </w:rPr>
        <w:t>”) under the caption “U.S. government securities–Treasury constant maturities–Nominal” (or any successor caption or heading) (“</w:t>
      </w:r>
      <w:r>
        <w:rPr>
          <w:rFonts w:ascii="Times New Roman;Times;Serif" w:hAnsi="Times New Roman;Times;Serif"/>
          <w:b/>
          <w:i w:val="false"/>
          <w:caps w:val="false"/>
          <w:smallCaps w:val="false"/>
          <w:sz w:val="20"/>
        </w:rPr>
        <w:t>H.15 TCM</w:t>
      </w:r>
      <w:r>
        <w:rPr>
          <w:rFonts w:ascii="Times New Roman;Times;Serif" w:hAnsi="Times New Roman;Times;Serif"/>
          <w:b w:val="false"/>
          <w:i w:val="false"/>
          <w:caps w:val="false"/>
          <w:smallCaps w:val="false"/>
          <w:sz w:val="20"/>
        </w:rPr>
        <w:t>”). In determining the Treasury Rate, the Company shall select, as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(1) the yield for the Treasury constant maturity on H.15 exactly equal to the period from the redemption date to the applicable Par Call Date (the “</w:t>
      </w:r>
      <w:r>
        <w:rPr>
          <w:rFonts w:ascii="Times New Roman;Times;Serif" w:hAnsi="Times New Roman;Times;Serif"/>
          <w:b/>
          <w:i w:val="false"/>
          <w:caps w:val="false"/>
          <w:smallCaps w:val="false"/>
          <w:sz w:val="20"/>
        </w:rPr>
        <w:t>Remaining Life</w:t>
      </w:r>
      <w:r>
        <w:rPr>
          <w:rFonts w:ascii="Times New Roman;Times;Serif" w:hAnsi="Times New Roman;Times;Serif"/>
          <w:b w:val="false"/>
          <w:i w:val="false"/>
          <w:caps w:val="false"/>
          <w:smallCaps w:val="false"/>
          <w:sz w:val="20"/>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relevant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such Par Call Date, and one with a maturity date following such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Barclays Capital Inc. at 1-888-603-5847, Citigroup Global Markets Inc. at 1-800-831-9146 or Santander US Capital Markets LLC at 1-855-403-3636.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2400</Words>
  <Characters>12140</Characters>
  <CharactersWithSpaces>14442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