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3255645</wp:posOffset>
            </wp:positionH>
            <wp:positionV relativeFrom="paragraph">
              <wp:posOffset>226060</wp:posOffset>
            </wp:positionV>
            <wp:extent cx="7461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5100"/>
        <w:spacing w:after="0"/>
        <w:rPr>
          <w:sz w:val="20"/>
          <w:szCs w:val="20"/>
          <w:color w:val="auto"/>
        </w:rPr>
      </w:pPr>
      <w:r>
        <w:rPr>
          <w:rFonts w:ascii="Arial" w:cs="Arial" w:eastAsia="Arial" w:hAnsi="Arial"/>
          <w:sz w:val="25"/>
          <w:szCs w:val="25"/>
          <w:b w:val="1"/>
          <w:bCs w:val="1"/>
          <w:color w:val="auto"/>
        </w:rPr>
        <w:t>FORM 8-K</w:t>
      </w:r>
    </w:p>
    <w:p>
      <w:pPr>
        <w:spacing w:after="0" w:line="253" w:lineRule="exact"/>
        <w:rPr>
          <w:sz w:val="24"/>
          <w:szCs w:val="24"/>
          <w:color w:val="auto"/>
        </w:rPr>
      </w:pPr>
    </w:p>
    <w:p>
      <w:pPr>
        <w:ind w:left="4540"/>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Date of report (Date of earliest event reported): October 18, 2012</w:t>
      </w:r>
    </w:p>
    <w:p>
      <w:pPr>
        <w:spacing w:after="0" w:line="379" w:lineRule="exact"/>
        <w:rPr>
          <w:sz w:val="24"/>
          <w:szCs w:val="24"/>
          <w:color w:val="auto"/>
        </w:rPr>
      </w:pPr>
    </w:p>
    <w:p>
      <w:pPr>
        <w:jc w:val="center"/>
        <w:ind w:right="-539"/>
        <w:spacing w:after="0"/>
        <w:rPr>
          <w:sz w:val="20"/>
          <w:szCs w:val="20"/>
          <w:color w:val="auto"/>
        </w:rPr>
      </w:pPr>
      <w:r>
        <w:rPr>
          <w:rFonts w:ascii="Arial" w:cs="Arial" w:eastAsia="Arial" w:hAnsi="Arial"/>
          <w:sz w:val="25"/>
          <w:szCs w:val="25"/>
          <w:b w:val="1"/>
          <w:bCs w:val="1"/>
          <w:color w:val="auto"/>
        </w:rPr>
        <w:t>Comcast Corporation</w:t>
      </w:r>
    </w:p>
    <w:p>
      <w:pPr>
        <w:spacing w:after="0" w:line="126"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(Exact Name of Registrant</w:t>
      </w:r>
    </w:p>
    <w:p>
      <w:pPr>
        <w:spacing w:after="0" w:line="23"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as Specified in its Charter)</w:t>
      </w:r>
    </w:p>
    <w:p>
      <w:pPr>
        <w:spacing w:after="0" w:line="36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Pennsylvania</w:t>
      </w:r>
    </w:p>
    <w:p>
      <w:pPr>
        <w:spacing w:after="0" w:line="121"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383"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324"/>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76"/>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34"/>
        </w:trPr>
        <w:tc>
          <w:tcPr>
            <w:tcW w:w="7780" w:type="dxa"/>
            <w:vAlign w:val="bottom"/>
          </w:tcPr>
          <w:p>
            <w:pPr>
              <w:jc w:val="center"/>
              <w:ind w:right="4770"/>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324"/>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594"/>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594"/>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bl>
    <w:p>
      <w:pPr>
        <w:spacing w:after="0" w:line="283"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94" w:lineRule="exact"/>
        <w:rPr>
          <w:sz w:val="24"/>
          <w:szCs w:val="24"/>
          <w:color w:val="auto"/>
        </w:rPr>
      </w:pPr>
    </w:p>
    <w:p>
      <w:pPr>
        <w:ind w:left="660" w:hanging="572"/>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572"/>
        <w:spacing w:after="0" w:line="220"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3" w:lineRule="exact"/>
        <w:rPr>
          <w:rFonts w:ascii="Arial" w:cs="Arial" w:eastAsia="Arial" w:hAnsi="Arial"/>
          <w:sz w:val="29"/>
          <w:szCs w:val="29"/>
          <w:color w:val="auto"/>
          <w:vertAlign w:val="superscript"/>
        </w:rPr>
      </w:pPr>
    </w:p>
    <w:p>
      <w:pPr>
        <w:ind w:left="660" w:hanging="572"/>
        <w:spacing w:after="0" w:line="220"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3" w:lineRule="exact"/>
        <w:rPr>
          <w:rFonts w:ascii="Arial" w:cs="Arial" w:eastAsia="Arial" w:hAnsi="Arial"/>
          <w:sz w:val="29"/>
          <w:szCs w:val="29"/>
          <w:color w:val="auto"/>
          <w:vertAlign w:val="superscript"/>
        </w:rPr>
      </w:pPr>
    </w:p>
    <w:p>
      <w:pPr>
        <w:ind w:left="660" w:hanging="572"/>
        <w:spacing w:after="0" w:line="220"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563880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306" w:right="7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described more fully below, Comcast Corporation and its wholly-owned subsidiary, Comcast Holdings Corporation (“Comcast Holdings”), do not anticipate that the recently announced Sprint Softbank transaction will result in any changes to the interest paid or amounts due at maturity on Comcast Holdings’ 2.0% Exchangeable Subordinated Debentures due 2029 (CUSIP 200300507, NYSE: CCZ) or on its 2.0% Exchangeable Subordinated Debentures due November 2029 (CUSIP 200300606) (collectively, the “ZONES”).</w:t>
      </w:r>
    </w:p>
    <w:p>
      <w:pPr>
        <w:spacing w:after="0" w:line="21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October 15, 2012, Sprint Nextel Corporation announced that it has entered into an Agreement and Plan of Merger with Softbank Corp., pursuant to which Softbank seeks to acquire control of Sprint Nextel through a direct wholly owned Softbank subsidiary (“New Sprint”). Among other things, the Sprint Softbank transaction contemplates an exchange offer in which each share of Sprint Nextel’s common stock will be converted, at the shareholder option, into $7.30 in cash, one share of New Sprint common stock, or a combination of cash and stock. The Sprint Softbank transaction is subject to a vote by Sprint Nextel shareholders as well as other conditions. The terms of the Sprint Softbank transaction can be amended by agreement of the parties thereto.</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Comcast Holdings has concluded that, as currently structured, the Sprint Softbank transaction constitutes a “Reference Share Offer” for purposes of the ZONES. Subject to market conditions and possible future changes in the terms of the Sprint Softbank transaction, Comcast Holdings expects to elect to increase the “Early Exchange Ratio” of the ZONES from 95% to 100% during the pendency of the Sprint Softbank transaction rather than making a “Reference Share Offer Adjustment”. This means that there will be no changes in the payment terms of the ZONES, except that upon consummation of the Sprint Softbank transaction the Reference Shares underlying each ZONES will change from shares of Sprint Nextel common stock to an equivalent number of shares of New Sprint common stock. In particular, no “Additional Interest” will be paid in connection with the Sprint Softbank transaction.</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An increase in the Early Exchange Ratio to 100% would allow a holder of the ZONES to exchange its ZONES for the full “Exchange Market Value” of the Reference Shares underlying its ZONES. As of the date hereof, the “Contingent Principal Amount per ZONES” substantially exceeds the Exchange Market Value of the Reference Shares per ZONES. Accordingly, Comcast Holdings does not anticipate that any ZONES will be exchanged in connection with the Sprint Softbank transaction.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but not otherwise defined in this Current Report have the meanings set forth in the ZONES.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340" w:type="dxa"/>
            <w:vAlign w:val="bottom"/>
            <w:gridSpan w:val="2"/>
          </w:tcPr>
          <w:p>
            <w:pPr>
              <w:ind w:left="1560"/>
              <w:spacing w:after="0"/>
              <w:rPr>
                <w:sz w:val="20"/>
                <w:szCs w:val="20"/>
                <w:color w:val="auto"/>
              </w:rPr>
            </w:pPr>
            <w:r>
              <w:rPr>
                <w:rFonts w:ascii="Arial" w:cs="Arial" w:eastAsia="Arial" w:hAnsi="Arial"/>
                <w:sz w:val="18"/>
                <w:szCs w:val="18"/>
                <w:b w:val="1"/>
                <w:bCs w:val="1"/>
                <w:color w:val="auto"/>
              </w:rPr>
              <w:t>COMCAST CORPORATION</w:t>
            </w:r>
          </w:p>
        </w:tc>
      </w:tr>
      <w:tr>
        <w:trPr>
          <w:trHeight w:val="621"/>
        </w:trPr>
        <w:tc>
          <w:tcPr>
            <w:tcW w:w="3500" w:type="dxa"/>
            <w:vAlign w:val="bottom"/>
          </w:tcPr>
          <w:p>
            <w:pPr>
              <w:spacing w:after="0"/>
              <w:rPr>
                <w:sz w:val="20"/>
                <w:szCs w:val="20"/>
                <w:color w:val="auto"/>
              </w:rPr>
            </w:pPr>
            <w:r>
              <w:rPr>
                <w:rFonts w:ascii="Arial" w:cs="Arial" w:eastAsia="Arial" w:hAnsi="Arial"/>
                <w:sz w:val="18"/>
                <w:szCs w:val="18"/>
                <w:color w:val="auto"/>
              </w:rPr>
              <w:t>Date:   October 18, 2012</w:t>
            </w:r>
          </w:p>
        </w:tc>
        <w:tc>
          <w:tcPr>
            <w:tcW w:w="7340" w:type="dxa"/>
            <w:vAlign w:val="bottom"/>
            <w:gridSpan w:val="2"/>
          </w:tcPr>
          <w:p>
            <w:pPr>
              <w:ind w:left="1560"/>
              <w:spacing w:after="0"/>
              <w:rPr>
                <w:sz w:val="20"/>
                <w:szCs w:val="20"/>
                <w:color w:val="auto"/>
              </w:rPr>
            </w:pPr>
            <w:r>
              <w:rPr>
                <w:rFonts w:ascii="Arial" w:cs="Arial" w:eastAsia="Arial" w:hAnsi="Arial"/>
                <w:sz w:val="18"/>
                <w:szCs w:val="18"/>
                <w:color w:val="auto"/>
              </w:rPr>
              <w:t>By:   /s/ Arthur R. Block</w:t>
            </w:r>
          </w:p>
        </w:tc>
      </w:tr>
      <w:tr>
        <w:trPr>
          <w:trHeight w:val="195"/>
        </w:trPr>
        <w:tc>
          <w:tcPr>
            <w:tcW w:w="35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35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220"/>
      </w:cols>
      <w:pgMar w:left="240" w:top="51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2019-12-09T14:08:08Z</dcterms:created>
  <dcterms:modified xsi:type="dcterms:W3CDTF">2019-12-09T14:08:08Z</dcterms:modified>
</cp:coreProperties>
</file>