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20030N101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13G</w:t>
            </w:r>
          </w:p>
        </w:tc>
      </w:tr>
      <w:tr>
        <w:trPr>
          <w:trHeight w:val="297"/>
        </w:trPr>
        <w:tc>
          <w:tcPr>
            <w:tcW w:w="5360" w:type="dxa"/>
            <w:vAlign w:val="bottom"/>
            <w:gridSpan w:val="3"/>
          </w:tcPr>
          <w:p>
            <w:pPr>
              <w:spacing w:after="0"/>
              <w:rPr>
                <w:sz w:val="20"/>
                <w:szCs w:val="20"/>
                <w:color w:val="auto"/>
              </w:rPr>
            </w:pPr>
            <w:r>
              <w:rPr>
                <w:rFonts w:ascii="Arial" w:cs="Arial" w:eastAsia="Arial" w:hAnsi="Arial"/>
                <w:sz w:val="18"/>
                <w:szCs w:val="18"/>
                <w:color w:val="auto"/>
              </w:rPr>
              <w:t>CUSIP NO. 20030N101</w:t>
            </w:r>
          </w:p>
        </w:tc>
        <w:tc>
          <w:tcPr>
            <w:tcW w:w="6080" w:type="dxa"/>
            <w:vAlign w:val="bottom"/>
          </w:tcPr>
          <w:p>
            <w:pPr>
              <w:ind w:left="4500"/>
              <w:spacing w:after="0"/>
              <w:rPr>
                <w:sz w:val="20"/>
                <w:szCs w:val="20"/>
                <w:color w:val="auto"/>
              </w:rPr>
            </w:pPr>
            <w:r>
              <w:rPr>
                <w:rFonts w:ascii="Arial" w:cs="Arial" w:eastAsia="Arial" w:hAnsi="Arial"/>
                <w:sz w:val="18"/>
                <w:szCs w:val="18"/>
                <w:color w:val="auto"/>
                <w:w w:val="88"/>
              </w:rPr>
              <w:t>PAGE 2 OF 4 PAGES</w:t>
            </w:r>
          </w:p>
        </w:tc>
      </w:tr>
      <w:tr>
        <w:trPr>
          <w:trHeight w:val="83"/>
        </w:trPr>
        <w:tc>
          <w:tcPr>
            <w:tcW w:w="520" w:type="dxa"/>
            <w:vAlign w:val="bottom"/>
            <w:gridSpan w:val="2"/>
          </w:tcPr>
          <w:p>
            <w:pPr>
              <w:spacing w:after="0"/>
              <w:rPr>
                <w:sz w:val="7"/>
                <w:szCs w:val="7"/>
                <w:color w:val="auto"/>
              </w:rPr>
            </w:pPr>
          </w:p>
        </w:tc>
        <w:tc>
          <w:tcPr>
            <w:tcW w:w="4840" w:type="dxa"/>
            <w:vAlign w:val="bottom"/>
          </w:tcPr>
          <w:p>
            <w:pPr>
              <w:spacing w:after="0"/>
              <w:rPr>
                <w:sz w:val="7"/>
                <w:szCs w:val="7"/>
                <w:color w:val="auto"/>
              </w:rPr>
            </w:pPr>
          </w:p>
        </w:tc>
        <w:tc>
          <w:tcPr>
            <w:tcW w:w="6080" w:type="dxa"/>
            <w:vAlign w:val="bottom"/>
          </w:tcPr>
          <w:p>
            <w:pPr>
              <w:spacing w:after="0"/>
              <w:rPr>
                <w:sz w:val="7"/>
                <w:szCs w:val="7"/>
                <w:color w:val="auto"/>
              </w:rPr>
            </w:pP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ind w:right="132"/>
              <w:spacing w:after="0" w:line="201" w:lineRule="exact"/>
              <w:rPr>
                <w:sz w:val="20"/>
                <w:szCs w:val="20"/>
                <w:color w:val="auto"/>
              </w:rPr>
            </w:pPr>
            <w:r>
              <w:rPr>
                <w:rFonts w:ascii="Arial" w:cs="Arial" w:eastAsia="Arial" w:hAnsi="Arial"/>
                <w:sz w:val="18"/>
                <w:szCs w:val="18"/>
                <w:color w:val="auto"/>
              </w:rPr>
              <w:t>1</w:t>
            </w:r>
          </w:p>
        </w:tc>
        <w:tc>
          <w:tcPr>
            <w:tcW w:w="484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NAME OF REPORTING PERSON</w:t>
            </w:r>
          </w:p>
        </w:tc>
        <w:tc>
          <w:tcPr>
            <w:tcW w:w="608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w w:val="95"/>
              </w:rPr>
              <w:t>S.S. OR I.R.S. IDENTIFICATION NO. OF ABOVE PERSON</w:t>
            </w:r>
          </w:p>
        </w:tc>
        <w:tc>
          <w:tcPr>
            <w:tcW w:w="6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-281305</wp:posOffset>
            </wp:positionV>
            <wp:extent cx="8890" cy="537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8890" cy="5377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-281305</wp:posOffset>
            </wp:positionV>
            <wp:extent cx="8890" cy="187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87833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Dodge &amp; Cox</w:t>
            </w:r>
          </w:p>
        </w:tc>
        <w:tc>
          <w:tcPr>
            <w:tcW w:w="9260" w:type="dxa"/>
            <w:vAlign w:val="bottom"/>
            <w:tcBorders>
              <w:bottom w:val="single" w:sz="8" w:color="auto"/>
            </w:tcBorders>
          </w:tcPr>
          <w:p>
            <w:pPr>
              <w:jc w:val="right"/>
              <w:ind w:right="7922"/>
              <w:spacing w:after="0"/>
              <w:rPr>
                <w:sz w:val="20"/>
                <w:szCs w:val="20"/>
                <w:color w:val="auto"/>
              </w:rPr>
            </w:pPr>
            <w:r>
              <w:rPr>
                <w:rFonts w:ascii="Arial" w:cs="Arial" w:eastAsia="Arial" w:hAnsi="Arial"/>
                <w:sz w:val="22"/>
                <w:szCs w:val="22"/>
                <w:color w:val="auto"/>
              </w:rPr>
              <w:t>94-1441976</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800" w:type="dxa"/>
            <w:vAlign w:val="bottom"/>
            <w:gridSpan w:val="6"/>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N/A</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54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80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gridSpan w:val="6"/>
          </w:tcPr>
          <w:p>
            <w:pPr>
              <w:ind w:left="100"/>
              <w:spacing w:after="0"/>
              <w:rPr>
                <w:sz w:val="20"/>
                <w:szCs w:val="20"/>
                <w:color w:val="auto"/>
              </w:rPr>
            </w:pPr>
            <w:r>
              <w:rPr>
                <w:rFonts w:ascii="Arial" w:cs="Arial" w:eastAsia="Arial" w:hAnsi="Arial"/>
                <w:sz w:val="22"/>
                <w:szCs w:val="22"/>
                <w:color w:val="auto"/>
              </w:rPr>
              <w:t>California - U.S.A.</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94,611,771</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0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19"/>
                <w:szCs w:val="19"/>
                <w:color w:val="auto"/>
              </w:rPr>
            </w:pPr>
          </w:p>
        </w:tc>
        <w:tc>
          <w:tcPr>
            <w:tcW w:w="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restart"/>
          </w:tcPr>
          <w:p>
            <w:pPr>
              <w:spacing w:after="0"/>
              <w:rPr>
                <w:sz w:val="20"/>
                <w:szCs w:val="20"/>
                <w:color w:val="auto"/>
              </w:rPr>
            </w:pPr>
            <w:r>
              <w:rPr>
                <w:rFonts w:ascii="Arial" w:cs="Arial" w:eastAsia="Arial" w:hAnsi="Arial"/>
                <w:sz w:val="22"/>
                <w:szCs w:val="22"/>
                <w:color w:val="auto"/>
              </w:rPr>
              <w:t>0</w:t>
            </w: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9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0" w:type="dxa"/>
            <w:vAlign w:val="bottom"/>
            <w:tcBorders>
              <w:right w:val="single" w:sz="8" w:color="auto"/>
            </w:tcBorders>
            <w:gridSpan w:val="2"/>
          </w:tcPr>
          <w:p>
            <w:pPr>
              <w:jc w:val="center"/>
              <w:ind w:right="143"/>
              <w:spacing w:after="0" w:line="190"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6"/>
                <w:szCs w:val="16"/>
                <w:color w:val="auto"/>
              </w:rPr>
            </w:pPr>
          </w:p>
        </w:tc>
        <w:tc>
          <w:tcPr>
            <w:tcW w:w="28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6"/>
                <w:szCs w:val="16"/>
                <w:color w:val="auto"/>
              </w:rPr>
            </w:pPr>
          </w:p>
        </w:tc>
        <w:tc>
          <w:tcPr>
            <w:tcW w:w="9620" w:type="dxa"/>
            <w:vAlign w:val="bottom"/>
            <w:gridSpan w:val="2"/>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20" w:type="dxa"/>
            <w:vAlign w:val="bottom"/>
            <w:gridSpan w:val="2"/>
            <w:vMerge w:val="restart"/>
          </w:tcPr>
          <w:p>
            <w:pPr>
              <w:spacing w:after="0"/>
              <w:rPr>
                <w:sz w:val="20"/>
                <w:szCs w:val="20"/>
                <w:color w:val="auto"/>
              </w:rPr>
            </w:pPr>
            <w:r>
              <w:rPr>
                <w:rFonts w:ascii="Arial" w:cs="Arial" w:eastAsia="Arial" w:hAnsi="Arial"/>
                <w:sz w:val="22"/>
                <w:szCs w:val="22"/>
                <w:color w:val="auto"/>
              </w:rPr>
              <w:t>100,679,425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100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9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1080" w:type="dxa"/>
            <w:vAlign w:val="bottom"/>
            <w:gridSpan w:val="3"/>
          </w:tcPr>
          <w:p>
            <w:pPr>
              <w:ind w:left="100"/>
              <w:spacing w:after="0"/>
              <w:rPr>
                <w:sz w:val="20"/>
                <w:szCs w:val="20"/>
                <w:color w:val="auto"/>
              </w:rPr>
            </w:pPr>
            <w:r>
              <w:rPr>
                <w:rFonts w:ascii="Arial" w:cs="Arial" w:eastAsia="Arial" w:hAnsi="Arial"/>
                <w:sz w:val="18"/>
                <w:szCs w:val="18"/>
                <w:color w:val="auto"/>
                <w:w w:val="82"/>
              </w:rPr>
              <w:t>AGGREGATE</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w w:val="86"/>
              </w:rPr>
              <w:t>100,679,425</w:t>
            </w:r>
          </w:p>
        </w:tc>
        <w:tc>
          <w:tcPr>
            <w:tcW w:w="3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8"/>
                <w:szCs w:val="18"/>
                <w:color w:val="auto"/>
              </w:rPr>
            </w:pPr>
          </w:p>
        </w:tc>
        <w:tc>
          <w:tcPr>
            <w:tcW w:w="10800" w:type="dxa"/>
            <w:vAlign w:val="bottom"/>
            <w:gridSpan w:val="6"/>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N/A</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80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4.8%</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80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IA</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60" w:type="dxa"/>
            <w:vAlign w:val="bottom"/>
          </w:tcPr>
          <w:p>
            <w:pPr>
              <w:jc w:val="right"/>
              <w:ind w:right="4842"/>
              <w:spacing w:after="0"/>
              <w:rPr>
                <w:sz w:val="20"/>
                <w:szCs w:val="20"/>
                <w:color w:val="auto"/>
              </w:rPr>
            </w:pPr>
            <w:r>
              <w:rPr>
                <w:rFonts w:ascii="Arial" w:cs="Arial" w:eastAsia="Arial" w:hAnsi="Arial"/>
                <w:sz w:val="18"/>
                <w:szCs w:val="18"/>
                <w:color w:val="auto"/>
              </w:rPr>
              <w:t>PAGE 2 OF 4 PAGES</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color w:val="auto"/>
        </w:rPr>
        <w:t>Name of Issuer:</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Comcast Corporation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One Comcast Center</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Philadelphia, PA 19103-2838</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 of Person Filing:</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Dodge &amp; Cox</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the Principal Office or, if none, Residence:</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555 California Street, 40th Floor</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San Francisco, CA 94104</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5"/>
          <w:szCs w:val="15"/>
          <w:b w:val="1"/>
          <w:bCs w:val="1"/>
          <w:color w:val="auto"/>
        </w:rPr>
        <w:t>Citizenship:</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California - U.S.A.</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Class A Common Stock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20030N101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the Statement is being filed pursuant to Rule 13d-1(b), or 13d-2(b), check whether the person filing is a:</w:t>
      </w:r>
    </w:p>
    <w:p>
      <w:pPr>
        <w:spacing w:after="0" w:line="64" w:lineRule="exact"/>
        <w:rPr>
          <w:sz w:val="20"/>
          <w:szCs w:val="20"/>
          <w:color w:val="auto"/>
        </w:rPr>
      </w:pPr>
    </w:p>
    <w:p>
      <w:pPr>
        <w:ind w:left="1520" w:hanging="479"/>
        <w:spacing w:after="0" w:line="207" w:lineRule="exact"/>
        <w:tabs>
          <w:tab w:leader="none" w:pos="15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Advisor registered under section 203 of the Investment Advisors Act of 1940</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ind w:left="1400" w:right="6779" w:hanging="366"/>
        <w:spacing w:after="0" w:line="344" w:lineRule="auto"/>
        <w:tabs>
          <w:tab w:leader="none" w:pos="1363"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100,679,425</w:t>
      </w:r>
    </w:p>
    <w:p>
      <w:pPr>
        <w:ind w:left="1380" w:hanging="346"/>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9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4.8%</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74" w:right="1440" w:bottom="1440" w:gutter="0" w:footer="0" w:header="0"/>
        </w:sectPr>
      </w:pPr>
    </w:p>
    <w:bookmarkStart w:id="3" w:name="page4"/>
    <w:bookmarkEnd w:id="3"/>
    <w:p>
      <w:pPr>
        <w:ind w:left="1040"/>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sz w:val="20"/>
          <w:szCs w:val="20"/>
          <w:color w:val="auto"/>
        </w:rPr>
        <w:tab/>
      </w:r>
      <w:r>
        <w:rPr>
          <w:rFonts w:ascii="Arial" w:cs="Arial" w:eastAsia="Arial" w:hAnsi="Arial"/>
          <w:sz w:val="15"/>
          <w:szCs w:val="15"/>
          <w:color w:val="auto"/>
        </w:rPr>
        <w:t>Number of shares as to which such person has:</w:t>
      </w:r>
    </w:p>
    <w:p>
      <w:pPr>
        <w:spacing w:after="0" w:line="90" w:lineRule="exact"/>
        <w:rPr>
          <w:sz w:val="20"/>
          <w:szCs w:val="20"/>
          <w:color w:val="auto"/>
        </w:rPr>
      </w:pPr>
    </w:p>
    <w:p>
      <w:pPr>
        <w:ind w:left="1380" w:hanging="346"/>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94,611,771</w:t>
      </w:r>
    </w:p>
    <w:p>
      <w:pPr>
        <w:spacing w:after="0" w:line="90" w:lineRule="exact"/>
        <w:rPr>
          <w:rFonts w:ascii="Arial" w:cs="Arial" w:eastAsia="Arial" w:hAnsi="Arial"/>
          <w:sz w:val="18"/>
          <w:szCs w:val="18"/>
          <w:color w:val="auto"/>
        </w:rPr>
      </w:pPr>
    </w:p>
    <w:p>
      <w:pPr>
        <w:ind w:left="1380" w:hanging="346"/>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90" w:lineRule="exact"/>
        <w:rPr>
          <w:rFonts w:ascii="Arial" w:cs="Arial" w:eastAsia="Arial" w:hAnsi="Arial"/>
          <w:sz w:val="18"/>
          <w:szCs w:val="18"/>
          <w:color w:val="auto"/>
        </w:rPr>
      </w:pPr>
    </w:p>
    <w:p>
      <w:pPr>
        <w:ind w:left="1420" w:hanging="386"/>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100,679,425</w:t>
      </w:r>
    </w:p>
    <w:p>
      <w:pPr>
        <w:spacing w:after="0" w:line="90" w:lineRule="exact"/>
        <w:rPr>
          <w:rFonts w:ascii="Arial" w:cs="Arial" w:eastAsia="Arial" w:hAnsi="Arial"/>
          <w:sz w:val="18"/>
          <w:szCs w:val="18"/>
          <w:color w:val="auto"/>
        </w:rPr>
      </w:pPr>
    </w:p>
    <w:p>
      <w:pPr>
        <w:ind w:left="1380" w:hanging="346"/>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left="1040" w:right="26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1040" w:right="80"/>
        <w:spacing w:after="0" w:line="332" w:lineRule="auto"/>
        <w:rPr>
          <w:sz w:val="20"/>
          <w:szCs w:val="20"/>
          <w:color w:val="auto"/>
        </w:rPr>
      </w:pPr>
      <w:r>
        <w:rPr>
          <w:rFonts w:ascii="Arial" w:cs="Arial" w:eastAsia="Arial" w:hAnsi="Arial"/>
          <w:sz w:val="16"/>
          <w:szCs w:val="16"/>
          <w:color w:val="auto"/>
        </w:rPr>
        <w:t>The clients of Dodge &amp; Cox, including investment companies registered under the Investment Company Act of 1940 and other managed accounts, have the right to receive or power to direct the receipt of dividends from, and the proceeds from the sale of, Comcast Corporation.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a Group:</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96" w:lineRule="exact"/>
        <w:rPr>
          <w:sz w:val="20"/>
          <w:szCs w:val="20"/>
          <w:color w:val="auto"/>
        </w:rPr>
      </w:pPr>
    </w:p>
    <w:p>
      <w:pPr>
        <w:ind w:left="1040" w:right="16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M. M</w:t>
            </w:r>
            <w:r>
              <w:rPr>
                <w:rFonts w:ascii="Arial" w:cs="Arial" w:eastAsia="Arial" w:hAnsi="Arial"/>
                <w:sz w:val="14"/>
                <w:szCs w:val="14"/>
                <w:color w:val="auto"/>
              </w:rPr>
              <w:t>ISTELE</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9"/>
              </w:rPr>
              <w:t>Thomas M. Mistele</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9"/>
              </w:rPr>
              <w:t>COO &amp; Senior Counsel</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2019-12-09T15:06:48Z</dcterms:created>
  <dcterms:modified xsi:type="dcterms:W3CDTF">2019-12-09T15:06:48Z</dcterms:modified>
</cp:coreProperties>
</file>