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00774_8k.htm"/>
      <w:bookmarkStart w:id="1" w:name="ksdp200774_8k"/>
      <w:bookmarkEnd w:id="0"/>
      <w:bookmarkEnd w:id="1"/>
      <w:r>
        <w:rPr/>
        <w:t> </w:t>
      </w:r>
    </w:p>
    <w:p>
      <w:pPr>
        <w:pStyle w:val="TextBody"/>
        <w:pBdr>
          <w:bottom w:val="single" w:sz="24" w:space="1" w:color="000000"/>
        </w:pBdr>
        <w:bidi w:val="0"/>
        <w:jc w:val="left"/>
        <w:rPr/>
      </w:pPr>
      <w:r>
        <w:rPr/>
        <w:t> </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3100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October 3, 2023</w:t>
      </w:r>
    </w:p>
    <w:p>
      <w:pPr>
        <w:pStyle w:val="TextBody"/>
        <w:bidi w:val="0"/>
        <w:spacing w:before="0" w:after="0"/>
        <w:ind w:left="0" w:right="0" w:hanging="0"/>
        <w:jc w:val="center"/>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2735"/>
      </w:tblGrid>
      <w:tr>
        <w:trPr/>
        <w:tc>
          <w:tcPr>
            <w:tcW w:w="2735" w:type="dxa"/>
            <w:tcBorders/>
            <w:vAlign w:val="center"/>
          </w:tcPr>
          <w:p>
            <w:pPr>
              <w:pStyle w:val="TableContents"/>
              <w:bidi w:val="0"/>
              <w:spacing w:before="0" w:after="283"/>
              <w:jc w:val="center"/>
              <w:rPr>
                <w:b/>
                <w:sz w:val="28"/>
              </w:rPr>
            </w:pPr>
            <w:bookmarkStart w:id="4" w:name="xdx_90F_edei--EntityRegistrantName_c2023"/>
            <w:bookmarkEnd w:id="4"/>
            <w:r>
              <w:rPr>
                <w:b/>
                <w:sz w:val="28"/>
              </w:rPr>
              <w:t>Comcast Corporation</w:t>
            </w:r>
          </w:p>
        </w:tc>
      </w:tr>
      <w:tr>
        <w:trPr/>
        <w:tc>
          <w:tcPr>
            <w:tcW w:w="2735" w:type="dxa"/>
            <w:tcBorders/>
            <w:vAlign w:val="center"/>
          </w:tcPr>
          <w:p>
            <w:pPr>
              <w:pStyle w:val="TableContents"/>
              <w:bidi w:val="0"/>
              <w:spacing w:before="0" w:after="283"/>
              <w:jc w:val="center"/>
              <w:rPr>
                <w:sz w:val="20"/>
              </w:rPr>
            </w:pPr>
            <w:r>
              <w:rPr>
                <w:sz w:val="20"/>
              </w:rPr>
              <w:t>(Exact Name of Registrant</w:t>
            </w:r>
          </w:p>
        </w:tc>
      </w:tr>
      <w:tr>
        <w:trPr/>
        <w:tc>
          <w:tcPr>
            <w:tcW w:w="2735" w:type="dxa"/>
            <w:tcBorders/>
            <w:vAlign w:val="center"/>
          </w:tcPr>
          <w:p>
            <w:pPr>
              <w:pStyle w:val="TableContents"/>
              <w:bidi w:val="0"/>
              <w:spacing w:before="0" w:after="283"/>
              <w:jc w:val="center"/>
              <w:rPr>
                <w:sz w:val="20"/>
              </w:rPr>
            </w:pPr>
            <w:r>
              <w:rPr>
                <w:sz w:val="20"/>
              </w:rPr>
              <w:t>as Specified in its Charter)</w:t>
            </w:r>
          </w:p>
        </w:tc>
      </w:tr>
    </w:tbl>
    <w:p>
      <w:pPr>
        <w:pStyle w:val="TextBody"/>
        <w:bidi w:val="0"/>
        <w:jc w:val="center"/>
        <w:rPr/>
      </w:pPr>
      <w:r>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center"/>
              <w:rPr>
                <w:b/>
                <w:sz w:val="20"/>
              </w:rPr>
            </w:pPr>
            <w:bookmarkStart w:id="5" w:name="xdx_90D_edei--EntityIncorporationStateCo"/>
            <w:bookmarkEnd w:id="5"/>
            <w:r>
              <w:rPr>
                <w:b/>
                <w:sz w:val="20"/>
              </w:rPr>
              <w:t>Pennsylvania</w:t>
            </w:r>
          </w:p>
        </w:tc>
      </w:tr>
      <w:tr>
        <w:trPr/>
        <w:tc>
          <w:tcPr>
            <w:tcW w:w="3650" w:type="dxa"/>
            <w:tcBorders/>
            <w:vAlign w:val="center"/>
          </w:tcPr>
          <w:p>
            <w:pPr>
              <w:pStyle w:val="TableContents"/>
              <w:bidi w:val="0"/>
              <w:spacing w:before="0" w:after="283"/>
              <w:jc w:val="center"/>
              <w:rPr>
                <w:sz w:val="20"/>
              </w:rPr>
            </w:pPr>
            <w:r>
              <w:rPr>
                <w:sz w:val="20"/>
              </w:rPr>
              <w:t>(State or Other Jurisdiction of Incorporation)</w:t>
            </w:r>
          </w:p>
        </w:tc>
      </w:tr>
    </w:tbl>
    <w:p>
      <w:pPr>
        <w:pStyle w:val="TextBody"/>
        <w:bidi w:val="0"/>
        <w:jc w:val="center"/>
        <w:rPr/>
      </w:pPr>
      <w:r>
        <w:rPr/>
        <w:t> </w:t>
      </w:r>
    </w:p>
    <w:tbl>
      <w:tblPr>
        <w:tblW w:w="5005" w:type="dxa"/>
        <w:jc w:val="left"/>
        <w:tblInd w:w="0" w:type="dxa"/>
        <w:tblLayout w:type="fixed"/>
        <w:tblCellMar>
          <w:top w:w="0" w:type="dxa"/>
          <w:left w:w="0" w:type="dxa"/>
          <w:bottom w:w="0" w:type="dxa"/>
          <w:right w:w="0" w:type="dxa"/>
        </w:tblCellMar>
      </w:tblPr>
      <w:tblGrid>
        <w:gridCol w:w="2225"/>
        <w:gridCol w:w="2780"/>
      </w:tblGrid>
      <w:tr>
        <w:trPr/>
        <w:tc>
          <w:tcPr>
            <w:tcW w:w="2225" w:type="dxa"/>
            <w:tcBorders/>
            <w:vAlign w:val="center"/>
          </w:tcPr>
          <w:p>
            <w:pPr>
              <w:pStyle w:val="TableContents"/>
              <w:bidi w:val="0"/>
              <w:spacing w:before="0" w:after="283"/>
              <w:jc w:val="center"/>
              <w:rPr>
                <w:b/>
                <w:sz w:val="20"/>
              </w:rPr>
            </w:pPr>
            <w:bookmarkStart w:id="6" w:name="xdx_909_edei--EntityFileNumber_c20231003"/>
            <w:bookmarkEnd w:id="6"/>
            <w:r>
              <w:rPr>
                <w:b/>
                <w:sz w:val="20"/>
              </w:rPr>
              <w:t>001-32871</w:t>
            </w:r>
          </w:p>
        </w:tc>
        <w:tc>
          <w:tcPr>
            <w:tcW w:w="2780" w:type="dxa"/>
            <w:tcBorders/>
            <w:vAlign w:val="center"/>
          </w:tcPr>
          <w:p>
            <w:pPr>
              <w:pStyle w:val="TableContents"/>
              <w:bidi w:val="0"/>
              <w:spacing w:before="0" w:after="283"/>
              <w:jc w:val="center"/>
              <w:rPr>
                <w:b/>
                <w:sz w:val="20"/>
              </w:rPr>
            </w:pPr>
            <w:bookmarkStart w:id="7" w:name="xdx_907_edei--EntityTaxIdentificationNum"/>
            <w:bookmarkEnd w:id="7"/>
            <w:r>
              <w:rPr>
                <w:b/>
                <w:sz w:val="20"/>
              </w:rPr>
              <w:t>27-0000798</w:t>
            </w:r>
          </w:p>
        </w:tc>
      </w:tr>
      <w:tr>
        <w:trPr/>
        <w:tc>
          <w:tcPr>
            <w:tcW w:w="2225"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jc w:val="center"/>
        <w:rPr/>
      </w:pPr>
      <w:r>
        <w:rPr/>
        <w:t> </w:t>
      </w:r>
    </w:p>
    <w:tbl>
      <w:tblPr>
        <w:tblW w:w="4315" w:type="dxa"/>
        <w:jc w:val="left"/>
        <w:tblInd w:w="0" w:type="dxa"/>
        <w:tblLayout w:type="fixed"/>
        <w:tblCellMar>
          <w:top w:w="0" w:type="dxa"/>
          <w:left w:w="0" w:type="dxa"/>
          <w:bottom w:w="0" w:type="dxa"/>
          <w:right w:w="0" w:type="dxa"/>
        </w:tblCellMar>
      </w:tblPr>
      <w:tblGrid>
        <w:gridCol w:w="3275"/>
        <w:gridCol w:w="1040"/>
      </w:tblGrid>
      <w:tr>
        <w:trPr/>
        <w:tc>
          <w:tcPr>
            <w:tcW w:w="3275" w:type="dxa"/>
            <w:tcBorders/>
            <w:vAlign w:val="center"/>
          </w:tcPr>
          <w:p>
            <w:pPr>
              <w:pStyle w:val="TableContents"/>
              <w:bidi w:val="0"/>
              <w:spacing w:before="0" w:after="283"/>
              <w:jc w:val="center"/>
              <w:rPr>
                <w:b/>
                <w:sz w:val="20"/>
              </w:rPr>
            </w:pPr>
            <w:bookmarkStart w:id="8" w:name="xdx_901_edei--EntityAddressAddressLine1_"/>
            <w:bookmarkEnd w:id="8"/>
            <w:r>
              <w:rPr>
                <w:b/>
                <w:sz w:val="20"/>
              </w:rPr>
              <w:t>One Comcast Center</w:t>
            </w:r>
          </w:p>
        </w:tc>
        <w:tc>
          <w:tcPr>
            <w:tcW w:w="104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b/>
                <w:sz w:val="20"/>
              </w:rPr>
            </w:pPr>
            <w:bookmarkStart w:id="9" w:name="xdx_903_edei--EntityAddressCityOrTown_c2"/>
            <w:bookmarkEnd w:id="9"/>
            <w:r>
              <w:rPr>
                <w:b/>
                <w:sz w:val="20"/>
              </w:rPr>
              <w:t xml:space="preserve">Philadelphia, </w:t>
            </w:r>
            <w:bookmarkStart w:id="10" w:name="xdx_90E_edei--EntityAddressStateOrProvin"/>
            <w:bookmarkEnd w:id="10"/>
            <w:r>
              <w:rPr>
                <w:b/>
                <w:sz w:val="20"/>
              </w:rPr>
              <w:t>PA</w:t>
            </w:r>
          </w:p>
        </w:tc>
        <w:tc>
          <w:tcPr>
            <w:tcW w:w="1040" w:type="dxa"/>
            <w:tcBorders/>
            <w:vAlign w:val="center"/>
          </w:tcPr>
          <w:p>
            <w:pPr>
              <w:pStyle w:val="TableContents"/>
              <w:bidi w:val="0"/>
              <w:spacing w:before="0" w:after="283"/>
              <w:jc w:val="center"/>
              <w:rPr>
                <w:b/>
                <w:sz w:val="20"/>
              </w:rPr>
            </w:pPr>
            <w:bookmarkStart w:id="11" w:name="xdx_909_edei--EntityAddressPostalZipCode"/>
            <w:bookmarkEnd w:id="11"/>
            <w:r>
              <w:rPr>
                <w:b/>
                <w:sz w:val="20"/>
              </w:rPr>
              <w:t>19103-2838</w:t>
            </w:r>
          </w:p>
        </w:tc>
      </w:tr>
      <w:tr>
        <w:trPr/>
        <w:tc>
          <w:tcPr>
            <w:tcW w:w="3275" w:type="dxa"/>
            <w:tcBorders/>
            <w:vAlign w:val="center"/>
          </w:tcPr>
          <w:p>
            <w:pPr>
              <w:pStyle w:val="TableContents"/>
              <w:bidi w:val="0"/>
              <w:spacing w:before="0" w:after="283"/>
              <w:jc w:val="center"/>
              <w:rPr>
                <w:sz w:val="20"/>
              </w:rPr>
            </w:pPr>
            <w:r>
              <w:rPr>
                <w:sz w:val="20"/>
              </w:rPr>
              <w:t>(Address of Principal Executive Offices)</w:t>
            </w:r>
          </w:p>
        </w:tc>
        <w:tc>
          <w:tcPr>
            <w:tcW w:w="104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0_edei--CityAreaCode_c20231003__20"/>
      <w:bookmarkEnd w:id="12"/>
      <w:r>
        <w:rPr>
          <w:rFonts w:ascii="Times New Roman;Times;Serif" w:hAnsi="Times New Roman;Times;Serif"/>
          <w:b/>
          <w:i w:val="false"/>
          <w:caps w:val="false"/>
          <w:smallCaps w:val="false"/>
          <w:sz w:val="20"/>
        </w:rPr>
        <w:t xml:space="preserve">215) </w:t>
      </w:r>
      <w:bookmarkStart w:id="13" w:name="xdx_90E_edei--LocalPhoneNumber_c20231003"/>
      <w:bookmarkEnd w:id="13"/>
      <w:r>
        <w:rPr>
          <w:rFonts w:ascii="Times New Roman;Times;Serif" w:hAnsi="Times New Roman;Times;Serif"/>
          <w:b/>
          <w:i w:val="false"/>
          <w:caps w:val="false"/>
          <w:smallCaps w:val="false"/>
          <w:sz w:val="20"/>
        </w:rPr>
        <w:t>286-1700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36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E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36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310"/>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2"/>
        <w:gridCol w:w="120"/>
        <w:gridCol w:w="1577"/>
        <w:gridCol w:w="60"/>
        <w:gridCol w:w="3896"/>
      </w:tblGrid>
      <w:tr>
        <w:trPr/>
        <w:tc>
          <w:tcPr>
            <w:tcW w:w="10205" w:type="dxa"/>
            <w:gridSpan w:val="5"/>
            <w:tcBorders/>
            <w:vAlign w:val="center"/>
          </w:tcPr>
          <w:p>
            <w:pPr>
              <w:pStyle w:val="TableContents"/>
              <w:bidi w:val="0"/>
              <w:spacing w:before="0" w:after="283"/>
              <w:jc w:val="left"/>
              <w:rPr>
                <w:sz w:val="20"/>
              </w:rPr>
            </w:pPr>
            <w:r>
              <w:rPr>
                <w:sz w:val="20"/>
              </w:rPr>
              <w:t>Securities registered pursuant to Section 12(b) of the Act:</w:t>
            </w:r>
          </w:p>
        </w:tc>
      </w:tr>
      <w:tr>
        <w:trPr/>
        <w:tc>
          <w:tcPr>
            <w:tcW w:w="455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Title of Each Class</w:t>
            </w:r>
          </w:p>
        </w:tc>
        <w:tc>
          <w:tcPr>
            <w:tcW w:w="120" w:type="dxa"/>
            <w:tcBorders/>
            <w:vAlign w:val="center"/>
          </w:tcPr>
          <w:p>
            <w:pPr>
              <w:pStyle w:val="TableContents"/>
              <w:bidi w:val="0"/>
              <w:spacing w:before="0" w:after="283"/>
              <w:jc w:val="left"/>
              <w:rPr/>
            </w:pPr>
            <w:r>
              <w:rPr/>
              <w:t>  </w:t>
            </w:r>
          </w:p>
        </w:tc>
        <w:tc>
          <w:tcPr>
            <w:tcW w:w="1577"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Trading symbol(s)</w:t>
            </w:r>
          </w:p>
        </w:tc>
        <w:tc>
          <w:tcPr>
            <w:tcW w:w="60" w:type="dxa"/>
            <w:tcBorders/>
            <w:vAlign w:val="center"/>
          </w:tcPr>
          <w:p>
            <w:pPr>
              <w:pStyle w:val="TableContents"/>
              <w:bidi w:val="0"/>
              <w:spacing w:before="0" w:after="283"/>
              <w:jc w:val="left"/>
              <w:rPr/>
            </w:pPr>
            <w:r>
              <w:rPr/>
              <w:t> </w:t>
            </w:r>
          </w:p>
        </w:tc>
        <w:tc>
          <w:tcPr>
            <w:tcW w:w="389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Name of Each Exchange on Which Registered</w:t>
            </w:r>
          </w:p>
        </w:tc>
      </w:tr>
      <w:tr>
        <w:trPr/>
        <w:tc>
          <w:tcPr>
            <w:tcW w:w="4552" w:type="dxa"/>
            <w:tcBorders/>
            <w:vAlign w:val="center"/>
          </w:tcPr>
          <w:p>
            <w:pPr>
              <w:pStyle w:val="TableContents"/>
              <w:bidi w:val="0"/>
              <w:spacing w:before="0" w:after="283"/>
              <w:jc w:val="center"/>
              <w:rPr>
                <w:sz w:val="20"/>
              </w:rPr>
            </w:pPr>
            <w:bookmarkStart w:id="18" w:name="xdx_909_edei--Security12bTitle_c20231003"/>
            <w:bookmarkEnd w:id="18"/>
            <w:r>
              <w:rPr>
                <w:sz w:val="20"/>
              </w:rPr>
              <w:t>Class A Common Stock, $0.01 par value</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19" w:name="xdx_905_edei--TradingSymbol_c20231003__2"/>
            <w:bookmarkEnd w:id="19"/>
            <w:r>
              <w:rPr>
                <w:sz w:val="20"/>
              </w:rPr>
              <w:t>CMCSA</w:t>
            </w:r>
          </w:p>
        </w:tc>
        <w:tc>
          <w:tcPr>
            <w:tcW w:w="60" w:type="dxa"/>
            <w:tcBorders/>
            <w:vAlign w:val="center"/>
          </w:tcPr>
          <w:p>
            <w:pPr>
              <w:pStyle w:val="TableContents"/>
              <w:bidi w:val="0"/>
              <w:spacing w:before="0" w:after="283"/>
              <w:jc w:val="center"/>
              <w:rPr/>
            </w:pPr>
            <w:r>
              <w:rPr/>
              <w:t> </w:t>
            </w:r>
          </w:p>
        </w:tc>
        <w:tc>
          <w:tcPr>
            <w:tcW w:w="3896" w:type="dxa"/>
            <w:tcBorders/>
            <w:vAlign w:val="center"/>
          </w:tcPr>
          <w:p>
            <w:pPr>
              <w:pStyle w:val="TableContents"/>
              <w:bidi w:val="0"/>
              <w:spacing w:before="0" w:after="283"/>
              <w:jc w:val="center"/>
              <w:rPr>
                <w:sz w:val="20"/>
              </w:rPr>
            </w:pPr>
            <w:bookmarkStart w:id="20" w:name="xdx_90F_edei--SecurityExchangeName_c2023"/>
            <w:bookmarkEnd w:id="20"/>
            <w:r>
              <w:rPr>
                <w:sz w:val="20"/>
              </w:rPr>
              <w:t>The Nasdaq Stock Market LLC</w:t>
            </w:r>
          </w:p>
        </w:tc>
      </w:tr>
      <w:tr>
        <w:trPr/>
        <w:tc>
          <w:tcPr>
            <w:tcW w:w="4552" w:type="dxa"/>
            <w:tcBorders/>
            <w:vAlign w:val="center"/>
          </w:tcPr>
          <w:p>
            <w:pPr>
              <w:pStyle w:val="TableContents"/>
              <w:bidi w:val="0"/>
              <w:spacing w:before="0" w:after="283"/>
              <w:jc w:val="center"/>
              <w:rPr>
                <w:sz w:val="20"/>
              </w:rPr>
            </w:pPr>
            <w:bookmarkStart w:id="21" w:name="xdx_90D_edei--Security12bTitle_c20231003"/>
            <w:bookmarkEnd w:id="21"/>
            <w:r>
              <w:rPr>
                <w:sz w:val="20"/>
              </w:rPr>
              <w:t>0.000% Notes due 2026</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22" w:name="xdx_907_edei--TradingSymbol_c20231003__2"/>
            <w:bookmarkEnd w:id="22"/>
            <w:r>
              <w:rPr>
                <w:sz w:val="20"/>
              </w:rPr>
              <w:t>CMCS26</w:t>
            </w:r>
          </w:p>
        </w:tc>
        <w:tc>
          <w:tcPr>
            <w:tcW w:w="60" w:type="dxa"/>
            <w:tcBorders/>
            <w:vAlign w:val="center"/>
          </w:tcPr>
          <w:p>
            <w:pPr>
              <w:pStyle w:val="TableContents"/>
              <w:bidi w:val="0"/>
              <w:spacing w:before="0" w:after="283"/>
              <w:jc w:val="left"/>
              <w:rPr/>
            </w:pPr>
            <w:r>
              <w:rPr/>
              <w:t> </w:t>
            </w:r>
          </w:p>
        </w:tc>
        <w:tc>
          <w:tcPr>
            <w:tcW w:w="3896" w:type="dxa"/>
            <w:tcBorders/>
            <w:vAlign w:val="center"/>
          </w:tcPr>
          <w:p>
            <w:pPr>
              <w:pStyle w:val="TableContents"/>
              <w:bidi w:val="0"/>
              <w:spacing w:before="0" w:after="283"/>
              <w:jc w:val="center"/>
              <w:rPr>
                <w:sz w:val="20"/>
              </w:rPr>
            </w:pPr>
            <w:bookmarkStart w:id="23" w:name="xdx_90F_edei--SecurityExchangeName_c2023"/>
            <w:bookmarkEnd w:id="23"/>
            <w:r>
              <w:rPr>
                <w:sz w:val="20"/>
              </w:rPr>
              <w:t>The Nasdaq Stock Market LLC</w:t>
            </w:r>
          </w:p>
        </w:tc>
      </w:tr>
      <w:tr>
        <w:trPr/>
        <w:tc>
          <w:tcPr>
            <w:tcW w:w="4552" w:type="dxa"/>
            <w:tcBorders/>
            <w:vAlign w:val="center"/>
          </w:tcPr>
          <w:p>
            <w:pPr>
              <w:pStyle w:val="TableContents"/>
              <w:bidi w:val="0"/>
              <w:spacing w:before="0" w:after="283"/>
              <w:jc w:val="center"/>
              <w:rPr>
                <w:sz w:val="20"/>
              </w:rPr>
            </w:pPr>
            <w:bookmarkStart w:id="24" w:name="xdx_908_edei--Security12bTitle_c20231003"/>
            <w:bookmarkEnd w:id="24"/>
            <w:r>
              <w:rPr>
                <w:sz w:val="20"/>
              </w:rPr>
              <w:t>0.250% Notes due 2027</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25" w:name="xdx_90E_edei--TradingSymbol_c20231003__2"/>
            <w:bookmarkEnd w:id="25"/>
            <w:r>
              <w:rPr>
                <w:sz w:val="20"/>
              </w:rPr>
              <w:t>CMCS27</w:t>
            </w:r>
          </w:p>
        </w:tc>
        <w:tc>
          <w:tcPr>
            <w:tcW w:w="60" w:type="dxa"/>
            <w:tcBorders/>
            <w:vAlign w:val="center"/>
          </w:tcPr>
          <w:p>
            <w:pPr>
              <w:pStyle w:val="TableContents"/>
              <w:bidi w:val="0"/>
              <w:spacing w:before="0" w:after="283"/>
              <w:jc w:val="left"/>
              <w:rPr/>
            </w:pPr>
            <w:r>
              <w:rPr/>
              <w:t> </w:t>
            </w:r>
          </w:p>
        </w:tc>
        <w:tc>
          <w:tcPr>
            <w:tcW w:w="3896" w:type="dxa"/>
            <w:tcBorders/>
            <w:vAlign w:val="center"/>
          </w:tcPr>
          <w:p>
            <w:pPr>
              <w:pStyle w:val="TableContents"/>
              <w:bidi w:val="0"/>
              <w:spacing w:before="0" w:after="283"/>
              <w:jc w:val="center"/>
              <w:rPr>
                <w:sz w:val="20"/>
              </w:rPr>
            </w:pPr>
            <w:bookmarkStart w:id="26" w:name="xdx_904_edei--SecurityExchangeName_c2023"/>
            <w:bookmarkEnd w:id="26"/>
            <w:r>
              <w:rPr>
                <w:sz w:val="20"/>
              </w:rPr>
              <w:t>The Nasdaq Stock Market LLC</w:t>
            </w:r>
          </w:p>
        </w:tc>
      </w:tr>
      <w:tr>
        <w:trPr/>
        <w:tc>
          <w:tcPr>
            <w:tcW w:w="4552" w:type="dxa"/>
            <w:tcBorders/>
            <w:vAlign w:val="center"/>
          </w:tcPr>
          <w:p>
            <w:pPr>
              <w:pStyle w:val="TableContents"/>
              <w:bidi w:val="0"/>
              <w:spacing w:before="0" w:after="283"/>
              <w:jc w:val="center"/>
              <w:rPr>
                <w:sz w:val="20"/>
              </w:rPr>
            </w:pPr>
            <w:bookmarkStart w:id="27" w:name="xdx_90F_edei--Security12bTitle_c20231003"/>
            <w:bookmarkEnd w:id="27"/>
            <w:r>
              <w:rPr>
                <w:sz w:val="20"/>
              </w:rPr>
              <w:t>1.500% Notes due 2029</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28" w:name="xdx_903_edei--TradingSymbol_c20231003__2"/>
            <w:bookmarkEnd w:id="28"/>
            <w:r>
              <w:rPr>
                <w:sz w:val="20"/>
              </w:rPr>
              <w:t>CMCS29</w:t>
            </w:r>
          </w:p>
        </w:tc>
        <w:tc>
          <w:tcPr>
            <w:tcW w:w="60" w:type="dxa"/>
            <w:tcBorders/>
            <w:vAlign w:val="center"/>
          </w:tcPr>
          <w:p>
            <w:pPr>
              <w:pStyle w:val="TableContents"/>
              <w:bidi w:val="0"/>
              <w:spacing w:before="0" w:after="283"/>
              <w:jc w:val="left"/>
              <w:rPr/>
            </w:pPr>
            <w:r>
              <w:rPr/>
              <w:t> </w:t>
            </w:r>
          </w:p>
        </w:tc>
        <w:tc>
          <w:tcPr>
            <w:tcW w:w="3896" w:type="dxa"/>
            <w:tcBorders/>
            <w:vAlign w:val="center"/>
          </w:tcPr>
          <w:p>
            <w:pPr>
              <w:pStyle w:val="TableContents"/>
              <w:bidi w:val="0"/>
              <w:spacing w:before="0" w:after="283"/>
              <w:jc w:val="center"/>
              <w:rPr>
                <w:sz w:val="20"/>
              </w:rPr>
            </w:pPr>
            <w:bookmarkStart w:id="29" w:name="xdx_90A_edei--SecurityExchangeName_c2023"/>
            <w:bookmarkEnd w:id="29"/>
            <w:r>
              <w:rPr>
                <w:sz w:val="20"/>
              </w:rPr>
              <w:t>The Nasdaq Stock Market LLC</w:t>
            </w:r>
          </w:p>
        </w:tc>
      </w:tr>
      <w:tr>
        <w:trPr/>
        <w:tc>
          <w:tcPr>
            <w:tcW w:w="4552" w:type="dxa"/>
            <w:tcBorders/>
            <w:vAlign w:val="center"/>
          </w:tcPr>
          <w:p>
            <w:pPr>
              <w:pStyle w:val="TableContents"/>
              <w:bidi w:val="0"/>
              <w:spacing w:before="0" w:after="283"/>
              <w:jc w:val="center"/>
              <w:rPr>
                <w:sz w:val="20"/>
              </w:rPr>
            </w:pPr>
            <w:bookmarkStart w:id="30" w:name="xdx_905_edei--Security12bTitle_c20231003"/>
            <w:bookmarkEnd w:id="30"/>
            <w:r>
              <w:rPr>
                <w:sz w:val="20"/>
              </w:rPr>
              <w:t>0.250% Notes due 2029</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31" w:name="xdx_901_edei--TradingSymbol_c20231003__2"/>
            <w:bookmarkEnd w:id="31"/>
            <w:r>
              <w:rPr>
                <w:sz w:val="20"/>
              </w:rPr>
              <w:t>CMCS29A</w:t>
            </w:r>
          </w:p>
        </w:tc>
        <w:tc>
          <w:tcPr>
            <w:tcW w:w="60" w:type="dxa"/>
            <w:tcBorders/>
            <w:vAlign w:val="center"/>
          </w:tcPr>
          <w:p>
            <w:pPr>
              <w:pStyle w:val="TableContents"/>
              <w:bidi w:val="0"/>
              <w:spacing w:before="0" w:after="283"/>
              <w:jc w:val="left"/>
              <w:rPr/>
            </w:pPr>
            <w:r>
              <w:rPr/>
              <w:t> </w:t>
            </w:r>
          </w:p>
        </w:tc>
        <w:tc>
          <w:tcPr>
            <w:tcW w:w="3896" w:type="dxa"/>
            <w:tcBorders/>
            <w:vAlign w:val="center"/>
          </w:tcPr>
          <w:p>
            <w:pPr>
              <w:pStyle w:val="TableContents"/>
              <w:bidi w:val="0"/>
              <w:spacing w:before="0" w:after="283"/>
              <w:jc w:val="center"/>
              <w:rPr>
                <w:sz w:val="20"/>
              </w:rPr>
            </w:pPr>
            <w:bookmarkStart w:id="32" w:name="xdx_902_edei--SecurityExchangeName_c2023"/>
            <w:bookmarkEnd w:id="32"/>
            <w:r>
              <w:rPr>
                <w:sz w:val="20"/>
              </w:rPr>
              <w:t>The Nasdaq Stock Market LLC</w:t>
            </w:r>
          </w:p>
        </w:tc>
      </w:tr>
      <w:tr>
        <w:trPr/>
        <w:tc>
          <w:tcPr>
            <w:tcW w:w="4552" w:type="dxa"/>
            <w:tcBorders/>
            <w:vAlign w:val="center"/>
          </w:tcPr>
          <w:p>
            <w:pPr>
              <w:pStyle w:val="TableContents"/>
              <w:bidi w:val="0"/>
              <w:spacing w:before="0" w:after="283"/>
              <w:jc w:val="center"/>
              <w:rPr>
                <w:sz w:val="20"/>
              </w:rPr>
            </w:pPr>
            <w:bookmarkStart w:id="33" w:name="xdx_90F_edei--Security12bTitle_c20231003"/>
            <w:bookmarkEnd w:id="33"/>
            <w:r>
              <w:rPr>
                <w:sz w:val="20"/>
              </w:rPr>
              <w:t>0.750% Notes due 2032</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34" w:name="xdx_90A_edei--TradingSymbol_c20231003__2"/>
            <w:bookmarkEnd w:id="34"/>
            <w:r>
              <w:rPr>
                <w:sz w:val="20"/>
              </w:rPr>
              <w:t>CMCS32</w:t>
            </w:r>
          </w:p>
        </w:tc>
        <w:tc>
          <w:tcPr>
            <w:tcW w:w="60" w:type="dxa"/>
            <w:tcBorders/>
            <w:vAlign w:val="center"/>
          </w:tcPr>
          <w:p>
            <w:pPr>
              <w:pStyle w:val="TableContents"/>
              <w:bidi w:val="0"/>
              <w:spacing w:before="0" w:after="283"/>
              <w:jc w:val="left"/>
              <w:rPr/>
            </w:pPr>
            <w:r>
              <w:rPr/>
              <w:t> </w:t>
            </w:r>
          </w:p>
        </w:tc>
        <w:tc>
          <w:tcPr>
            <w:tcW w:w="3896" w:type="dxa"/>
            <w:tcBorders/>
            <w:vAlign w:val="center"/>
          </w:tcPr>
          <w:p>
            <w:pPr>
              <w:pStyle w:val="TableContents"/>
              <w:bidi w:val="0"/>
              <w:spacing w:before="0" w:after="283"/>
              <w:jc w:val="center"/>
              <w:rPr>
                <w:sz w:val="20"/>
              </w:rPr>
            </w:pPr>
            <w:bookmarkStart w:id="35" w:name="xdx_909_edei--SecurityExchangeName_c2023"/>
            <w:bookmarkEnd w:id="35"/>
            <w:r>
              <w:rPr>
                <w:sz w:val="20"/>
              </w:rPr>
              <w:t>The Nasdaq Stock Market LLC</w:t>
            </w:r>
          </w:p>
        </w:tc>
      </w:tr>
      <w:tr>
        <w:trPr/>
        <w:tc>
          <w:tcPr>
            <w:tcW w:w="4552" w:type="dxa"/>
            <w:tcBorders/>
            <w:vAlign w:val="center"/>
          </w:tcPr>
          <w:p>
            <w:pPr>
              <w:pStyle w:val="TableContents"/>
              <w:bidi w:val="0"/>
              <w:spacing w:before="0" w:after="283"/>
              <w:jc w:val="center"/>
              <w:rPr>
                <w:sz w:val="20"/>
              </w:rPr>
            </w:pPr>
            <w:bookmarkStart w:id="36" w:name="xdx_906_edei--Security12bTitle_c20231003"/>
            <w:bookmarkEnd w:id="36"/>
            <w:r>
              <w:rPr>
                <w:sz w:val="20"/>
              </w:rPr>
              <w:t>1.875% Notes due 2036</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37" w:name="xdx_902_edei--TradingSymbol_c20231003__2"/>
            <w:bookmarkEnd w:id="37"/>
            <w:r>
              <w:rPr>
                <w:sz w:val="20"/>
              </w:rPr>
              <w:t>CMCS36</w:t>
            </w:r>
          </w:p>
        </w:tc>
        <w:tc>
          <w:tcPr>
            <w:tcW w:w="60" w:type="dxa"/>
            <w:tcBorders/>
            <w:vAlign w:val="center"/>
          </w:tcPr>
          <w:p>
            <w:pPr>
              <w:pStyle w:val="TableContents"/>
              <w:bidi w:val="0"/>
              <w:spacing w:before="0" w:after="283"/>
              <w:jc w:val="left"/>
              <w:rPr/>
            </w:pPr>
            <w:r>
              <w:rPr/>
              <w:t> </w:t>
            </w:r>
          </w:p>
        </w:tc>
        <w:tc>
          <w:tcPr>
            <w:tcW w:w="3896" w:type="dxa"/>
            <w:tcBorders/>
            <w:vAlign w:val="center"/>
          </w:tcPr>
          <w:p>
            <w:pPr>
              <w:pStyle w:val="TableContents"/>
              <w:bidi w:val="0"/>
              <w:spacing w:before="0" w:after="283"/>
              <w:jc w:val="center"/>
              <w:rPr>
                <w:sz w:val="20"/>
              </w:rPr>
            </w:pPr>
            <w:bookmarkStart w:id="38" w:name="xdx_909_edei--SecurityExchangeName_c2023"/>
            <w:bookmarkEnd w:id="38"/>
            <w:r>
              <w:rPr>
                <w:sz w:val="20"/>
              </w:rPr>
              <w:t>The Nasdaq Stock Market LLC</w:t>
            </w:r>
          </w:p>
        </w:tc>
      </w:tr>
      <w:tr>
        <w:trPr/>
        <w:tc>
          <w:tcPr>
            <w:tcW w:w="4552" w:type="dxa"/>
            <w:tcBorders/>
            <w:vAlign w:val="center"/>
          </w:tcPr>
          <w:p>
            <w:pPr>
              <w:pStyle w:val="TableContents"/>
              <w:bidi w:val="0"/>
              <w:spacing w:before="0" w:after="283"/>
              <w:jc w:val="center"/>
              <w:rPr>
                <w:sz w:val="20"/>
              </w:rPr>
            </w:pPr>
            <w:bookmarkStart w:id="39" w:name="xdx_902_edei--Security12bTitle_c20231003"/>
            <w:bookmarkEnd w:id="39"/>
            <w:r>
              <w:rPr>
                <w:sz w:val="20"/>
              </w:rPr>
              <w:t>1.250% Notes due 2040</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40" w:name="xdx_90E_edei--TradingSymbol_c20231003__2"/>
            <w:bookmarkEnd w:id="40"/>
            <w:r>
              <w:rPr>
                <w:sz w:val="20"/>
              </w:rPr>
              <w:t>CMCS40</w:t>
            </w:r>
          </w:p>
        </w:tc>
        <w:tc>
          <w:tcPr>
            <w:tcW w:w="60" w:type="dxa"/>
            <w:tcBorders/>
            <w:vAlign w:val="center"/>
          </w:tcPr>
          <w:p>
            <w:pPr>
              <w:pStyle w:val="TableContents"/>
              <w:bidi w:val="0"/>
              <w:spacing w:before="0" w:after="283"/>
              <w:jc w:val="left"/>
              <w:rPr/>
            </w:pPr>
            <w:r>
              <w:rPr/>
              <w:t> </w:t>
            </w:r>
          </w:p>
        </w:tc>
        <w:tc>
          <w:tcPr>
            <w:tcW w:w="3896" w:type="dxa"/>
            <w:tcBorders/>
            <w:vAlign w:val="center"/>
          </w:tcPr>
          <w:p>
            <w:pPr>
              <w:pStyle w:val="TableContents"/>
              <w:bidi w:val="0"/>
              <w:spacing w:before="0" w:after="283"/>
              <w:jc w:val="center"/>
              <w:rPr>
                <w:sz w:val="20"/>
              </w:rPr>
            </w:pPr>
            <w:bookmarkStart w:id="41" w:name="xdx_904_edei--SecurityExchangeName_c2023"/>
            <w:bookmarkEnd w:id="41"/>
            <w:r>
              <w:rPr>
                <w:sz w:val="20"/>
              </w:rPr>
              <w:t>The Nasdaq Stock Market LLC</w:t>
            </w:r>
          </w:p>
        </w:tc>
      </w:tr>
      <w:tr>
        <w:trPr/>
        <w:tc>
          <w:tcPr>
            <w:tcW w:w="4552" w:type="dxa"/>
            <w:tcBorders/>
            <w:vAlign w:val="center"/>
          </w:tcPr>
          <w:p>
            <w:pPr>
              <w:pStyle w:val="TableContents"/>
              <w:bidi w:val="0"/>
              <w:spacing w:before="0" w:after="283"/>
              <w:jc w:val="center"/>
              <w:rPr>
                <w:sz w:val="20"/>
              </w:rPr>
            </w:pPr>
            <w:bookmarkStart w:id="42" w:name="xdx_909_edei--Security12bTitle_c20231003"/>
            <w:bookmarkEnd w:id="42"/>
            <w:r>
              <w:rPr>
                <w:sz w:val="20"/>
              </w:rPr>
              <w:t>5.50% Notes due 2029</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43" w:name="xdx_90D_edei--TradingSymbol_c20231003__2"/>
            <w:bookmarkEnd w:id="43"/>
            <w:r>
              <w:rPr>
                <w:sz w:val="20"/>
              </w:rPr>
              <w:t>CCGBP29</w:t>
            </w:r>
          </w:p>
        </w:tc>
        <w:tc>
          <w:tcPr>
            <w:tcW w:w="60" w:type="dxa"/>
            <w:tcBorders/>
            <w:vAlign w:val="center"/>
          </w:tcPr>
          <w:p>
            <w:pPr>
              <w:pStyle w:val="TableContents"/>
              <w:bidi w:val="0"/>
              <w:spacing w:before="0" w:after="283"/>
              <w:jc w:val="left"/>
              <w:rPr/>
            </w:pPr>
            <w:r>
              <w:rPr/>
              <w:t> </w:t>
            </w:r>
          </w:p>
        </w:tc>
        <w:tc>
          <w:tcPr>
            <w:tcW w:w="3896" w:type="dxa"/>
            <w:tcBorders/>
            <w:vAlign w:val="center"/>
          </w:tcPr>
          <w:p>
            <w:pPr>
              <w:pStyle w:val="TableContents"/>
              <w:bidi w:val="0"/>
              <w:spacing w:before="0" w:after="283"/>
              <w:jc w:val="center"/>
              <w:rPr>
                <w:sz w:val="20"/>
              </w:rPr>
            </w:pPr>
            <w:bookmarkStart w:id="44" w:name="xdx_905_edei--SecurityExchangeName_c2023"/>
            <w:bookmarkEnd w:id="44"/>
            <w:r>
              <w:rPr>
                <w:sz w:val="20"/>
              </w:rPr>
              <w:t>New York Stock Exchange</w:t>
            </w:r>
          </w:p>
        </w:tc>
      </w:tr>
      <w:tr>
        <w:trPr/>
        <w:tc>
          <w:tcPr>
            <w:tcW w:w="4552" w:type="dxa"/>
            <w:tcBorders/>
            <w:vAlign w:val="center"/>
          </w:tcPr>
          <w:p>
            <w:pPr>
              <w:pStyle w:val="TableContents"/>
              <w:bidi w:val="0"/>
              <w:spacing w:before="0" w:after="283"/>
              <w:jc w:val="center"/>
              <w:rPr>
                <w:sz w:val="20"/>
              </w:rPr>
            </w:pPr>
            <w:bookmarkStart w:id="45" w:name="xdx_90F_edei--Security12bTitle_c20231003"/>
            <w:bookmarkEnd w:id="45"/>
            <w:r>
              <w:rPr>
                <w:sz w:val="20"/>
              </w:rPr>
              <w:t>2.0% Exchangeable Subordinated Debentures due 2029</w:t>
            </w:r>
          </w:p>
        </w:tc>
        <w:tc>
          <w:tcPr>
            <w:tcW w:w="120"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center"/>
              <w:rPr>
                <w:sz w:val="20"/>
              </w:rPr>
            </w:pPr>
            <w:bookmarkStart w:id="46" w:name="xdx_908_edei--TradingSymbol_c20231003__2"/>
            <w:bookmarkEnd w:id="46"/>
            <w:r>
              <w:rPr>
                <w:sz w:val="20"/>
              </w:rPr>
              <w:t>CCZ</w:t>
            </w:r>
          </w:p>
        </w:tc>
        <w:tc>
          <w:tcPr>
            <w:tcW w:w="60" w:type="dxa"/>
            <w:tcBorders/>
            <w:vAlign w:val="center"/>
          </w:tcPr>
          <w:p>
            <w:pPr>
              <w:pStyle w:val="TableContents"/>
              <w:bidi w:val="0"/>
              <w:spacing w:before="0" w:after="283"/>
              <w:jc w:val="left"/>
              <w:rPr/>
            </w:pPr>
            <w:r>
              <w:rPr/>
              <w:t> </w:t>
            </w:r>
          </w:p>
        </w:tc>
        <w:tc>
          <w:tcPr>
            <w:tcW w:w="3896" w:type="dxa"/>
            <w:tcBorders/>
            <w:vAlign w:val="center"/>
          </w:tcPr>
          <w:p>
            <w:pPr>
              <w:pStyle w:val="TableContents"/>
              <w:bidi w:val="0"/>
              <w:spacing w:before="0" w:after="283"/>
              <w:jc w:val="center"/>
              <w:rPr>
                <w:sz w:val="20"/>
              </w:rPr>
            </w:pPr>
            <w:bookmarkStart w:id="47" w:name="xdx_90F_edei--SecurityExchangeName_c2023"/>
            <w:bookmarkEnd w:id="47"/>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48" w:name="xdx_901_edei--EntityEmergingGrowthCompan"/>
      <w:bookmarkEnd w:id="4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2023, Louise F. Brady was appointed as a director of Comcast Corporation (the “Company”). The Company’s Board of Directors has determined that Ms. Brady is independent in accordance with applicable Nasdaq rules and the Company’s corporate governance guidelines. She has not yet been appointed to serve as a member of any Board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Brady is the Co-Founder and Managing Partner of Piedmont Capital Partners, LLC, Piedmont Capital Partners II, LLC and Piedmont Capital Investments, LLC (collectively with their affiliated entities, “Piedmont Capital”). Piedmont Capital includes privately held venture capital funds that focus on developing innovative technologies and a privately held investment entity that focuses on transformative investments in emerging technology companies. Ms. Brady has served as a director of Travel + Leisure Co. since 2016. She also has served as President of Blue Current, Inc. since 2014. Between 1996 and 2013, she served as Vice President of Investments at Wells Fargo Advisors Financial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Brady will receive compensation in accordance with Comcast’s Non-Employee Director Compensation Plan, filed as Exhibit 10.3 to the Company’s Quarterly Report on Form 10-Q for the quarter ended June 30, 2023, and has entered into the Company’s standard form of director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9.01(d). Exhibits</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400"/>
        <w:gridCol w:w="60"/>
        <w:gridCol w:w="6575"/>
      </w:tblGrid>
      <w:tr>
        <w:trPr/>
        <w:tc>
          <w:tcPr>
            <w:tcW w:w="1400" w:type="dxa"/>
            <w:tcBorders/>
            <w:vAlign w:val="center"/>
          </w:tcPr>
          <w:p>
            <w:pPr>
              <w:pStyle w:val="TableContents"/>
              <w:bidi w:val="0"/>
              <w:spacing w:before="0" w:after="283"/>
              <w:jc w:val="center"/>
              <w:rPr>
                <w:b/>
                <w:sz w:val="20"/>
              </w:rPr>
            </w:pPr>
            <w:r>
              <w:rPr>
                <w:b/>
                <w:sz w:val="20"/>
              </w:rPr>
              <w:t xml:space="preserve">Exhibit </w:t>
            </w:r>
            <w:r>
              <w:rPr>
                <w:b/>
                <w:sz w:val="20"/>
                <w:u w:val="single"/>
              </w:rPr>
              <w:t>Number</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b/>
                <w:sz w:val="20"/>
                <w:u w:val="single"/>
              </w:rPr>
            </w:pPr>
            <w:r>
              <w:rPr>
                <w:b/>
                <w:sz w:val="20"/>
                <w:u w:val="single"/>
              </w:rPr>
              <w:t>Description</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sz w:val="20"/>
              </w:rPr>
            </w:pPr>
            <w:r>
              <w:rPr>
                <w:sz w:val="20"/>
              </w:rPr>
              <w:t>104</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sz w:val="20"/>
              </w:rPr>
            </w:pPr>
            <w:r>
              <w:rPr>
                <w:sz w:val="20"/>
              </w:rPr>
              <w:t>Cover Page Interactive Data File (embedded within the Inline XBRL document)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840" w:type="dxa"/>
        <w:jc w:val="left"/>
        <w:tblInd w:w="0" w:type="dxa"/>
        <w:tblLayout w:type="fixed"/>
        <w:tblCellMar>
          <w:top w:w="0" w:type="dxa"/>
          <w:left w:w="0" w:type="dxa"/>
          <w:bottom w:w="0" w:type="dxa"/>
          <w:right w:w="0" w:type="dxa"/>
        </w:tblCellMar>
      </w:tblPr>
      <w:tblGrid>
        <w:gridCol w:w="470"/>
        <w:gridCol w:w="1370"/>
        <w:gridCol w:w="60"/>
        <w:gridCol w:w="545"/>
        <w:gridCol w:w="6395"/>
      </w:tblGrid>
      <w:tr>
        <w:trPr/>
        <w:tc>
          <w:tcPr>
            <w:tcW w:w="1900" w:type="dxa"/>
            <w:gridSpan w:val="3"/>
            <w:tcBorders/>
            <w:vAlign w:val="center"/>
          </w:tcPr>
          <w:p>
            <w:pPr>
              <w:pStyle w:val="TableContents"/>
              <w:bidi w:val="0"/>
              <w:spacing w:before="0" w:after="283"/>
              <w:jc w:val="left"/>
              <w:rPr/>
            </w:pPr>
            <w:r>
              <w:rPr/>
              <w:t> </w:t>
            </w:r>
          </w:p>
        </w:tc>
        <w:tc>
          <w:tcPr>
            <w:tcW w:w="6940" w:type="dxa"/>
            <w:gridSpan w:val="2"/>
            <w:tcBorders/>
            <w:vAlign w:val="center"/>
          </w:tcPr>
          <w:p>
            <w:pPr>
              <w:pStyle w:val="TableContents"/>
              <w:bidi w:val="0"/>
              <w:spacing w:before="0" w:after="283"/>
              <w:jc w:val="left"/>
              <w:rPr>
                <w:b/>
                <w:sz w:val="20"/>
              </w:rPr>
            </w:pPr>
            <w:r>
              <w:rPr>
                <w:b/>
                <w:sz w:val="20"/>
              </w:rPr>
              <w:t>COMCAST CORPORATION</w:t>
            </w:r>
          </w:p>
        </w:tc>
      </w:tr>
      <w:tr>
        <w:trPr/>
        <w:tc>
          <w:tcPr>
            <w:tcW w:w="18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283"/>
              <w:jc w:val="left"/>
              <w:rPr/>
            </w:pPr>
            <w:r>
              <w:rPr/>
              <w:t> </w:t>
            </w:r>
          </w:p>
        </w:tc>
      </w:tr>
      <w:tr>
        <w:trPr/>
        <w:tc>
          <w:tcPr>
            <w:tcW w:w="18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sz w:val="20"/>
              </w:rPr>
            </w:pPr>
            <w:r>
              <w:rPr>
                <w:sz w:val="20"/>
              </w:rPr>
              <w:t>Date:</w:t>
            </w:r>
          </w:p>
        </w:tc>
        <w:tc>
          <w:tcPr>
            <w:tcW w:w="1370" w:type="dxa"/>
            <w:tcBorders/>
            <w:vAlign w:val="center"/>
          </w:tcPr>
          <w:p>
            <w:pPr>
              <w:pStyle w:val="TableContents"/>
              <w:bidi w:val="0"/>
              <w:spacing w:before="0" w:after="283"/>
              <w:jc w:val="left"/>
              <w:rPr>
                <w:sz w:val="20"/>
              </w:rPr>
            </w:pPr>
            <w:r>
              <w:rPr>
                <w:sz w:val="20"/>
              </w:rPr>
              <w:t xml:space="preserve">October 3, 2023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6395"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Elizabeth Wideman </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395" w:type="dxa"/>
            <w:tcBorders/>
            <w:vAlign w:val="center"/>
          </w:tcPr>
          <w:p>
            <w:pPr>
              <w:pStyle w:val="TableContents"/>
              <w:bidi w:val="0"/>
              <w:spacing w:before="0" w:after="283"/>
              <w:jc w:val="left"/>
              <w:rPr>
                <w:sz w:val="20"/>
              </w:rPr>
            </w:pPr>
            <w:r>
              <w:rPr>
                <w:sz w:val="20"/>
              </w:rPr>
              <w:t xml:space="preserve">Elizabeth Wideman </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6395" w:type="dxa"/>
            <w:tcBorders/>
            <w:vAlign w:val="center"/>
          </w:tcPr>
          <w:p>
            <w:pPr>
              <w:pStyle w:val="TableContents"/>
              <w:bidi w:val="0"/>
              <w:spacing w:before="0" w:after="283"/>
              <w:jc w:val="left"/>
              <w:rPr>
                <w:sz w:val="20"/>
              </w:rPr>
            </w:pPr>
            <w:r>
              <w:rPr>
                <w:sz w:val="20"/>
              </w:rPr>
              <w:t xml:space="preserve">Senior Vice President, Senior Deputy General Counsel and Assistant Secretary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3851</Characters>
  <CharactersWithSpaces>4535</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