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1054" w:gutter="0" w:footer="0" w:header="0"/>
        </w:sectPr>
      </w:pPr>
    </w:p>
    <w:p>
      <w:pPr>
        <w:spacing w:after="0" w:line="4" w:lineRule="exact"/>
        <w:rPr>
          <w:sz w:val="24"/>
          <w:szCs w:val="24"/>
          <w:color w:val="auto"/>
        </w:rPr>
      </w:pPr>
    </w:p>
    <w:p>
      <w:pPr>
        <w:ind w:right="540"/>
        <w:spacing w:after="0" w:line="268" w:lineRule="auto"/>
        <w:rPr>
          <w:sz w:val="20"/>
          <w:szCs w:val="20"/>
          <w:color w:val="auto"/>
        </w:rPr>
      </w:pPr>
      <w:r>
        <w:rPr>
          <w:rFonts w:ascii="Courier New" w:cs="Courier New" w:eastAsia="Courier New" w:hAnsi="Courier New"/>
          <w:sz w:val="16"/>
          <w:szCs w:val="16"/>
          <w:color w:val="auto"/>
        </w:rPr>
        <w:t>|_| Preliminary Proxy Statement |_| Definitive Proxy Statement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ind w:right="1999"/>
        <w:spacing w:after="0" w:line="268" w:lineRule="auto"/>
        <w:rPr>
          <w:sz w:val="20"/>
          <w:szCs w:val="20"/>
          <w:color w:val="auto"/>
        </w:rPr>
      </w:pPr>
      <w:r>
        <w:rPr>
          <w:rFonts w:ascii="Courier New" w:cs="Courier New" w:eastAsia="Courier New" w:hAnsi="Courier New"/>
          <w:sz w:val="16"/>
          <w:szCs w:val="16"/>
          <w:color w:val="auto"/>
        </w:rPr>
        <w:t>Confidential, For Use of permitted by Rule 14a-6(e)(2))</w:t>
      </w:r>
    </w:p>
    <w:p>
      <w:pPr>
        <w:spacing w:after="0" w:line="1" w:lineRule="exact"/>
        <w:rPr>
          <w:sz w:val="24"/>
          <w:szCs w:val="24"/>
          <w:color w:val="auto"/>
        </w:rPr>
      </w:pPr>
    </w:p>
    <w:p>
      <w:pPr>
        <w:sectPr>
          <w:pgSz w:w="11900" w:h="16838" w:orient="portrait"/>
          <w:cols w:equalWidth="0" w:num="3">
            <w:col w:w="3820" w:space="720"/>
            <w:col w:w="320" w:space="200"/>
            <w:col w:w="5159"/>
          </w:cols>
          <w:pgMar w:left="240" w:top="244" w:right="1440" w:bottom="1054"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|_| Definitive Additional Materials</w:t>
      </w:r>
    </w:p>
    <w:p>
      <w:pPr>
        <w:spacing w:after="0"/>
        <w:rPr>
          <w:sz w:val="20"/>
          <w:szCs w:val="20"/>
          <w:color w:val="auto"/>
        </w:rPr>
      </w:pPr>
      <w:r>
        <w:rPr>
          <w:rFonts w:ascii="Courier New" w:cs="Courier New" w:eastAsia="Courier New" w:hAnsi="Courier New"/>
          <w:sz w:val="18"/>
          <w:szCs w:val="18"/>
          <w:color w:val="auto"/>
        </w:rPr>
        <w:t>|X| Soliciting Material Under Rule 14a-12</w:t>
      </w: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AT&amp;T Corp.</w:t>
      </w:r>
    </w:p>
    <w:p>
      <w:pPr>
        <w:sectPr>
          <w:pgSz w:w="11900" w:h="16838" w:orient="portrait"/>
          <w:cols w:equalWidth="0" w:num="1">
            <w:col w:w="10219"/>
          </w:cols>
          <w:pgMar w:left="240" w:top="244" w:right="1440" w:bottom="1054" w:gutter="0" w:footer="0" w:header="0"/>
          <w:type w:val="continuous"/>
        </w:sectPr>
      </w:pP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spacing w:after="0" w:line="238" w:lineRule="auto"/>
        <w:rPr>
          <w:sz w:val="20"/>
          <w:szCs w:val="20"/>
          <w:color w:val="auto"/>
        </w:rPr>
      </w:pPr>
      <w:r>
        <w:rPr>
          <w:rFonts w:ascii="Courier New" w:cs="Courier New" w:eastAsia="Courier New" w:hAnsi="Courier New"/>
          <w:sz w:val="18"/>
          <w:szCs w:val="18"/>
          <w:color w:val="auto"/>
        </w:rPr>
        <w:t>|X| No fee required.</w:t>
      </w:r>
    </w:p>
    <w:p>
      <w:pPr>
        <w:spacing w:after="0" w:line="5" w:lineRule="exact"/>
        <w:rPr>
          <w:sz w:val="24"/>
          <w:szCs w:val="24"/>
          <w:color w:val="auto"/>
        </w:rPr>
      </w:pPr>
    </w:p>
    <w:p>
      <w:pPr>
        <w:ind w:left="960" w:right="2319" w:hanging="420"/>
        <w:spacing w:after="0" w:line="235" w:lineRule="auto"/>
        <w:rPr>
          <w:sz w:val="20"/>
          <w:szCs w:val="20"/>
          <w:color w:val="auto"/>
        </w:rPr>
      </w:pPr>
      <w:r>
        <w:rPr>
          <w:rFonts w:ascii="Courier New" w:cs="Courier New" w:eastAsia="Courier New" w:hAnsi="Courier New"/>
          <w:sz w:val="18"/>
          <w:szCs w:val="18"/>
          <w:color w:val="auto"/>
        </w:rPr>
        <w:t>|_| Fee computed on table below per Exchange Act Rules 14a-6(i)(1) and 0-11.</w:t>
      </w:r>
    </w:p>
    <w:p>
      <w:pPr>
        <w:ind w:left="960" w:hanging="42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right="2199" w:firstLine="535"/>
        <w:spacing w:after="0" w:line="236"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42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 Fee paid previously with preliminary materials.</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054"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The following press release was issued by Comcast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[COMCAST LOGO]</w:t>
      </w:r>
      <w:r>
        <w:rPr>
          <w:sz w:val="20"/>
          <w:szCs w:val="20"/>
          <w:color w:val="auto"/>
        </w:rPr>
        <w:tab/>
      </w:r>
      <w:r>
        <w:rPr>
          <w:rFonts w:ascii="Courier New" w:cs="Courier New" w:eastAsia="Courier New" w:hAnsi="Courier New"/>
          <w:sz w:val="16"/>
          <w:szCs w:val="16"/>
          <w:color w:val="auto"/>
        </w:rPr>
        <w:t>PRESS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COMCAST SIGNS CONFIDENTIALITY AGREEMENT WITH AT&amp;T</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 September 28, 2001 - Comcast Corporation (Nasdaq: CMCSA, CMCSK) today announced that, in connection with discussions regarding AT&amp;T Broadband, it has entered into a reciprocal confidentiality agreement with AT&amp;T that will permit the exchange of information between the two companies. The agreement also restricts certain discussions between Comcast and third parties which relate to AT&amp;T Broadband without AT&amp;T's approval.</w:t>
      </w:r>
    </w:p>
    <w:p>
      <w:pPr>
        <w:spacing w:after="0" w:line="210"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Comcast Corporation (www.comcast.com) is principally involved in the development, management and operation of broadband cable networks, and in the provision of electronic commerce and programming content. Comcast Cable is the third largest cable company in the United States serving more than 8.4 million cable subscribers. Comcast's commerce and content businesses include majority ownership of QVC, Comcast-Spectacor, Comcast SportsNet and The Golf Channel, a controlling interest in E! Networks, and other programming investments. Comcast's Class A Special and Class A Common Stock are traded on The Nasdaq Stock Market under the symbols CMCSK and CMCSA, respectively.</w:t>
      </w:r>
    </w:p>
    <w:p>
      <w:pPr>
        <w:spacing w:after="0" w:line="184"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Quarterly Report on Form 10-Q for a description of such risks and uncertainties.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2160" w:type="dxa"/>
            <w:vAlign w:val="bottom"/>
          </w:tcPr>
          <w:p>
            <w:pPr>
              <w:jc w:val="right"/>
              <w:ind w:right="1532"/>
              <w:spacing w:after="0"/>
              <w:rPr>
                <w:sz w:val="20"/>
                <w:szCs w:val="20"/>
                <w:color w:val="auto"/>
              </w:rPr>
            </w:pPr>
            <w:r>
              <w:rPr>
                <w:rFonts w:ascii="Courier New" w:cs="Courier New" w:eastAsia="Courier New" w:hAnsi="Courier New"/>
                <w:sz w:val="18"/>
                <w:szCs w:val="18"/>
                <w:color w:val="auto"/>
                <w:w w:val="96"/>
              </w:rPr>
              <w:t># # #</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Investor Contact:</w:t>
            </w: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Marlene S. Dooner, Vice President, Investor Relations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981-7392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William E. Dordelman, Vice President,</w:t>
            </w:r>
          </w:p>
        </w:tc>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981-7550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Kelley L. Claypool, Manager, Investor</w:t>
            </w:r>
          </w:p>
        </w:tc>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Relations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981-7729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Media Contact:</w:t>
            </w: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Abernathy MacGregor Group</w:t>
            </w:r>
          </w:p>
        </w:tc>
        <w:tc>
          <w:tcPr>
            <w:tcW w:w="2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371-5999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Adam Miller, Steve Frankel, Brian Faw</w:t>
            </w:r>
          </w:p>
        </w:tc>
        <w:tc>
          <w:tcPr>
            <w:tcW w:w="2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ectPr>
          <w:pgSz w:w="11900" w:h="16838" w:orient="portrait"/>
          <w:cols w:equalWidth="0" w:num="1">
            <w:col w:w="10219"/>
          </w:cols>
          <w:pgMar w:left="240" w:top="339"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Subject to future developments, Comcast may file with the Commission (i) a preliminary proxy statement for solicitation of proxies from the shareholders of AT&amp;T Corp. ("AT&amp;T") in connection with an AT&amp;T Broadband transaction and</w:t>
      </w:r>
    </w:p>
    <w:p>
      <w:pPr>
        <w:spacing w:after="0" w:line="1" w:lineRule="exact"/>
        <w:rPr>
          <w:sz w:val="20"/>
          <w:szCs w:val="20"/>
          <w:color w:val="auto"/>
        </w:rPr>
      </w:pPr>
    </w:p>
    <w:p>
      <w:pPr>
        <w:ind w:right="1879" w:firstLine="8"/>
        <w:spacing w:after="0" w:line="238"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to register any Comcast shares issued in such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Comcast, its directors and certain other Comcast employees and advisors may be deemed to be "participants" in a solicitation of proxies from AT&amp;T's shareholders. A detailed list of the names, affiliations and interests of the participants in the solicitation is contained in a filing made by Comcast with the Commission pursuant to Rule 14a-12 on July 9, 2001.</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2019-12-16T11:33:29Z</dcterms:created>
  <dcterms:modified xsi:type="dcterms:W3CDTF">2019-12-16T11:33:29Z</dcterms:modified>
</cp:coreProperties>
</file>