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198120</wp:posOffset>
            </wp:positionV>
            <wp:extent cx="7253605" cy="4914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4914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both"/>
        <w:ind w:left="160" w:right="220"/>
        <w:spacing w:after="0" w:line="257" w:lineRule="auto"/>
        <w:rPr>
          <w:sz w:val="20"/>
          <w:szCs w:val="20"/>
          <w:color w:val="auto"/>
        </w:rPr>
      </w:pPr>
      <w:r>
        <w:rPr>
          <w:rFonts w:ascii="Arial" w:cs="Arial" w:eastAsia="Arial" w:hAnsi="Arial"/>
          <w:sz w:val="14"/>
          <w:szCs w:val="14"/>
          <w:color w:val="CE1126"/>
        </w:rPr>
        <w:t>The information in this prospectus supplement and accompanying prospectus is not complete and may be changed. A registration statement relating to these securities has been declared effective by the Securities and Exchange Commission. This preliminary prospectus supplement and the accompanying prospectus is not an offer to sell these securities and is not soliciting an offer to buy these securities in any jurisdiction where the offer or sale is not permitted.</w:t>
      </w:r>
    </w:p>
    <w:p>
      <w:pPr>
        <w:spacing w:after="0" w:line="31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Filed Pursuant to Rule 424(B)(2)</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333-132750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PRELIMINARY PROSPECTUS SUPPLEMENT (Subject to Completion)</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Issued September 13, 2006</w:t>
      </w:r>
    </w:p>
    <w:p>
      <w:pPr>
        <w:spacing w:after="0" w:line="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 prospectus dated March 27,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2926715</wp:posOffset>
            </wp:positionH>
            <wp:positionV relativeFrom="paragraph">
              <wp:posOffset>70485</wp:posOffset>
            </wp:positionV>
            <wp:extent cx="1402715" cy="3613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2715" cy="36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620"/>
        <w:spacing w:after="0"/>
        <w:tabs>
          <w:tab w:leader="none" w:pos="5880" w:val="left"/>
        </w:tabs>
        <w:rPr>
          <w:sz w:val="20"/>
          <w:szCs w:val="20"/>
          <w:color w:val="auto"/>
        </w:rPr>
      </w:pPr>
      <w:r>
        <w:rPr>
          <w:rFonts w:ascii="Times New Roman" w:cs="Times New Roman" w:eastAsia="Times New Roman" w:hAnsi="Times New Roman"/>
          <w:sz w:val="25"/>
          <w:szCs w:val="25"/>
          <w:b w:val="1"/>
          <w:bCs w:val="1"/>
          <w:color w:val="auto"/>
        </w:rPr>
        <w:t>$300,000,000</w:t>
      </w:r>
      <w:r>
        <w:rPr>
          <w:sz w:val="20"/>
          <w:szCs w:val="20"/>
          <w:color w:val="auto"/>
        </w:rPr>
        <w:tab/>
      </w:r>
      <w:r>
        <w:rPr>
          <w:rFonts w:ascii="Times New Roman" w:cs="Times New Roman" w:eastAsia="Times New Roman" w:hAnsi="Times New Roman"/>
          <w:sz w:val="24"/>
          <w:szCs w:val="24"/>
          <w:b w:val="1"/>
          <w:bCs w:val="1"/>
          <w:color w:val="auto"/>
        </w:rPr>
        <w:t>% Notes due 2055</w:t>
      </w:r>
    </w:p>
    <w:p>
      <w:pPr>
        <w:spacing w:after="0" w:line="1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We will pay interest on the notes on September 15, December 15, March 15 and June 15 of each year, beginning on December 15, 2006. The notes will bear</w:t>
      </w:r>
    </w:p>
    <w:p>
      <w:pPr>
        <w:spacing w:after="0" w:line="34"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8"/>
          <w:szCs w:val="18"/>
          <w:color w:val="auto"/>
        </w:rPr>
        <w:t>interest at a rate of % per year and will mature on September 15, 2055. We may redeem the notes, in whole or in part, at any time on or after September 15, 2011 at a redemption price equal to 100% of the principal amount redeemed plus accrued and unpaid interest to the redemption date. If market conditions permit, we may increase the amount of notes we sell in this offering.</w:t>
      </w:r>
    </w:p>
    <w:p>
      <w:pPr>
        <w:spacing w:after="0" w:line="29" w:lineRule="exact"/>
        <w:rPr>
          <w:sz w:val="20"/>
          <w:szCs w:val="20"/>
          <w:color w:val="auto"/>
        </w:rPr>
      </w:pPr>
    </w:p>
    <w:p>
      <w:pPr>
        <w:ind w:right="320" w:firstLine="261"/>
        <w:spacing w:after="0" w:line="258" w:lineRule="auto"/>
        <w:rPr>
          <w:sz w:val="20"/>
          <w:szCs w:val="20"/>
          <w:color w:val="auto"/>
        </w:rPr>
      </w:pPr>
      <w:r>
        <w:rPr>
          <w:rFonts w:ascii="Times New Roman" w:cs="Times New Roman" w:eastAsia="Times New Roman" w:hAnsi="Times New Roman"/>
          <w:sz w:val="18"/>
          <w:szCs w:val="18"/>
          <w:color w:val="auto"/>
        </w:rPr>
        <w:t>The notes will be unsecured and will rank equally with all of our unsecured and unsubordinated indebtedness. The notes will be fully and unconditionally guaranteed by our wholly-owned cable subsidiaries named in this prospectus supplement and in the accompanying prospectus. The notes will be issued in minimum denominations of $25 and in multiples of $25.</w:t>
      </w:r>
    </w:p>
    <w:p>
      <w:pPr>
        <w:spacing w:after="0" w:line="20" w:lineRule="exact"/>
        <w:rPr>
          <w:sz w:val="20"/>
          <w:szCs w:val="20"/>
          <w:color w:val="auto"/>
        </w:rPr>
      </w:pPr>
    </w:p>
    <w:p>
      <w:pPr>
        <w:ind w:right="100" w:firstLine="261"/>
        <w:spacing w:after="0" w:line="258" w:lineRule="auto"/>
        <w:rPr>
          <w:sz w:val="20"/>
          <w:szCs w:val="20"/>
          <w:color w:val="auto"/>
        </w:rPr>
      </w:pPr>
      <w:r>
        <w:rPr>
          <w:rFonts w:ascii="Times New Roman" w:cs="Times New Roman" w:eastAsia="Times New Roman" w:hAnsi="Times New Roman"/>
          <w:sz w:val="18"/>
          <w:szCs w:val="18"/>
          <w:color w:val="auto"/>
        </w:rPr>
        <w:t>We intend to apply to list the notes on the New York Stock Exchange and we expect trading in the notes on the New York Stock Exchange to begin within 30 days after the original issue date. The notes are expected to trade “flat.” This means that purchasers will not pay, and sellers will not receive, any accrued and unpaid interest on the notes that is not included in the trading price.</w:t>
      </w:r>
    </w:p>
    <w:p>
      <w:pPr>
        <w:spacing w:after="0" w:line="7" w:lineRule="exact"/>
        <w:rPr>
          <w:sz w:val="20"/>
          <w:szCs w:val="20"/>
          <w:color w:val="auto"/>
        </w:rPr>
      </w:pPr>
    </w:p>
    <w:p>
      <w:pPr>
        <w:ind w:right="180" w:firstLine="370"/>
        <w:spacing w:after="0" w:line="275" w:lineRule="auto"/>
        <w:rPr>
          <w:sz w:val="20"/>
          <w:szCs w:val="20"/>
          <w:color w:val="auto"/>
        </w:rPr>
      </w:pPr>
      <w:r>
        <w:rPr>
          <w:rFonts w:ascii="Times New Roman" w:cs="Times New Roman" w:eastAsia="Times New Roman" w:hAnsi="Times New Roman"/>
          <w:sz w:val="21"/>
          <w:szCs w:val="21"/>
          <w:b w:val="1"/>
          <w:bCs w:val="1"/>
          <w:color w:val="auto"/>
        </w:rPr>
        <w:t>Investing in the notes involves risks that are described in the “Risk Factors” section of our Annual Report on Form 10-K for the year ended December 31, 2005 and beginning on page S-3 of this prospectus supplement.</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80" w:type="dxa"/>
            <w:vAlign w:val="bottom"/>
            <w:gridSpan w:val="2"/>
          </w:tcPr>
          <w:p>
            <w:pPr>
              <w:jc w:val="center"/>
              <w:ind w:right="652"/>
              <w:spacing w:after="0"/>
              <w:rPr>
                <w:sz w:val="20"/>
                <w:szCs w:val="20"/>
                <w:color w:val="auto"/>
              </w:rPr>
            </w:pPr>
            <w:r>
              <w:rPr>
                <w:rFonts w:ascii="Times New Roman" w:cs="Times New Roman" w:eastAsia="Times New Roman" w:hAnsi="Times New Roman"/>
                <w:sz w:val="14"/>
                <w:szCs w:val="14"/>
                <w:b w:val="1"/>
                <w:bCs w:val="1"/>
                <w:color w:val="auto"/>
                <w:w w:val="99"/>
              </w:rPr>
              <w:t>Price to</w:t>
            </w:r>
          </w:p>
        </w:tc>
        <w:tc>
          <w:tcPr>
            <w:tcW w:w="60" w:type="dxa"/>
            <w:vAlign w:val="bottom"/>
          </w:tcPr>
          <w:p>
            <w:pPr>
              <w:spacing w:after="0"/>
              <w:rPr>
                <w:sz w:val="13"/>
                <w:szCs w:val="13"/>
                <w:color w:val="auto"/>
              </w:rPr>
            </w:pPr>
          </w:p>
        </w:tc>
        <w:tc>
          <w:tcPr>
            <w:tcW w:w="2060" w:type="dxa"/>
            <w:vAlign w:val="bottom"/>
            <w:gridSpan w:val="2"/>
          </w:tcPr>
          <w:p>
            <w:pPr>
              <w:jc w:val="center"/>
              <w:ind w:right="952"/>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Proceeds to Us</w:t>
            </w:r>
          </w:p>
        </w:tc>
      </w:tr>
      <w:tr>
        <w:trPr>
          <w:trHeight w:val="170"/>
        </w:trPr>
        <w:tc>
          <w:tcPr>
            <w:tcW w:w="9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80" w:type="dxa"/>
            <w:vAlign w:val="bottom"/>
            <w:gridSpan w:val="2"/>
          </w:tcPr>
          <w:p>
            <w:pPr>
              <w:jc w:val="center"/>
              <w:ind w:right="672"/>
              <w:spacing w:after="0"/>
              <w:rPr>
                <w:sz w:val="20"/>
                <w:szCs w:val="20"/>
                <w:color w:val="auto"/>
              </w:rPr>
            </w:pPr>
            <w:r>
              <w:rPr>
                <w:rFonts w:ascii="Times New Roman" w:cs="Times New Roman" w:eastAsia="Times New Roman" w:hAnsi="Times New Roman"/>
                <w:sz w:val="14"/>
                <w:szCs w:val="14"/>
                <w:b w:val="1"/>
                <w:bCs w:val="1"/>
                <w:color w:val="auto"/>
              </w:rPr>
              <w:t>Investors(1)</w:t>
            </w:r>
          </w:p>
        </w:tc>
        <w:tc>
          <w:tcPr>
            <w:tcW w:w="60" w:type="dxa"/>
            <w:vAlign w:val="bottom"/>
          </w:tcPr>
          <w:p>
            <w:pPr>
              <w:spacing w:after="0"/>
              <w:rPr>
                <w:sz w:val="14"/>
                <w:szCs w:val="14"/>
                <w:color w:val="auto"/>
              </w:rPr>
            </w:pPr>
          </w:p>
        </w:tc>
        <w:tc>
          <w:tcPr>
            <w:tcW w:w="2060" w:type="dxa"/>
            <w:vAlign w:val="bottom"/>
            <w:gridSpan w:val="2"/>
          </w:tcPr>
          <w:p>
            <w:pPr>
              <w:jc w:val="center"/>
              <w:ind w:right="952"/>
              <w:spacing w:after="0"/>
              <w:rPr>
                <w:sz w:val="20"/>
                <w:szCs w:val="20"/>
                <w:color w:val="auto"/>
              </w:rPr>
            </w:pPr>
            <w:r>
              <w:rPr>
                <w:rFonts w:ascii="Times New Roman" w:cs="Times New Roman" w:eastAsia="Times New Roman" w:hAnsi="Times New Roman"/>
                <w:sz w:val="14"/>
                <w:szCs w:val="14"/>
                <w:b w:val="1"/>
                <w:bCs w:val="1"/>
                <w:color w:val="auto"/>
              </w:rPr>
              <w:t>Discount(2)</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Before Expenses</w:t>
            </w:r>
          </w:p>
        </w:tc>
      </w:tr>
      <w:tr>
        <w:trPr>
          <w:trHeight w:val="200"/>
        </w:trPr>
        <w:tc>
          <w:tcPr>
            <w:tcW w:w="980" w:type="dxa"/>
            <w:vAlign w:val="bottom"/>
          </w:tcPr>
          <w:p>
            <w:pPr>
              <w:jc w:val="right"/>
              <w:ind w:right="312"/>
              <w:spacing w:after="0" w:line="200" w:lineRule="exact"/>
              <w:rPr>
                <w:sz w:val="20"/>
                <w:szCs w:val="20"/>
                <w:color w:val="auto"/>
              </w:rPr>
            </w:pPr>
            <w:r>
              <w:rPr>
                <w:rFonts w:ascii="Times New Roman" w:cs="Times New Roman" w:eastAsia="Times New Roman" w:hAnsi="Times New Roman"/>
                <w:sz w:val="18"/>
                <w:szCs w:val="18"/>
                <w:color w:val="auto"/>
                <w:w w:val="94"/>
              </w:rPr>
              <w:t>Per note</w:t>
            </w:r>
          </w:p>
        </w:tc>
        <w:tc>
          <w:tcPr>
            <w:tcW w:w="3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740" w:type="dxa"/>
            <w:vAlign w:val="bottom"/>
          </w:tcPr>
          <w:p>
            <w:pPr>
              <w:jc w:val="right"/>
              <w:ind w:right="512"/>
              <w:spacing w:after="0" w:line="200" w:lineRule="exact"/>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20" w:type="dxa"/>
            <w:vAlign w:val="bottom"/>
          </w:tcPr>
          <w:p>
            <w:pPr>
              <w:jc w:val="right"/>
              <w:ind w:right="792"/>
              <w:spacing w:after="0" w:line="200" w:lineRule="exact"/>
              <w:rPr>
                <w:sz w:val="20"/>
                <w:szCs w:val="20"/>
                <w:color w:val="auto"/>
              </w:rPr>
            </w:pPr>
            <w:r>
              <w:rPr>
                <w:rFonts w:ascii="Times New Roman" w:cs="Times New Roman" w:eastAsia="Times New Roman" w:hAnsi="Times New Roman"/>
                <w:sz w:val="18"/>
                <w:szCs w:val="18"/>
                <w:color w:val="auto"/>
                <w:w w:val="79"/>
              </w:rPr>
              <w:t>%</w:t>
            </w:r>
          </w:p>
        </w:tc>
        <w:tc>
          <w:tcPr>
            <w:tcW w:w="1000" w:type="dxa"/>
            <w:vAlign w:val="bottom"/>
            <w:tcBorders>
              <w:top w:val="single" w:sz="8" w:color="auto"/>
            </w:tcBorders>
          </w:tcPr>
          <w:p>
            <w:pPr>
              <w:spacing w:after="0"/>
              <w:rPr>
                <w:sz w:val="17"/>
                <w:szCs w:val="17"/>
                <w:color w:val="auto"/>
              </w:rPr>
            </w:pPr>
          </w:p>
        </w:tc>
        <w:tc>
          <w:tcPr>
            <w:tcW w:w="16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w w:val="93"/>
              </w:rPr>
              <w:t>%</w:t>
            </w:r>
          </w:p>
        </w:tc>
      </w:tr>
      <w:tr>
        <w:trPr>
          <w:trHeight w:val="229"/>
        </w:trPr>
        <w:tc>
          <w:tcPr>
            <w:tcW w:w="9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Total</w:t>
            </w:r>
          </w:p>
        </w:tc>
        <w:tc>
          <w:tcPr>
            <w:tcW w:w="3480" w:type="dxa"/>
            <w:vAlign w:val="bottom"/>
          </w:tcPr>
          <w:p>
            <w:pPr>
              <w:spacing w:after="0"/>
              <w:rPr>
                <w:sz w:val="19"/>
                <w:szCs w:val="19"/>
                <w:color w:val="auto"/>
              </w:rPr>
            </w:pPr>
          </w:p>
        </w:tc>
        <w:tc>
          <w:tcPr>
            <w:tcW w:w="2420" w:type="dxa"/>
            <w:vAlign w:val="bottom"/>
            <w:gridSpan w:val="2"/>
          </w:tcPr>
          <w:p>
            <w:pPr>
              <w:jc w:val="right"/>
              <w:ind w:right="76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1100" w:type="dxa"/>
            <w:vAlign w:val="bottom"/>
            <w:gridSpan w:val="2"/>
          </w:tcPr>
          <w:p>
            <w:pPr>
              <w:jc w:val="right"/>
              <w:ind w:right="88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r>
      <w:tr>
        <w:trPr>
          <w:trHeight w:val="265"/>
        </w:trPr>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Plus accrued interest, if any, from September</w:t>
            </w:r>
          </w:p>
        </w:tc>
        <w:tc>
          <w:tcPr>
            <w:tcW w:w="3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2006, if settlement occurs after that date.</w:t>
            </w:r>
          </w:p>
        </w:tc>
        <w:tc>
          <w:tcPr>
            <w:tcW w:w="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r>
    </w:tbl>
    <w:p>
      <w:pPr>
        <w:spacing w:after="0" w:line="49" w:lineRule="exact"/>
        <w:rPr>
          <w:sz w:val="20"/>
          <w:szCs w:val="20"/>
          <w:color w:val="auto"/>
        </w:rPr>
      </w:pPr>
    </w:p>
    <w:p>
      <w:pPr>
        <w:ind w:left="1160" w:right="660" w:hanging="572"/>
        <w:spacing w:after="0" w:line="271" w:lineRule="auto"/>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 average underwriting discount for orders by retail and institutional investors. See “Underwriting” beginning on page S-11 of this prospectus supplement for a discussion regarding underwriting discounts.</w:t>
      </w:r>
    </w:p>
    <w:p>
      <w:pPr>
        <w:spacing w:after="0" w:line="9" w:lineRule="exact"/>
        <w:rPr>
          <w:sz w:val="20"/>
          <w:szCs w:val="20"/>
          <w:color w:val="auto"/>
        </w:rPr>
      </w:pPr>
    </w:p>
    <w:p>
      <w:pPr>
        <w:ind w:right="240" w:firstLine="264"/>
        <w:spacing w:after="0" w:line="271"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9" w:lineRule="exact"/>
        <w:rPr>
          <w:sz w:val="20"/>
          <w:szCs w:val="20"/>
          <w:color w:val="auto"/>
        </w:rPr>
      </w:pPr>
    </w:p>
    <w:p>
      <w:pPr>
        <w:ind w:right="200" w:firstLine="261"/>
        <w:spacing w:after="0" w:line="271" w:lineRule="auto"/>
        <w:rPr>
          <w:sz w:val="20"/>
          <w:szCs w:val="20"/>
          <w:color w:val="auto"/>
        </w:rPr>
      </w:pPr>
      <w:r>
        <w:rPr>
          <w:rFonts w:ascii="Times New Roman" w:cs="Times New Roman" w:eastAsia="Times New Roman" w:hAnsi="Times New Roman"/>
          <w:sz w:val="18"/>
          <w:szCs w:val="18"/>
          <w:color w:val="auto"/>
        </w:rPr>
        <w:t>We have granted the underwriters the right to purchase up to an additional $45,000,000 aggregate principal amount of notes to cover over-allotments. If the amount of the notes sold in this offering is increased, the amount of this option may also be increased.</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notes will be ready for delivery only through The Depository Trust Company and its participants, including Euroclear and Clearstream, in book-entry</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form on or about September</w:t>
            </w:r>
          </w:p>
        </w:tc>
        <w:tc>
          <w:tcPr>
            <w:tcW w:w="182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rPr>
              <w:t>, 2006.</w:t>
            </w:r>
          </w:p>
        </w:tc>
        <w:tc>
          <w:tcPr>
            <w:tcW w:w="35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
        </w:trPr>
        <w:tc>
          <w:tcPr>
            <w:tcW w:w="21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3540" w:type="dxa"/>
            <w:vAlign w:val="bottom"/>
            <w:tcBorders>
              <w:bottom w:val="single" w:sz="8" w:color="auto"/>
            </w:tcBorders>
          </w:tcPr>
          <w:p>
            <w:pPr>
              <w:spacing w:after="0"/>
              <w:rPr>
                <w:sz w:val="7"/>
                <w:szCs w:val="7"/>
                <w:color w:val="auto"/>
              </w:rPr>
            </w:pPr>
          </w:p>
        </w:tc>
        <w:tc>
          <w:tcPr>
            <w:tcW w:w="3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2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54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120" w:type="dxa"/>
            <w:vAlign w:val="bottom"/>
          </w:tcPr>
          <w:p>
            <w:pPr>
              <w:spacing w:after="0"/>
              <w:rPr>
                <w:sz w:val="20"/>
                <w:szCs w:val="20"/>
                <w:color w:val="auto"/>
              </w:rPr>
            </w:pPr>
            <w:r>
              <w:rPr>
                <w:rFonts w:ascii="Times New Roman" w:cs="Times New Roman" w:eastAsia="Times New Roman" w:hAnsi="Times New Roman"/>
                <w:sz w:val="24"/>
                <w:szCs w:val="24"/>
                <w:b w:val="1"/>
                <w:bCs w:val="1"/>
                <w:color w:val="auto"/>
              </w:rPr>
              <w:t>Citigroup</w:t>
            </w:r>
          </w:p>
        </w:tc>
        <w:tc>
          <w:tcPr>
            <w:tcW w:w="18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940" w:type="dxa"/>
            <w:vAlign w:val="bottom"/>
          </w:tcPr>
          <w:p>
            <w:pPr>
              <w:jc w:val="right"/>
              <w:spacing w:after="0"/>
              <w:rPr>
                <w:sz w:val="20"/>
                <w:szCs w:val="20"/>
                <w:color w:val="auto"/>
              </w:rPr>
            </w:pPr>
            <w:r>
              <w:rPr>
                <w:rFonts w:ascii="Times New Roman" w:cs="Times New Roman" w:eastAsia="Times New Roman" w:hAnsi="Times New Roman"/>
                <w:sz w:val="24"/>
                <w:szCs w:val="24"/>
                <w:b w:val="1"/>
                <w:bCs w:val="1"/>
                <w:color w:val="auto"/>
              </w:rPr>
              <w:t>Merrill Lynch &amp; Co.</w:t>
            </w:r>
          </w:p>
        </w:tc>
        <w:tc>
          <w:tcPr>
            <w:tcW w:w="0" w:type="dxa"/>
            <w:vAlign w:val="bottom"/>
          </w:tcPr>
          <w:p>
            <w:pPr>
              <w:spacing w:after="0"/>
              <w:rPr>
                <w:sz w:val="1"/>
                <w:szCs w:val="1"/>
                <w:color w:val="auto"/>
              </w:rPr>
            </w:pPr>
          </w:p>
        </w:tc>
      </w:tr>
      <w:tr>
        <w:trPr>
          <w:trHeight w:val="100"/>
        </w:trPr>
        <w:tc>
          <w:tcPr>
            <w:tcW w:w="21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3540" w:type="dxa"/>
            <w:vAlign w:val="bottom"/>
            <w:tcBorders>
              <w:bottom w:val="single" w:sz="8" w:color="auto"/>
            </w:tcBorders>
          </w:tcPr>
          <w:p>
            <w:pPr>
              <w:spacing w:after="0"/>
              <w:rPr>
                <w:sz w:val="8"/>
                <w:szCs w:val="8"/>
                <w:color w:val="auto"/>
              </w:rPr>
            </w:pPr>
          </w:p>
        </w:tc>
        <w:tc>
          <w:tcPr>
            <w:tcW w:w="3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7"/>
        </w:trPr>
        <w:tc>
          <w:tcPr>
            <w:tcW w:w="21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Morgan Stanley</w:t>
            </w:r>
          </w:p>
        </w:tc>
        <w:tc>
          <w:tcPr>
            <w:tcW w:w="1820" w:type="dxa"/>
            <w:vAlign w:val="bottom"/>
          </w:tcPr>
          <w:p>
            <w:pPr>
              <w:spacing w:after="0"/>
              <w:rPr>
                <w:sz w:val="24"/>
                <w:szCs w:val="24"/>
                <w:color w:val="auto"/>
              </w:rPr>
            </w:pPr>
          </w:p>
        </w:tc>
        <w:tc>
          <w:tcPr>
            <w:tcW w:w="3540" w:type="dxa"/>
            <w:vAlign w:val="bottom"/>
          </w:tcPr>
          <w:p>
            <w:pPr>
              <w:ind w:left="1080"/>
              <w:spacing w:after="0"/>
              <w:rPr>
                <w:sz w:val="20"/>
                <w:szCs w:val="20"/>
                <w:color w:val="auto"/>
              </w:rPr>
            </w:pPr>
            <w:r>
              <w:rPr>
                <w:rFonts w:ascii="Times New Roman" w:cs="Times New Roman" w:eastAsia="Times New Roman" w:hAnsi="Times New Roman"/>
                <w:sz w:val="20"/>
                <w:szCs w:val="20"/>
                <w:b w:val="1"/>
                <w:bCs w:val="1"/>
                <w:color w:val="auto"/>
              </w:rPr>
              <w:t>UBS Investment Bank</w:t>
            </w:r>
          </w:p>
        </w:tc>
        <w:tc>
          <w:tcPr>
            <w:tcW w:w="3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Wachovia Securities</w:t>
            </w:r>
          </w:p>
        </w:tc>
        <w:tc>
          <w:tcPr>
            <w:tcW w:w="0" w:type="dxa"/>
            <w:vAlign w:val="bottom"/>
          </w:tcPr>
          <w:p>
            <w:pPr>
              <w:spacing w:after="0"/>
              <w:rPr>
                <w:sz w:val="1"/>
                <w:szCs w:val="1"/>
                <w:color w:val="auto"/>
              </w:rPr>
            </w:pPr>
          </w:p>
        </w:tc>
      </w:tr>
      <w:tr>
        <w:trPr>
          <w:trHeight w:val="44"/>
        </w:trPr>
        <w:tc>
          <w:tcPr>
            <w:tcW w:w="21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A.G. Edwards</w:t>
            </w:r>
          </w:p>
        </w:tc>
        <w:tc>
          <w:tcPr>
            <w:tcW w:w="1820" w:type="dxa"/>
            <w:vAlign w:val="bottom"/>
          </w:tcPr>
          <w:p>
            <w:pPr>
              <w:spacing w:after="0"/>
              <w:rPr>
                <w:sz w:val="3"/>
                <w:szCs w:val="3"/>
                <w:color w:val="auto"/>
              </w:rPr>
            </w:pPr>
          </w:p>
        </w:tc>
        <w:tc>
          <w:tcPr>
            <w:tcW w:w="3540" w:type="dxa"/>
            <w:vAlign w:val="bottom"/>
            <w:tcBorders>
              <w:bottom w:val="single" w:sz="8" w:color="auto"/>
            </w:tcBorders>
          </w:tcPr>
          <w:p>
            <w:pPr>
              <w:spacing w:after="0"/>
              <w:rPr>
                <w:sz w:val="3"/>
                <w:szCs w:val="3"/>
                <w:color w:val="auto"/>
              </w:rPr>
            </w:pPr>
          </w:p>
        </w:tc>
        <w:tc>
          <w:tcPr>
            <w:tcW w:w="3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RBC Capital Markets</w:t>
            </w:r>
          </w:p>
        </w:tc>
        <w:tc>
          <w:tcPr>
            <w:tcW w:w="0" w:type="dxa"/>
            <w:vAlign w:val="bottom"/>
          </w:tcPr>
          <w:p>
            <w:pPr>
              <w:spacing w:after="0"/>
              <w:rPr>
                <w:sz w:val="1"/>
                <w:szCs w:val="1"/>
                <w:color w:val="auto"/>
              </w:rPr>
            </w:pPr>
          </w:p>
        </w:tc>
      </w:tr>
      <w:tr>
        <w:trPr>
          <w:trHeight w:val="254"/>
        </w:trPr>
        <w:tc>
          <w:tcPr>
            <w:tcW w:w="2120" w:type="dxa"/>
            <w:vAlign w:val="bottom"/>
            <w:vMerge w:val="continue"/>
          </w:tcPr>
          <w:p>
            <w:pPr>
              <w:spacing w:after="0"/>
              <w:rPr>
                <w:sz w:val="22"/>
                <w:szCs w:val="22"/>
                <w:color w:val="auto"/>
              </w:rPr>
            </w:pPr>
          </w:p>
        </w:tc>
        <w:tc>
          <w:tcPr>
            <w:tcW w:w="182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39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2506980</wp:posOffset>
            </wp:positionH>
            <wp:positionV relativeFrom="paragraph">
              <wp:posOffset>69850</wp:posOffset>
            </wp:positionV>
            <wp:extent cx="22428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42820" cy="825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320" w:type="dxa"/>
            <w:vAlign w:val="bottom"/>
          </w:tcPr>
          <w:p>
            <w:pPr>
              <w:jc w:val="center"/>
              <w:ind w:right="835"/>
              <w:spacing w:after="0"/>
              <w:rPr>
                <w:sz w:val="20"/>
                <w:szCs w:val="20"/>
                <w:color w:val="auto"/>
              </w:rPr>
            </w:pPr>
            <w:r>
              <w:rPr>
                <w:rFonts w:ascii="Times New Roman" w:cs="Times New Roman" w:eastAsia="Times New Roman" w:hAnsi="Times New Roman"/>
                <w:sz w:val="17"/>
                <w:szCs w:val="17"/>
                <w:b w:val="1"/>
                <w:bCs w:val="1"/>
                <w:color w:val="auto"/>
                <w:w w:val="98"/>
              </w:rPr>
              <w:t>Banc of America Securities LLC</w:t>
            </w:r>
          </w:p>
        </w:tc>
        <w:tc>
          <w:tcPr>
            <w:tcW w:w="4100" w:type="dxa"/>
            <w:vAlign w:val="bottom"/>
          </w:tcPr>
          <w:p>
            <w:pPr>
              <w:jc w:val="center"/>
              <w:ind w:right="475"/>
              <w:spacing w:after="0"/>
              <w:rPr>
                <w:sz w:val="20"/>
                <w:szCs w:val="20"/>
                <w:color w:val="auto"/>
              </w:rPr>
            </w:pPr>
            <w:r>
              <w:rPr>
                <w:rFonts w:ascii="Times New Roman" w:cs="Times New Roman" w:eastAsia="Times New Roman" w:hAnsi="Times New Roman"/>
                <w:sz w:val="17"/>
                <w:szCs w:val="17"/>
                <w:b w:val="1"/>
                <w:bCs w:val="1"/>
                <w:color w:val="auto"/>
                <w:w w:val="98"/>
              </w:rPr>
              <w:t>Deutsche Bank Securities</w:t>
            </w:r>
          </w:p>
        </w:tc>
      </w:tr>
      <w:tr>
        <w:trPr>
          <w:trHeight w:val="221"/>
        </w:trPr>
        <w:tc>
          <w:tcPr>
            <w:tcW w:w="7320" w:type="dxa"/>
            <w:vAlign w:val="bottom"/>
          </w:tcPr>
          <w:p>
            <w:pPr>
              <w:jc w:val="center"/>
              <w:ind w:right="835"/>
              <w:spacing w:after="0"/>
              <w:rPr>
                <w:sz w:val="20"/>
                <w:szCs w:val="20"/>
                <w:color w:val="auto"/>
              </w:rPr>
            </w:pPr>
            <w:r>
              <w:rPr>
                <w:rFonts w:ascii="Times New Roman" w:cs="Times New Roman" w:eastAsia="Times New Roman" w:hAnsi="Times New Roman"/>
                <w:sz w:val="17"/>
                <w:szCs w:val="17"/>
                <w:b w:val="1"/>
                <w:bCs w:val="1"/>
                <w:color w:val="auto"/>
                <w:w w:val="98"/>
              </w:rPr>
              <w:t>JPMorgan</w:t>
            </w:r>
          </w:p>
        </w:tc>
        <w:tc>
          <w:tcPr>
            <w:tcW w:w="4100" w:type="dxa"/>
            <w:vAlign w:val="bottom"/>
          </w:tcPr>
          <w:p>
            <w:pPr>
              <w:jc w:val="center"/>
              <w:ind w:right="475"/>
              <w:spacing w:after="0"/>
              <w:rPr>
                <w:sz w:val="20"/>
                <w:szCs w:val="20"/>
                <w:color w:val="auto"/>
              </w:rPr>
            </w:pPr>
            <w:r>
              <w:rPr>
                <w:rFonts w:ascii="Times New Roman" w:cs="Times New Roman" w:eastAsia="Times New Roman" w:hAnsi="Times New Roman"/>
                <w:sz w:val="17"/>
                <w:szCs w:val="17"/>
                <w:b w:val="1"/>
                <w:bCs w:val="1"/>
                <w:color w:val="auto"/>
                <w:w w:val="97"/>
              </w:rPr>
              <w:t>Lehman Brothers</w:t>
            </w:r>
          </w:p>
        </w:tc>
      </w:tr>
      <w:tr>
        <w:trPr>
          <w:trHeight w:val="267"/>
        </w:trPr>
        <w:tc>
          <w:tcPr>
            <w:tcW w:w="732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The date of this prospectus supplement is September</w:t>
            </w:r>
          </w:p>
        </w:tc>
        <w:tc>
          <w:tcPr>
            <w:tcW w:w="4100" w:type="dxa"/>
            <w:vAlign w:val="bottom"/>
          </w:tcPr>
          <w:p>
            <w:pPr>
              <w:jc w:val="right"/>
              <w:ind w:right="3395"/>
              <w:spacing w:after="0"/>
              <w:rPr>
                <w:sz w:val="20"/>
                <w:szCs w:val="20"/>
                <w:color w:val="auto"/>
              </w:rPr>
            </w:pPr>
            <w:r>
              <w:rPr>
                <w:rFonts w:ascii="Times New Roman" w:cs="Times New Roman" w:eastAsia="Times New Roman" w:hAnsi="Times New Roman"/>
                <w:sz w:val="18"/>
                <w:szCs w:val="18"/>
                <w:color w:val="auto"/>
              </w:rPr>
              <w:t>, 2006.</w:t>
            </w:r>
          </w:p>
        </w:tc>
      </w:tr>
      <w:tr>
        <w:trPr>
          <w:trHeight w:val="222"/>
        </w:trPr>
        <w:tc>
          <w:tcPr>
            <w:tcW w:w="7320" w:type="dxa"/>
            <w:vAlign w:val="bottom"/>
            <w:tcBorders>
              <w:bottom w:val="single" w:sz="8" w:color="808080"/>
            </w:tcBorders>
          </w:tcPr>
          <w:p>
            <w:pPr>
              <w:spacing w:after="0"/>
              <w:rPr>
                <w:sz w:val="19"/>
                <w:szCs w:val="19"/>
                <w:color w:val="auto"/>
              </w:rPr>
            </w:pPr>
          </w:p>
        </w:tc>
        <w:tc>
          <w:tcPr>
            <w:tcW w:w="4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31"/>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40" w:type="dxa"/>
            <w:vAlign w:val="bottom"/>
            <w:gridSpan w:val="2"/>
          </w:tcPr>
          <w:p>
            <w:pPr>
              <w:jc w:val="center"/>
              <w:ind w:right="2872"/>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7"/>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40" w:type="dxa"/>
            <w:vAlign w:val="bottom"/>
            <w:gridSpan w:val="2"/>
          </w:tcPr>
          <w:p>
            <w:pPr>
              <w:jc w:val="center"/>
              <w:ind w:right="2872"/>
              <w:spacing w:after="0"/>
              <w:rPr>
                <w:sz w:val="20"/>
                <w:szCs w:val="20"/>
                <w:color w:val="auto"/>
              </w:rPr>
            </w:pPr>
            <w:r>
              <w:rPr>
                <w:rFonts w:ascii="Times New Roman" w:cs="Times New Roman" w:eastAsia="Times New Roman" w:hAnsi="Times New Roman"/>
                <w:sz w:val="18"/>
                <w:szCs w:val="18"/>
                <w:b w:val="1"/>
                <w:bCs w:val="1"/>
                <w:color w:val="auto"/>
                <w:w w:val="97"/>
              </w:rPr>
              <w:t>Prospectus Supplement</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0580" w:type="dxa"/>
            <w:vAlign w:val="bottom"/>
            <w:gridSpan w:val="20"/>
            <w:vMerge w:val="restart"/>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Prospectus Supplement Summary</w:t>
              </w:r>
            </w:hyperlink>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8"/>
        </w:trPr>
        <w:tc>
          <w:tcPr>
            <w:tcW w:w="10580" w:type="dxa"/>
            <w:vAlign w:val="bottom"/>
            <w:gridSpan w:val="20"/>
            <w:vMerge w:val="continue"/>
          </w:tcPr>
          <w:p>
            <w:pPr>
              <w:spacing w:after="0"/>
              <w:rPr>
                <w:sz w:val="15"/>
                <w:szCs w:val="15"/>
                <w:color w:val="auto"/>
              </w:rPr>
            </w:pPr>
          </w:p>
        </w:tc>
        <w:tc>
          <w:tcPr>
            <w:tcW w:w="70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8"/>
                <w:szCs w:val="18"/>
                <w:color w:val="auto"/>
              </w:rPr>
              <w:t>S-1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900" w:type="dxa"/>
            <w:vAlign w:val="bottom"/>
            <w:tcBorders>
              <w:top w:val="single" w:sz="8" w:color="0000EE"/>
              <w:bottom w:val="single" w:sz="8" w:color="0000EE"/>
            </w:tcBorders>
            <w:gridSpan w:val="2"/>
          </w:tcPr>
          <w:p>
            <w:pPr>
              <w:spacing w:after="0" w:line="192" w:lineRule="exact"/>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Risk Factors</w:t>
              </w:r>
            </w:hyperlink>
          </w:p>
        </w:tc>
        <w:tc>
          <w:tcPr>
            <w:tcW w:w="1480" w:type="dxa"/>
            <w:vAlign w:val="bottom"/>
            <w:tcBorders>
              <w:top w:val="single" w:sz="8" w:color="0000EE"/>
            </w:tcBorders>
            <w:gridSpan w:val="10"/>
          </w:tcPr>
          <w:p>
            <w:pPr>
              <w:spacing w:after="0"/>
              <w:rPr>
                <w:sz w:val="16"/>
                <w:szCs w:val="16"/>
                <w:color w:val="auto"/>
              </w:rPr>
            </w:pPr>
          </w:p>
        </w:tc>
        <w:tc>
          <w:tcPr>
            <w:tcW w:w="8200" w:type="dxa"/>
            <w:vAlign w:val="bottom"/>
            <w:gridSpan w:val="8"/>
          </w:tcPr>
          <w:p>
            <w:pPr>
              <w:spacing w:after="0"/>
              <w:rPr>
                <w:sz w:val="16"/>
                <w:szCs w:val="16"/>
                <w:color w:val="auto"/>
              </w:rPr>
            </w:pPr>
          </w:p>
        </w:tc>
        <w:tc>
          <w:tcPr>
            <w:tcW w:w="72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18"/>
                <w:szCs w:val="18"/>
                <w:color w:val="auto"/>
              </w:rPr>
              <w:t>S-3</w:t>
            </w:r>
          </w:p>
        </w:tc>
        <w:tc>
          <w:tcPr>
            <w:tcW w:w="0" w:type="dxa"/>
            <w:vAlign w:val="bottom"/>
          </w:tcPr>
          <w:p>
            <w:pPr>
              <w:spacing w:after="0"/>
              <w:rPr>
                <w:sz w:val="1"/>
                <w:szCs w:val="1"/>
                <w:color w:val="auto"/>
              </w:rPr>
            </w:pPr>
          </w:p>
        </w:tc>
      </w:tr>
      <w:tr>
        <w:trPr>
          <w:trHeight w:val="192"/>
        </w:trPr>
        <w:tc>
          <w:tcPr>
            <w:tcW w:w="3400" w:type="dxa"/>
            <w:vAlign w:val="bottom"/>
            <w:tcBorders>
              <w:bottom w:val="single" w:sz="8" w:color="0000EE"/>
            </w:tcBorders>
            <w:gridSpan w:val="15"/>
          </w:tcPr>
          <w:p>
            <w:pPr>
              <w:spacing w:after="0" w:line="192" w:lineRule="exact"/>
              <w:rPr>
                <w:rFonts w:ascii="Times New Roman" w:cs="Times New Roman" w:eastAsia="Times New Roman" w:hAnsi="Times New Roman"/>
                <w:sz w:val="18"/>
                <w:szCs w:val="18"/>
                <w:color w:val="0000EE"/>
                <w:w w:val="97"/>
              </w:rPr>
            </w:pPr>
            <w:hyperlink w:anchor="page9">
              <w:r>
                <w:rPr>
                  <w:rFonts w:ascii="Times New Roman" w:cs="Times New Roman" w:eastAsia="Times New Roman" w:hAnsi="Times New Roman"/>
                  <w:sz w:val="18"/>
                  <w:szCs w:val="18"/>
                  <w:color w:val="0000EE"/>
                  <w:w w:val="97"/>
                </w:rPr>
                <w:t>Selected Historical Consolidated Financial Data</w:t>
              </w:r>
            </w:hyperlink>
          </w:p>
        </w:tc>
        <w:tc>
          <w:tcPr>
            <w:tcW w:w="7180" w:type="dxa"/>
            <w:vAlign w:val="bottom"/>
            <w:gridSpan w:val="5"/>
          </w:tcPr>
          <w:p>
            <w:pPr>
              <w:spacing w:after="0"/>
              <w:rPr>
                <w:sz w:val="16"/>
                <w:szCs w:val="16"/>
                <w:color w:val="auto"/>
              </w:rPr>
            </w:pPr>
          </w:p>
        </w:tc>
        <w:tc>
          <w:tcPr>
            <w:tcW w:w="72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0000EE"/>
            </w:tcBorders>
            <w:gridSpan w:val="6"/>
          </w:tcPr>
          <w:p>
            <w:pPr>
              <w:spacing w:after="0" w:line="192" w:lineRule="exact"/>
              <w:rPr>
                <w:rFonts w:ascii="Times New Roman" w:cs="Times New Roman" w:eastAsia="Times New Roman" w:hAnsi="Times New Roman"/>
                <w:sz w:val="18"/>
                <w:szCs w:val="18"/>
                <w:color w:val="0000EE"/>
                <w:w w:val="97"/>
              </w:rPr>
            </w:pPr>
            <w:hyperlink w:anchor="page10">
              <w:r>
                <w:rPr>
                  <w:rFonts w:ascii="Times New Roman" w:cs="Times New Roman" w:eastAsia="Times New Roman" w:hAnsi="Times New Roman"/>
                  <w:sz w:val="18"/>
                  <w:szCs w:val="18"/>
                  <w:color w:val="0000EE"/>
                  <w:w w:val="97"/>
                </w:rPr>
                <w:t>Use of Proceeds</w:t>
              </w:r>
            </w:hyperlink>
          </w:p>
        </w:tc>
        <w:tc>
          <w:tcPr>
            <w:tcW w:w="9420" w:type="dxa"/>
            <w:vAlign w:val="bottom"/>
            <w:gridSpan w:val="14"/>
          </w:tcPr>
          <w:p>
            <w:pPr>
              <w:spacing w:after="0"/>
              <w:rPr>
                <w:sz w:val="16"/>
                <w:szCs w:val="16"/>
                <w:color w:val="auto"/>
              </w:rPr>
            </w:pPr>
          </w:p>
        </w:tc>
        <w:tc>
          <w:tcPr>
            <w:tcW w:w="72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18"/>
                <w:szCs w:val="18"/>
                <w:color w:val="auto"/>
              </w:rPr>
              <w:t>S-6</w:t>
            </w:r>
          </w:p>
        </w:tc>
        <w:tc>
          <w:tcPr>
            <w:tcW w:w="0" w:type="dxa"/>
            <w:vAlign w:val="bottom"/>
          </w:tcPr>
          <w:p>
            <w:pPr>
              <w:spacing w:after="0"/>
              <w:rPr>
                <w:sz w:val="1"/>
                <w:szCs w:val="1"/>
                <w:color w:val="auto"/>
              </w:rPr>
            </w:pPr>
          </w:p>
        </w:tc>
      </w:tr>
      <w:tr>
        <w:trPr>
          <w:trHeight w:val="192"/>
        </w:trPr>
        <w:tc>
          <w:tcPr>
            <w:tcW w:w="2500" w:type="dxa"/>
            <w:vAlign w:val="bottom"/>
            <w:tcBorders>
              <w:bottom w:val="single" w:sz="8" w:color="0000EE"/>
            </w:tcBorders>
            <w:gridSpan w:val="13"/>
          </w:tcPr>
          <w:p>
            <w:pPr>
              <w:spacing w:after="0" w:line="192" w:lineRule="exact"/>
              <w:rPr>
                <w:rFonts w:ascii="Times New Roman" w:cs="Times New Roman" w:eastAsia="Times New Roman" w:hAnsi="Times New Roman"/>
                <w:sz w:val="18"/>
                <w:szCs w:val="18"/>
                <w:color w:val="0000EE"/>
                <w:w w:val="97"/>
              </w:rPr>
            </w:pPr>
            <w:hyperlink w:anchor="page10">
              <w:r>
                <w:rPr>
                  <w:rFonts w:ascii="Times New Roman" w:cs="Times New Roman" w:eastAsia="Times New Roman" w:hAnsi="Times New Roman"/>
                  <w:sz w:val="18"/>
                  <w:szCs w:val="18"/>
                  <w:color w:val="0000EE"/>
                  <w:w w:val="97"/>
                </w:rPr>
                <w:t>Ratio of Earnings to Fixed Charges</w:t>
              </w:r>
            </w:hyperlink>
          </w:p>
        </w:tc>
        <w:tc>
          <w:tcPr>
            <w:tcW w:w="8080" w:type="dxa"/>
            <w:vAlign w:val="bottom"/>
            <w:gridSpan w:val="7"/>
          </w:tcPr>
          <w:p>
            <w:pPr>
              <w:spacing w:after="0"/>
              <w:rPr>
                <w:sz w:val="16"/>
                <w:szCs w:val="16"/>
                <w:color w:val="auto"/>
              </w:rPr>
            </w:pPr>
          </w:p>
        </w:tc>
        <w:tc>
          <w:tcPr>
            <w:tcW w:w="72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18"/>
                <w:szCs w:val="18"/>
                <w:color w:val="auto"/>
              </w:rPr>
              <w:t>S-6</w:t>
            </w:r>
          </w:p>
        </w:tc>
        <w:tc>
          <w:tcPr>
            <w:tcW w:w="0" w:type="dxa"/>
            <w:vAlign w:val="bottom"/>
          </w:tcPr>
          <w:p>
            <w:pPr>
              <w:spacing w:after="0"/>
              <w:rPr>
                <w:sz w:val="1"/>
                <w:szCs w:val="1"/>
                <w:color w:val="auto"/>
              </w:rPr>
            </w:pPr>
          </w:p>
        </w:tc>
      </w:tr>
      <w:tr>
        <w:trPr>
          <w:trHeight w:val="192"/>
        </w:trPr>
        <w:tc>
          <w:tcPr>
            <w:tcW w:w="1740" w:type="dxa"/>
            <w:vAlign w:val="bottom"/>
            <w:tcBorders>
              <w:bottom w:val="single" w:sz="8" w:color="0000EE"/>
            </w:tcBorders>
            <w:gridSpan w:val="10"/>
          </w:tcPr>
          <w:p>
            <w:pPr>
              <w:spacing w:after="0" w:line="192" w:lineRule="exact"/>
              <w:rPr>
                <w:rFonts w:ascii="Times New Roman" w:cs="Times New Roman" w:eastAsia="Times New Roman" w:hAnsi="Times New Roman"/>
                <w:sz w:val="18"/>
                <w:szCs w:val="18"/>
                <w:color w:val="0000EE"/>
                <w:w w:val="97"/>
              </w:rPr>
            </w:pPr>
            <w:hyperlink w:anchor="page11">
              <w:r>
                <w:rPr>
                  <w:rFonts w:ascii="Times New Roman" w:cs="Times New Roman" w:eastAsia="Times New Roman" w:hAnsi="Times New Roman"/>
                  <w:sz w:val="18"/>
                  <w:szCs w:val="18"/>
                  <w:color w:val="0000EE"/>
                  <w:w w:val="97"/>
                </w:rPr>
                <w:t>Description of the Notes</w:t>
              </w:r>
            </w:hyperlink>
          </w:p>
        </w:tc>
        <w:tc>
          <w:tcPr>
            <w:tcW w:w="8840" w:type="dxa"/>
            <w:vAlign w:val="bottom"/>
            <w:gridSpan w:val="10"/>
          </w:tcPr>
          <w:p>
            <w:pPr>
              <w:spacing w:after="0"/>
              <w:rPr>
                <w:sz w:val="16"/>
                <w:szCs w:val="16"/>
                <w:color w:val="auto"/>
              </w:rPr>
            </w:pPr>
          </w:p>
        </w:tc>
        <w:tc>
          <w:tcPr>
            <w:tcW w:w="72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192"/>
        </w:trPr>
        <w:tc>
          <w:tcPr>
            <w:tcW w:w="960" w:type="dxa"/>
            <w:vAlign w:val="bottom"/>
            <w:tcBorders>
              <w:bottom w:val="single" w:sz="8" w:color="0000EE"/>
            </w:tcBorders>
            <w:gridSpan w:val="3"/>
          </w:tcPr>
          <w:p>
            <w:pPr>
              <w:spacing w:after="0" w:line="192" w:lineRule="exact"/>
              <w:rPr>
                <w:rFonts w:ascii="Times New Roman" w:cs="Times New Roman" w:eastAsia="Times New Roman" w:hAnsi="Times New Roman"/>
                <w:sz w:val="18"/>
                <w:szCs w:val="18"/>
                <w:color w:val="0000EE"/>
                <w:w w:val="96"/>
              </w:rPr>
            </w:pPr>
            <w:hyperlink w:anchor="page15">
              <w:r>
                <w:rPr>
                  <w:rFonts w:ascii="Times New Roman" w:cs="Times New Roman" w:eastAsia="Times New Roman" w:hAnsi="Times New Roman"/>
                  <w:sz w:val="18"/>
                  <w:szCs w:val="18"/>
                  <w:color w:val="0000EE"/>
                  <w:w w:val="96"/>
                </w:rPr>
                <w:t>Underwriting</w:t>
              </w:r>
            </w:hyperlink>
          </w:p>
        </w:tc>
        <w:tc>
          <w:tcPr>
            <w:tcW w:w="9620" w:type="dxa"/>
            <w:vAlign w:val="bottom"/>
            <w:gridSpan w:val="17"/>
          </w:tcPr>
          <w:p>
            <w:pPr>
              <w:spacing w:after="0"/>
              <w:rPr>
                <w:sz w:val="16"/>
                <w:szCs w:val="16"/>
                <w:color w:val="auto"/>
              </w:rPr>
            </w:pPr>
          </w:p>
        </w:tc>
        <w:tc>
          <w:tcPr>
            <w:tcW w:w="72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192"/>
        </w:trPr>
        <w:tc>
          <w:tcPr>
            <w:tcW w:w="10580" w:type="dxa"/>
            <w:vAlign w:val="bottom"/>
            <w:gridSpan w:val="20"/>
          </w:tcPr>
          <w:p>
            <w:pPr>
              <w:spacing w:after="0" w:line="192"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Legal Matters</w:t>
              </w:r>
            </w:hyperlink>
          </w:p>
        </w:tc>
        <w:tc>
          <w:tcPr>
            <w:tcW w:w="72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18"/>
                <w:szCs w:val="18"/>
                <w:color w:val="auto"/>
              </w:rPr>
              <w:t>S-14</w:t>
            </w:r>
          </w:p>
        </w:tc>
        <w:tc>
          <w:tcPr>
            <w:tcW w:w="0" w:type="dxa"/>
            <w:vAlign w:val="bottom"/>
          </w:tcPr>
          <w:p>
            <w:pPr>
              <w:spacing w:after="0"/>
              <w:rPr>
                <w:sz w:val="1"/>
                <w:szCs w:val="1"/>
                <w:color w:val="auto"/>
              </w:rPr>
            </w:pPr>
          </w:p>
        </w:tc>
      </w:tr>
      <w:tr>
        <w:trPr>
          <w:trHeight w:val="230"/>
        </w:trPr>
        <w:tc>
          <w:tcPr>
            <w:tcW w:w="5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540" w:type="dxa"/>
            <w:vAlign w:val="bottom"/>
          </w:tcPr>
          <w:p>
            <w:pPr>
              <w:jc w:val="center"/>
              <w:ind w:right="4192"/>
              <w:spacing w:after="0"/>
              <w:rPr>
                <w:sz w:val="20"/>
                <w:szCs w:val="20"/>
                <w:color w:val="auto"/>
              </w:rPr>
            </w:pPr>
            <w:r>
              <w:rPr>
                <w:rFonts w:ascii="Times New Roman" w:cs="Times New Roman" w:eastAsia="Times New Roman" w:hAnsi="Times New Roman"/>
                <w:sz w:val="18"/>
                <w:szCs w:val="18"/>
                <w:b w:val="1"/>
                <w:bCs w:val="1"/>
                <w:color w:val="auto"/>
                <w:w w:val="97"/>
              </w:rPr>
              <w:t>Prospectus</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10580" w:type="dxa"/>
            <w:vAlign w:val="bottom"/>
            <w:gridSpan w:val="20"/>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The Companies</w:t>
              </w:r>
            </w:hyperlink>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560" w:type="dxa"/>
            <w:vAlign w:val="bottom"/>
            <w:tcBorders>
              <w:bottom w:val="single" w:sz="8" w:color="0000EE"/>
            </w:tcBorders>
            <w:gridSpan w:val="17"/>
          </w:tcPr>
          <w:p>
            <w:pPr>
              <w:spacing w:after="0" w:line="192" w:lineRule="exact"/>
              <w:rPr>
                <w:rFonts w:ascii="Times New Roman" w:cs="Times New Roman" w:eastAsia="Times New Roman" w:hAnsi="Times New Roman"/>
                <w:sz w:val="18"/>
                <w:szCs w:val="18"/>
                <w:color w:val="0000EE"/>
                <w:w w:val="97"/>
              </w:rPr>
            </w:pPr>
            <w:hyperlink w:anchor="page25">
              <w:r>
                <w:rPr>
                  <w:rFonts w:ascii="Times New Roman" w:cs="Times New Roman" w:eastAsia="Times New Roman" w:hAnsi="Times New Roman"/>
                  <w:sz w:val="18"/>
                  <w:szCs w:val="18"/>
                  <w:color w:val="0000EE"/>
                  <w:w w:val="97"/>
                </w:rPr>
                <w:t>Caution Concerning Forward-Looking Statements</w:t>
              </w:r>
            </w:hyperlink>
          </w:p>
        </w:tc>
        <w:tc>
          <w:tcPr>
            <w:tcW w:w="7020" w:type="dxa"/>
            <w:vAlign w:val="bottom"/>
            <w:gridSpan w:val="3"/>
          </w:tcPr>
          <w:p>
            <w:pPr>
              <w:spacing w:after="0"/>
              <w:rPr>
                <w:sz w:val="16"/>
                <w:szCs w:val="16"/>
                <w:color w:val="auto"/>
              </w:rPr>
            </w:pPr>
          </w:p>
        </w:tc>
        <w:tc>
          <w:tcPr>
            <w:tcW w:w="72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0000EE"/>
            </w:tcBorders>
            <w:gridSpan w:val="6"/>
          </w:tcPr>
          <w:p>
            <w:pPr>
              <w:spacing w:after="0" w:line="192" w:lineRule="exact"/>
              <w:rPr>
                <w:rFonts w:ascii="Times New Roman" w:cs="Times New Roman" w:eastAsia="Times New Roman" w:hAnsi="Times New Roman"/>
                <w:sz w:val="18"/>
                <w:szCs w:val="18"/>
                <w:color w:val="0000EE"/>
                <w:w w:val="97"/>
              </w:rPr>
            </w:pPr>
            <w:hyperlink w:anchor="page25">
              <w:r>
                <w:rPr>
                  <w:rFonts w:ascii="Times New Roman" w:cs="Times New Roman" w:eastAsia="Times New Roman" w:hAnsi="Times New Roman"/>
                  <w:sz w:val="18"/>
                  <w:szCs w:val="18"/>
                  <w:color w:val="0000EE"/>
                  <w:w w:val="97"/>
                </w:rPr>
                <w:t>Use of Proceeds</w:t>
              </w:r>
            </w:hyperlink>
          </w:p>
        </w:tc>
        <w:tc>
          <w:tcPr>
            <w:tcW w:w="9420" w:type="dxa"/>
            <w:vAlign w:val="bottom"/>
            <w:gridSpan w:val="14"/>
          </w:tcPr>
          <w:p>
            <w:pPr>
              <w:spacing w:after="0"/>
              <w:rPr>
                <w:sz w:val="16"/>
                <w:szCs w:val="16"/>
                <w:color w:val="auto"/>
              </w:rPr>
            </w:pPr>
          </w:p>
        </w:tc>
        <w:tc>
          <w:tcPr>
            <w:tcW w:w="72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2"/>
        </w:trPr>
        <w:tc>
          <w:tcPr>
            <w:tcW w:w="10580" w:type="dxa"/>
            <w:vAlign w:val="bottom"/>
            <w:gridSpan w:val="20"/>
          </w:tcPr>
          <w:p>
            <w:pPr>
              <w:spacing w:after="0" w:line="192"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Dividend Policy</w:t>
              </w:r>
            </w:hyperlink>
          </w:p>
        </w:tc>
        <w:tc>
          <w:tcPr>
            <w:tcW w:w="72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580" w:type="dxa"/>
            <w:vAlign w:val="bottom"/>
            <w:gridSpan w:val="20"/>
          </w:tcPr>
          <w:p>
            <w:pPr>
              <w:spacing w:after="0" w:line="192"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Ratios of Earnings to Fixed Charges</w:t>
              </w:r>
            </w:hyperlink>
          </w:p>
        </w:tc>
        <w:tc>
          <w:tcPr>
            <w:tcW w:w="72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580" w:type="dxa"/>
            <w:vAlign w:val="bottom"/>
            <w:gridSpan w:val="20"/>
          </w:tcPr>
          <w:p>
            <w:pPr>
              <w:spacing w:after="0" w:line="192"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Ratio of Earnings to Combined Fixed Charges and Preferred Dividends</w:t>
              </w:r>
            </w:hyperlink>
          </w:p>
        </w:tc>
        <w:tc>
          <w:tcPr>
            <w:tcW w:w="72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2"/>
        </w:trPr>
        <w:tc>
          <w:tcPr>
            <w:tcW w:w="5040" w:type="dxa"/>
            <w:vAlign w:val="bottom"/>
            <w:tcBorders>
              <w:top w:val="single" w:sz="8" w:color="0000EE"/>
            </w:tcBorders>
            <w:gridSpan w:val="19"/>
          </w:tcPr>
          <w:p>
            <w:pPr>
              <w:spacing w:after="0" w:line="192"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Description of Debt Securities and Cable Guarantees</w:t>
              </w:r>
            </w:hyperlink>
          </w:p>
        </w:tc>
        <w:tc>
          <w:tcPr>
            <w:tcW w:w="5540" w:type="dxa"/>
            <w:vAlign w:val="bottom"/>
          </w:tcPr>
          <w:p>
            <w:pPr>
              <w:spacing w:after="0"/>
              <w:rPr>
                <w:sz w:val="16"/>
                <w:szCs w:val="16"/>
                <w:color w:val="auto"/>
              </w:rPr>
            </w:pPr>
          </w:p>
        </w:tc>
        <w:tc>
          <w:tcPr>
            <w:tcW w:w="72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2"/>
        </w:trPr>
        <w:tc>
          <w:tcPr>
            <w:tcW w:w="3740" w:type="dxa"/>
            <w:vAlign w:val="bottom"/>
            <w:tcBorders>
              <w:top w:val="single" w:sz="8" w:color="0000EE"/>
            </w:tcBorders>
            <w:gridSpan w:val="18"/>
          </w:tcPr>
          <w:p>
            <w:pPr>
              <w:spacing w:after="0" w:line="192"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Global Securities</w:t>
              </w:r>
            </w:hyperlink>
          </w:p>
        </w:tc>
        <w:tc>
          <w:tcPr>
            <w:tcW w:w="6840" w:type="dxa"/>
            <w:vAlign w:val="bottom"/>
            <w:gridSpan w:val="2"/>
          </w:tcPr>
          <w:p>
            <w:pPr>
              <w:spacing w:after="0"/>
              <w:rPr>
                <w:sz w:val="16"/>
                <w:szCs w:val="16"/>
                <w:color w:val="auto"/>
              </w:rPr>
            </w:pPr>
          </w:p>
        </w:tc>
        <w:tc>
          <w:tcPr>
            <w:tcW w:w="72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704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580" w:type="dxa"/>
            <w:vAlign w:val="bottom"/>
            <w:gridSpan w:val="20"/>
          </w:tcPr>
          <w:p>
            <w:pPr>
              <w:spacing w:after="0" w:line="192"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Description of Capital Stock</w:t>
              </w:r>
            </w:hyperlink>
          </w:p>
        </w:tc>
        <w:tc>
          <w:tcPr>
            <w:tcW w:w="72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2"/>
        </w:trPr>
        <w:tc>
          <w:tcPr>
            <w:tcW w:w="1420" w:type="dxa"/>
            <w:vAlign w:val="bottom"/>
            <w:tcBorders>
              <w:top w:val="single" w:sz="8" w:color="0000EE"/>
              <w:bottom w:val="single" w:sz="8" w:color="0000EE"/>
            </w:tcBorders>
            <w:gridSpan w:val="8"/>
          </w:tcPr>
          <w:p>
            <w:pPr>
              <w:spacing w:after="0" w:line="192" w:lineRule="exact"/>
              <w:rPr>
                <w:rFonts w:ascii="Times New Roman" w:cs="Times New Roman" w:eastAsia="Times New Roman" w:hAnsi="Times New Roman"/>
                <w:sz w:val="18"/>
                <w:szCs w:val="18"/>
                <w:color w:val="0000EE"/>
                <w:w w:val="97"/>
              </w:rPr>
            </w:pPr>
            <w:hyperlink w:anchor="page47">
              <w:r>
                <w:rPr>
                  <w:rFonts w:ascii="Times New Roman" w:cs="Times New Roman" w:eastAsia="Times New Roman" w:hAnsi="Times New Roman"/>
                  <w:sz w:val="18"/>
                  <w:szCs w:val="18"/>
                  <w:color w:val="0000EE"/>
                  <w:w w:val="97"/>
                </w:rPr>
                <w:t>Plan of Distribution</w:t>
              </w:r>
            </w:hyperlink>
          </w:p>
        </w:tc>
        <w:tc>
          <w:tcPr>
            <w:tcW w:w="600" w:type="dxa"/>
            <w:vAlign w:val="bottom"/>
            <w:tcBorders>
              <w:top w:val="single" w:sz="8" w:color="0000EE"/>
            </w:tcBorders>
            <w:gridSpan w:val="3"/>
          </w:tcPr>
          <w:p>
            <w:pPr>
              <w:spacing w:after="0"/>
              <w:rPr>
                <w:sz w:val="16"/>
                <w:szCs w:val="16"/>
                <w:color w:val="auto"/>
              </w:rPr>
            </w:pPr>
          </w:p>
        </w:tc>
        <w:tc>
          <w:tcPr>
            <w:tcW w:w="8560" w:type="dxa"/>
            <w:vAlign w:val="bottom"/>
            <w:gridSpan w:val="9"/>
          </w:tcPr>
          <w:p>
            <w:pPr>
              <w:spacing w:after="0"/>
              <w:rPr>
                <w:sz w:val="16"/>
                <w:szCs w:val="16"/>
                <w:color w:val="auto"/>
              </w:rPr>
            </w:pPr>
          </w:p>
        </w:tc>
        <w:tc>
          <w:tcPr>
            <w:tcW w:w="72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2"/>
        </w:trPr>
        <w:tc>
          <w:tcPr>
            <w:tcW w:w="1000" w:type="dxa"/>
            <w:vAlign w:val="bottom"/>
            <w:tcBorders>
              <w:bottom w:val="single" w:sz="8" w:color="0000EE"/>
            </w:tcBorders>
            <w:gridSpan w:val="4"/>
          </w:tcPr>
          <w:p>
            <w:pPr>
              <w:spacing w:after="0" w:line="192" w:lineRule="exact"/>
              <w:rPr>
                <w:rFonts w:ascii="Times New Roman" w:cs="Times New Roman" w:eastAsia="Times New Roman" w:hAnsi="Times New Roman"/>
                <w:sz w:val="18"/>
                <w:szCs w:val="18"/>
                <w:color w:val="0000EE"/>
                <w:w w:val="97"/>
              </w:rPr>
            </w:pPr>
            <w:hyperlink w:anchor="page48">
              <w:r>
                <w:rPr>
                  <w:rFonts w:ascii="Times New Roman" w:cs="Times New Roman" w:eastAsia="Times New Roman" w:hAnsi="Times New Roman"/>
                  <w:sz w:val="18"/>
                  <w:szCs w:val="18"/>
                  <w:color w:val="0000EE"/>
                  <w:w w:val="97"/>
                </w:rPr>
                <w:t>Legal Matters</w:t>
              </w:r>
            </w:hyperlink>
          </w:p>
        </w:tc>
        <w:tc>
          <w:tcPr>
            <w:tcW w:w="9580" w:type="dxa"/>
            <w:vAlign w:val="bottom"/>
            <w:gridSpan w:val="16"/>
          </w:tcPr>
          <w:p>
            <w:pPr>
              <w:spacing w:after="0"/>
              <w:rPr>
                <w:sz w:val="16"/>
                <w:szCs w:val="16"/>
                <w:color w:val="auto"/>
              </w:rPr>
            </w:pPr>
          </w:p>
        </w:tc>
        <w:tc>
          <w:tcPr>
            <w:tcW w:w="72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2"/>
        </w:trPr>
        <w:tc>
          <w:tcPr>
            <w:tcW w:w="10580" w:type="dxa"/>
            <w:vAlign w:val="bottom"/>
            <w:gridSpan w:val="20"/>
          </w:tcPr>
          <w:p>
            <w:pPr>
              <w:spacing w:after="0" w:line="192"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Experts</w:t>
              </w:r>
            </w:hyperlink>
          </w:p>
        </w:tc>
        <w:tc>
          <w:tcPr>
            <w:tcW w:w="72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8"/>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704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580" w:type="dxa"/>
            <w:vAlign w:val="bottom"/>
            <w:gridSpan w:val="20"/>
          </w:tcPr>
          <w:p>
            <w:pPr>
              <w:spacing w:after="0" w:line="192"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Available Information</w:t>
              </w:r>
            </w:hyperlink>
          </w:p>
        </w:tc>
        <w:tc>
          <w:tcPr>
            <w:tcW w:w="72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1560" w:type="dxa"/>
            <w:vAlign w:val="bottom"/>
            <w:gridSpan w:val="9"/>
            <w:shd w:val="clear" w:color="auto" w:fill="0000EE"/>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704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580" w:type="dxa"/>
            <w:vAlign w:val="bottom"/>
            <w:gridSpan w:val="20"/>
          </w:tcPr>
          <w:p>
            <w:pPr>
              <w:spacing w:after="0" w:line="192"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Incorporation of Certain Documents by Reference</w:t>
              </w:r>
            </w:hyperlink>
          </w:p>
        </w:tc>
        <w:tc>
          <w:tcPr>
            <w:tcW w:w="72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right="40" w:firstLine="258"/>
        <w:spacing w:after="0" w:line="250"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supplement, the accompanying prospectus and the free writing prospectus relating to the notes.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and the documents incorporated by reference is accurate only as of their respective dates. Our business, financial condition, results of operations and prospects may have changed since those dates.</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939" w:right="3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right"/>
        <w:ind w:right="2799"/>
        <w:spacing w:after="0"/>
        <w:rPr>
          <w:sz w:val="20"/>
          <w:szCs w:val="20"/>
          <w:color w:val="auto"/>
        </w:rPr>
      </w:pPr>
      <w:r>
        <w:rPr>
          <w:rFonts w:ascii="Times New Roman" w:cs="Times New Roman" w:eastAsia="Times New Roman" w:hAnsi="Times New Roman"/>
          <w:sz w:val="18"/>
          <w:szCs w:val="18"/>
          <w:color w:val="auto"/>
        </w:rPr>
        <w:t>(This page has been left blank intentionally.)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411" w:right="1440"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198120</wp:posOffset>
            </wp:positionV>
            <wp:extent cx="7313930" cy="57416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13930" cy="5741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11"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The Companies</w:t>
      </w:r>
    </w:p>
    <w:p>
      <w:pPr>
        <w:spacing w:after="0" w:line="2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113" w:lineRule="exact"/>
        <w:rPr>
          <w:sz w:val="20"/>
          <w:szCs w:val="20"/>
          <w:color w:val="auto"/>
        </w:rPr>
      </w:pPr>
    </w:p>
    <w:p>
      <w:pPr>
        <w:ind w:left="180" w:firstLine="261"/>
        <w:spacing w:after="0" w:line="249" w:lineRule="auto"/>
        <w:rPr>
          <w:sz w:val="20"/>
          <w:szCs w:val="20"/>
          <w:color w:val="auto"/>
        </w:rPr>
      </w:pPr>
      <w:r>
        <w:rPr>
          <w:rFonts w:ascii="Times New Roman" w:cs="Times New Roman" w:eastAsia="Times New Roman" w:hAnsi="Times New Roman"/>
          <w:sz w:val="18"/>
          <w:szCs w:val="18"/>
          <w:color w:val="auto"/>
        </w:rPr>
        <w:t>We are the largest broadband cable provider in the United States and offer a wide variety of consumer entertainment and communication products and services, serving approximately 23.3 million video subscribers, 10.0 million high-speed Internet subscribers and 1.6 million phone subscribers at June 30, 2006 (adjusted to reflect the subscribers added in connection with our acquisition of a portion of the assets of Adelphia Communications Corporation and the unwinding of our investments in Time Warner Cable, Inc. and Time Warner Entertainment Company, L.P.). We will gain additional subscribers in connection with the acquisition of cable systems in Houston, Texas as a result of the anticipated dissolution of Texas and Kansas City Cable Partners, L.P. (a 50/50 partnership between us and Time Warner Cable). We were incorporated under the laws of Pennsylvania in December 2001. Through our predecessors (including our immediate predecessor Comcast Holdings), we have developed, managed and operated broadband cable systems since 1963.</w:t>
      </w:r>
    </w:p>
    <w:p>
      <w:pPr>
        <w:spacing w:after="0" w:line="84" w:lineRule="exact"/>
        <w:rPr>
          <w:sz w:val="20"/>
          <w:szCs w:val="20"/>
          <w:color w:val="auto"/>
        </w:rPr>
      </w:pPr>
    </w:p>
    <w:p>
      <w:pPr>
        <w:ind w:left="180" w:right="120" w:firstLine="261"/>
        <w:spacing w:after="0" w:line="271" w:lineRule="auto"/>
        <w:rPr>
          <w:sz w:val="20"/>
          <w:szCs w:val="20"/>
          <w:color w:val="auto"/>
        </w:rPr>
      </w:pPr>
      <w:r>
        <w:rPr>
          <w:rFonts w:ascii="Times New Roman" w:cs="Times New Roman" w:eastAsia="Times New Roman" w:hAnsi="Times New Roman"/>
          <w:sz w:val="18"/>
          <w:szCs w:val="18"/>
          <w:color w:val="auto"/>
        </w:rPr>
        <w:t>We manage our operations through two reportable segments, “Cable” and “Content”. The Cable segment generates approximately 95% of our consolidated revenues.</w:t>
      </w:r>
    </w:p>
    <w:p>
      <w:pPr>
        <w:spacing w:after="0" w:line="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Cable segment develops, manages and operates our broadband cable systems, including video, high-speed Internet and phone services.</w:t>
      </w:r>
    </w:p>
    <w:p>
      <w:pPr>
        <w:spacing w:after="0" w:line="111" w:lineRule="exact"/>
        <w:rPr>
          <w:sz w:val="20"/>
          <w:szCs w:val="20"/>
          <w:color w:val="auto"/>
        </w:rPr>
      </w:pPr>
    </w:p>
    <w:p>
      <w:pPr>
        <w:ind w:left="180" w:right="620" w:firstLine="264"/>
        <w:spacing w:after="0" w:line="271" w:lineRule="auto"/>
        <w:rPr>
          <w:sz w:val="20"/>
          <w:szCs w:val="20"/>
          <w:color w:val="auto"/>
        </w:rPr>
      </w:pPr>
      <w:r>
        <w:rPr>
          <w:rFonts w:ascii="Times New Roman" w:cs="Times New Roman" w:eastAsia="Times New Roman" w:hAnsi="Times New Roman"/>
          <w:sz w:val="18"/>
          <w:szCs w:val="18"/>
          <w:color w:val="auto"/>
        </w:rPr>
        <w:t>Our Content segment includes our six national cable networks: E! Entertainment Television, Style Network, The Golf Channel, OLN, G4, and AZN Television.</w:t>
      </w:r>
    </w:p>
    <w:p>
      <w:pPr>
        <w:spacing w:after="0" w:line="62" w:lineRule="exact"/>
        <w:rPr>
          <w:sz w:val="20"/>
          <w:szCs w:val="20"/>
          <w:color w:val="auto"/>
        </w:rPr>
      </w:pPr>
    </w:p>
    <w:p>
      <w:pPr>
        <w:ind w:left="180" w:right="240" w:firstLine="264"/>
        <w:spacing w:after="0" w:line="271" w:lineRule="auto"/>
        <w:rPr>
          <w:sz w:val="20"/>
          <w:szCs w:val="20"/>
          <w:color w:val="auto"/>
        </w:rPr>
      </w:pPr>
      <w:r>
        <w:rPr>
          <w:rFonts w:ascii="Times New Roman" w:cs="Times New Roman" w:eastAsia="Times New Roman" w:hAnsi="Times New Roman"/>
          <w:sz w:val="18"/>
          <w:szCs w:val="18"/>
          <w:color w:val="auto"/>
        </w:rPr>
        <w:t>Our other business interests include Comcast Spectacor, which owns the Philadelphia Flyers, the Philadelphia 76ers and two large multipurpose arenas in Philadelphia, and manages other facilities for sporting events, concerts and other events.</w:t>
      </w:r>
    </w:p>
    <w:p>
      <w:pPr>
        <w:spacing w:after="0" w:line="62" w:lineRule="exact"/>
        <w:rPr>
          <w:sz w:val="20"/>
          <w:szCs w:val="20"/>
          <w:color w:val="auto"/>
        </w:rPr>
      </w:pPr>
    </w:p>
    <w:p>
      <w:pPr>
        <w:ind w:left="180" w:right="60" w:firstLine="264"/>
        <w:spacing w:after="0" w:line="258"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 incorporated by reference in the accompanying prospectus. For instructions on how to find copies of these and our other filings incorporated by reference in the accompanying prospectus, see “Available Information” in the accompanying prospectus.</w:t>
      </w:r>
    </w:p>
    <w:p>
      <w:pPr>
        <w:spacing w:after="0" w:line="73" w:lineRule="exact"/>
        <w:rPr>
          <w:sz w:val="20"/>
          <w:szCs w:val="20"/>
          <w:color w:val="auto"/>
        </w:rPr>
      </w:pPr>
    </w:p>
    <w:p>
      <w:pPr>
        <w:ind w:left="180" w:right="420" w:firstLine="264"/>
        <w:spacing w:after="0" w:line="301" w:lineRule="auto"/>
        <w:rPr>
          <w:sz w:val="20"/>
          <w:szCs w:val="20"/>
          <w:color w:val="auto"/>
        </w:rPr>
      </w:pPr>
      <w:r>
        <w:rPr>
          <w:rFonts w:ascii="Times New Roman" w:cs="Times New Roman" w:eastAsia="Times New Roman" w:hAnsi="Times New Roman"/>
          <w:sz w:val="17"/>
          <w:szCs w:val="17"/>
          <w:color w:val="auto"/>
        </w:rPr>
        <w:t>Our principal executive office is located at 1500 Market Street, Philadelphia, Pennsylvania 19102-2148. Our telephone number is (215) 665-1700. The address of our web site is www.comcast.com. The information on our web site is not part of this prospectus supplement or the accompanying prospectus.</w:t>
      </w:r>
    </w:p>
    <w:p>
      <w:pPr>
        <w:spacing w:after="0" w:line="1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Cable Guarantors</w:t>
      </w:r>
    </w:p>
    <w:p>
      <w:pPr>
        <w:spacing w:after="0" w:line="113" w:lineRule="exact"/>
        <w:rPr>
          <w:sz w:val="20"/>
          <w:szCs w:val="20"/>
          <w:color w:val="auto"/>
        </w:rPr>
      </w:pPr>
    </w:p>
    <w:p>
      <w:pPr>
        <w:ind w:left="180" w:firstLine="264"/>
        <w:spacing w:after="0" w:line="280" w:lineRule="auto"/>
        <w:rPr>
          <w:sz w:val="20"/>
          <w:szCs w:val="20"/>
          <w:color w:val="auto"/>
        </w:rPr>
      </w:pPr>
      <w:r>
        <w:rPr>
          <w:rFonts w:ascii="Times New Roman" w:cs="Times New Roman" w:eastAsia="Times New Roman" w:hAnsi="Times New Roman"/>
          <w:sz w:val="17"/>
          <w:szCs w:val="17"/>
          <w:color w:val="auto"/>
        </w:rPr>
        <w:t>Our obligations, including the payment of principal, premium, if any, and interest on the notes will be fully and unconditionally guaranteed by each of Comcast Cable Communications, LLC, Comcast Cable Communications Holdings, Inc., Comcast Cable Holdings, LLC, Comcast MO Group, Inc. and Comcast MO of Delaware, LLC. In this prospectus supplement, we refer to these guarantors as the cable guarantors and to these guarantees as the cable guarantees.</w:t>
      </w:r>
    </w:p>
    <w:p>
      <w:pPr>
        <w:spacing w:after="0" w:line="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cable guarantees will not contain any restrictions on the ability of any cable guarantor to:</w:t>
      </w:r>
    </w:p>
    <w:p>
      <w:pPr>
        <w:spacing w:after="0" w:line="111" w:lineRule="exact"/>
        <w:rPr>
          <w:sz w:val="20"/>
          <w:szCs w:val="20"/>
          <w:color w:val="auto"/>
        </w:rPr>
      </w:pPr>
    </w:p>
    <w:p>
      <w:pPr>
        <w:ind w:left="640" w:right="480" w:hanging="118"/>
        <w:spacing w:after="0" w:line="271"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distributions on, or redeem, purchase, acquire, or make a liquidation payment with respect to, any of that cable guarantor’s capital stock; or</w:t>
      </w:r>
    </w:p>
    <w:p>
      <w:pPr>
        <w:spacing w:after="0" w:line="74" w:lineRule="exact"/>
        <w:rPr>
          <w:rFonts w:ascii="Times New Roman" w:cs="Times New Roman" w:eastAsia="Times New Roman" w:hAnsi="Times New Roman"/>
          <w:sz w:val="18"/>
          <w:szCs w:val="18"/>
          <w:color w:val="auto"/>
        </w:rPr>
      </w:pPr>
    </w:p>
    <w:p>
      <w:pPr>
        <w:ind w:left="640" w:hanging="118"/>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 of principal, interest or premium, if any, on or repay, repurchase or redeem any debt securities of that cable guarantor.</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cable guarantor’s principal place of business is 1500 Market Street, Philadelphia, Pennsylvania 19102-2148.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255905</wp:posOffset>
            </wp:positionV>
            <wp:extent cx="725360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00"/>
          </w:cols>
          <w:pgMar w:left="240" w:top="411" w:right="1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198120</wp:posOffset>
            </wp:positionV>
            <wp:extent cx="7313930" cy="5002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3930" cy="5002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180" w:type="dxa"/>
        <w:tblCellMar>
          <w:top w:w="0" w:type="dxa"/>
          <w:left w:w="0" w:type="dxa"/>
          <w:bottom w:w="0" w:type="dxa"/>
          <w:right w:w="0" w:type="dxa"/>
        </w:tblCellMar>
      </w:tblPr>
      <w:tr>
        <w:trPr>
          <w:trHeight w:val="231"/>
        </w:trPr>
        <w:tc>
          <w:tcPr>
            <w:tcW w:w="2640" w:type="dxa"/>
            <w:vAlign w:val="bottom"/>
          </w:tcPr>
          <w:p>
            <w:pPr>
              <w:spacing w:after="0"/>
              <w:rPr>
                <w:sz w:val="20"/>
                <w:szCs w:val="20"/>
                <w:color w:val="auto"/>
              </w:rPr>
            </w:pPr>
          </w:p>
        </w:tc>
        <w:tc>
          <w:tcPr>
            <w:tcW w:w="4460" w:type="dxa"/>
            <w:vAlign w:val="bottom"/>
          </w:tcPr>
          <w:p>
            <w:pPr>
              <w:ind w:left="258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4220" w:type="dxa"/>
            <w:vAlign w:val="bottom"/>
          </w:tcPr>
          <w:p>
            <w:pPr>
              <w:spacing w:after="0"/>
              <w:rPr>
                <w:sz w:val="20"/>
                <w:szCs w:val="20"/>
                <w:color w:val="auto"/>
              </w:rPr>
            </w:pPr>
          </w:p>
        </w:tc>
      </w:tr>
      <w:tr>
        <w:trPr>
          <w:trHeight w:val="437"/>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44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Comcast Corporation.</w:t>
            </w:r>
          </w:p>
        </w:tc>
        <w:tc>
          <w:tcPr>
            <w:tcW w:w="4220" w:type="dxa"/>
            <w:vAlign w:val="bottom"/>
          </w:tcPr>
          <w:p>
            <w:pPr>
              <w:spacing w:after="0"/>
              <w:rPr>
                <w:sz w:val="24"/>
                <w:szCs w:val="24"/>
                <w:color w:val="auto"/>
              </w:rPr>
            </w:pPr>
          </w:p>
        </w:tc>
      </w:tr>
      <w:tr>
        <w:trPr>
          <w:trHeight w:val="42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Securities Offered</w:t>
            </w:r>
          </w:p>
        </w:tc>
        <w:tc>
          <w:tcPr>
            <w:tcW w:w="44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$300,000,000 aggregate principal amount of</w:t>
            </w:r>
          </w:p>
        </w:tc>
        <w:tc>
          <w:tcPr>
            <w:tcW w:w="4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Notes due 2055.</w:t>
            </w:r>
          </w:p>
        </w:tc>
      </w:tr>
      <w:tr>
        <w:trPr>
          <w:trHeight w:val="42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Maturity</w:t>
            </w:r>
          </w:p>
        </w:tc>
        <w:tc>
          <w:tcPr>
            <w:tcW w:w="446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9"/>
              </w:rPr>
              <w:t>The notes will mature on September 15, 2055.</w:t>
            </w:r>
          </w:p>
        </w:tc>
        <w:tc>
          <w:tcPr>
            <w:tcW w:w="4220" w:type="dxa"/>
            <w:vAlign w:val="bottom"/>
          </w:tcPr>
          <w:p>
            <w:pPr>
              <w:spacing w:after="0"/>
              <w:rPr>
                <w:sz w:val="24"/>
                <w:szCs w:val="24"/>
                <w:color w:val="auto"/>
              </w:rPr>
            </w:pPr>
          </w:p>
        </w:tc>
      </w:tr>
      <w:tr>
        <w:trPr>
          <w:trHeight w:val="40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44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Interest on the notes will accrue at the rate of</w:t>
            </w:r>
          </w:p>
        </w:tc>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per year, payable quarterly in cash in arrears on each</w:t>
            </w:r>
          </w:p>
        </w:tc>
      </w:tr>
      <w:tr>
        <w:trPr>
          <w:trHeight w:val="229"/>
        </w:trPr>
        <w:tc>
          <w:tcPr>
            <w:tcW w:w="2640" w:type="dxa"/>
            <w:vAlign w:val="bottom"/>
          </w:tcPr>
          <w:p>
            <w:pPr>
              <w:spacing w:after="0"/>
              <w:rPr>
                <w:sz w:val="19"/>
                <w:szCs w:val="19"/>
                <w:color w:val="auto"/>
              </w:rPr>
            </w:pPr>
          </w:p>
        </w:tc>
        <w:tc>
          <w:tcPr>
            <w:tcW w:w="86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September 15, December 15, March 15 and June 15, beginning on December 15, 2006.</w:t>
            </w:r>
          </w:p>
        </w:tc>
      </w:tr>
      <w:tr>
        <w:trPr>
          <w:trHeight w:val="40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Ranking</w:t>
            </w:r>
          </w:p>
        </w:tc>
        <w:tc>
          <w:tcPr>
            <w:tcW w:w="86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The notes will be unsecured and will rank equally with all of our unsecured and unsubordinated</w:t>
            </w:r>
          </w:p>
        </w:tc>
      </w:tr>
      <w:tr>
        <w:trPr>
          <w:trHeight w:val="229"/>
        </w:trPr>
        <w:tc>
          <w:tcPr>
            <w:tcW w:w="2640" w:type="dxa"/>
            <w:vAlign w:val="bottom"/>
          </w:tcPr>
          <w:p>
            <w:pPr>
              <w:spacing w:after="0"/>
              <w:rPr>
                <w:sz w:val="19"/>
                <w:szCs w:val="19"/>
                <w:color w:val="auto"/>
              </w:rPr>
            </w:pPr>
          </w:p>
        </w:tc>
        <w:tc>
          <w:tcPr>
            <w:tcW w:w="44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indebtedness.</w:t>
            </w:r>
          </w:p>
        </w:tc>
        <w:tc>
          <w:tcPr>
            <w:tcW w:w="4220" w:type="dxa"/>
            <w:vAlign w:val="bottom"/>
          </w:tcPr>
          <w:p>
            <w:pPr>
              <w:spacing w:after="0"/>
              <w:rPr>
                <w:sz w:val="19"/>
                <w:szCs w:val="19"/>
                <w:color w:val="auto"/>
              </w:rPr>
            </w:pPr>
          </w:p>
        </w:tc>
      </w:tr>
      <w:tr>
        <w:trPr>
          <w:trHeight w:val="40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Cable Guarantors</w:t>
            </w:r>
          </w:p>
        </w:tc>
        <w:tc>
          <w:tcPr>
            <w:tcW w:w="86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Comcast Cable Communications, LLC, Comcast Cable Communications Holdings, Inc., Comcast Cable</w:t>
            </w:r>
          </w:p>
        </w:tc>
      </w:tr>
      <w:tr>
        <w:trPr>
          <w:trHeight w:val="229"/>
        </w:trPr>
        <w:tc>
          <w:tcPr>
            <w:tcW w:w="2640" w:type="dxa"/>
            <w:vAlign w:val="bottom"/>
          </w:tcPr>
          <w:p>
            <w:pPr>
              <w:spacing w:after="0"/>
              <w:rPr>
                <w:sz w:val="19"/>
                <w:szCs w:val="19"/>
                <w:color w:val="auto"/>
              </w:rPr>
            </w:pPr>
          </w:p>
        </w:tc>
        <w:tc>
          <w:tcPr>
            <w:tcW w:w="86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Holdings, LLC, Comcast MO Group, Inc. and Comcast MO of Delaware, LLC.</w:t>
            </w:r>
          </w:p>
        </w:tc>
      </w:tr>
      <w:tr>
        <w:trPr>
          <w:trHeight w:val="40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Cable Guarantees</w:t>
            </w:r>
          </w:p>
        </w:tc>
        <w:tc>
          <w:tcPr>
            <w:tcW w:w="86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w w:val="97"/>
              </w:rPr>
              <w:t>The cable guarantors will fully and unconditionally guarantee the notes, including the payment of principal</w:t>
            </w:r>
          </w:p>
        </w:tc>
      </w:tr>
      <w:tr>
        <w:trPr>
          <w:trHeight w:val="212"/>
        </w:trPr>
        <w:tc>
          <w:tcPr>
            <w:tcW w:w="2640" w:type="dxa"/>
            <w:vAlign w:val="bottom"/>
          </w:tcPr>
          <w:p>
            <w:pPr>
              <w:spacing w:after="0"/>
              <w:rPr>
                <w:sz w:val="18"/>
                <w:szCs w:val="18"/>
                <w:color w:val="auto"/>
              </w:rPr>
            </w:pPr>
          </w:p>
        </w:tc>
        <w:tc>
          <w:tcPr>
            <w:tcW w:w="86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w w:val="99"/>
              </w:rPr>
              <w:t>premium, if any, and interest. The cable guarantees will rank equally with all other general unsecured and</w:t>
            </w:r>
          </w:p>
        </w:tc>
      </w:tr>
      <w:tr>
        <w:trPr>
          <w:trHeight w:val="229"/>
        </w:trPr>
        <w:tc>
          <w:tcPr>
            <w:tcW w:w="2640" w:type="dxa"/>
            <w:vAlign w:val="bottom"/>
          </w:tcPr>
          <w:p>
            <w:pPr>
              <w:spacing w:after="0"/>
              <w:rPr>
                <w:sz w:val="19"/>
                <w:szCs w:val="19"/>
                <w:color w:val="auto"/>
              </w:rPr>
            </w:pPr>
          </w:p>
        </w:tc>
        <w:tc>
          <w:tcPr>
            <w:tcW w:w="86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unsubordinated obligations of the cable guarantors.</w:t>
            </w:r>
          </w:p>
        </w:tc>
      </w:tr>
      <w:tr>
        <w:trPr>
          <w:trHeight w:val="40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Optional Redemption</w:t>
            </w:r>
          </w:p>
        </w:tc>
        <w:tc>
          <w:tcPr>
            <w:tcW w:w="86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w w:val="98"/>
              </w:rPr>
              <w:t>We may redeem the notes, in whole or in part, at any time on or after September 15, 2011 at a redemption</w:t>
            </w:r>
          </w:p>
        </w:tc>
      </w:tr>
      <w:tr>
        <w:trPr>
          <w:trHeight w:val="212"/>
        </w:trPr>
        <w:tc>
          <w:tcPr>
            <w:tcW w:w="2640" w:type="dxa"/>
            <w:vAlign w:val="bottom"/>
          </w:tcPr>
          <w:p>
            <w:pPr>
              <w:spacing w:after="0"/>
              <w:rPr>
                <w:sz w:val="18"/>
                <w:szCs w:val="18"/>
                <w:color w:val="auto"/>
              </w:rPr>
            </w:pPr>
          </w:p>
        </w:tc>
        <w:tc>
          <w:tcPr>
            <w:tcW w:w="86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w w:val="99"/>
              </w:rPr>
              <w:t>price equal to 100% of the principal amount redeemed plus accrued and unpaid interest to the redemption</w:t>
            </w:r>
          </w:p>
        </w:tc>
      </w:tr>
      <w:tr>
        <w:trPr>
          <w:trHeight w:val="229"/>
        </w:trPr>
        <w:tc>
          <w:tcPr>
            <w:tcW w:w="2640" w:type="dxa"/>
            <w:vAlign w:val="bottom"/>
          </w:tcPr>
          <w:p>
            <w:pPr>
              <w:spacing w:after="0"/>
              <w:rPr>
                <w:sz w:val="19"/>
                <w:szCs w:val="19"/>
                <w:color w:val="auto"/>
              </w:rPr>
            </w:pPr>
          </w:p>
        </w:tc>
        <w:tc>
          <w:tcPr>
            <w:tcW w:w="44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date.</w:t>
            </w:r>
          </w:p>
        </w:tc>
        <w:tc>
          <w:tcPr>
            <w:tcW w:w="4220" w:type="dxa"/>
            <w:vAlign w:val="bottom"/>
          </w:tcPr>
          <w:p>
            <w:pPr>
              <w:spacing w:after="0"/>
              <w:rPr>
                <w:sz w:val="19"/>
                <w:szCs w:val="19"/>
                <w:color w:val="auto"/>
              </w:rPr>
            </w:pPr>
          </w:p>
        </w:tc>
      </w:tr>
      <w:tr>
        <w:trPr>
          <w:trHeight w:val="40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86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w w:val="98"/>
              </w:rPr>
              <w:t>We intend to use the proceeds from this offering, after deducting fees and expenses related to this offering,</w:t>
            </w:r>
          </w:p>
        </w:tc>
      </w:tr>
      <w:tr>
        <w:trPr>
          <w:trHeight w:val="212"/>
        </w:trPr>
        <w:tc>
          <w:tcPr>
            <w:tcW w:w="2640" w:type="dxa"/>
            <w:vAlign w:val="bottom"/>
          </w:tcPr>
          <w:p>
            <w:pPr>
              <w:spacing w:after="0"/>
              <w:rPr>
                <w:sz w:val="18"/>
                <w:szCs w:val="18"/>
                <w:color w:val="auto"/>
              </w:rPr>
            </w:pPr>
          </w:p>
        </w:tc>
        <w:tc>
          <w:tcPr>
            <w:tcW w:w="86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w w:val="99"/>
              </w:rPr>
              <w:t>to refinance a portion of the approximately $1.4 billion in debt of Texas and Kansas City Cable Partners,</w:t>
            </w:r>
          </w:p>
        </w:tc>
      </w:tr>
      <w:tr>
        <w:trPr>
          <w:trHeight w:val="229"/>
        </w:trPr>
        <w:tc>
          <w:tcPr>
            <w:tcW w:w="2640" w:type="dxa"/>
            <w:vAlign w:val="bottom"/>
          </w:tcPr>
          <w:p>
            <w:pPr>
              <w:spacing w:after="0"/>
              <w:rPr>
                <w:sz w:val="19"/>
                <w:szCs w:val="19"/>
                <w:color w:val="auto"/>
              </w:rPr>
            </w:pPr>
          </w:p>
        </w:tc>
        <w:tc>
          <w:tcPr>
            <w:tcW w:w="86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w w:val="99"/>
              </w:rPr>
              <w:t>L.P. which we are obligated to refinance in connection with the anticipated dissolution of the partnership.</w:t>
            </w:r>
          </w:p>
        </w:tc>
      </w:tr>
      <w:tr>
        <w:trPr>
          <w:trHeight w:val="40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Book Entry</w:t>
            </w:r>
          </w:p>
        </w:tc>
        <w:tc>
          <w:tcPr>
            <w:tcW w:w="86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w w:val="99"/>
              </w:rPr>
              <w:t>The notes will be issued in book-entry form and will be represented by global notes deposited with, or on</w:t>
            </w:r>
          </w:p>
        </w:tc>
      </w:tr>
      <w:tr>
        <w:trPr>
          <w:trHeight w:val="229"/>
        </w:trPr>
        <w:tc>
          <w:tcPr>
            <w:tcW w:w="2640" w:type="dxa"/>
            <w:vAlign w:val="bottom"/>
          </w:tcPr>
          <w:p>
            <w:pPr>
              <w:spacing w:after="0"/>
              <w:rPr>
                <w:sz w:val="19"/>
                <w:szCs w:val="19"/>
                <w:color w:val="auto"/>
              </w:rPr>
            </w:pPr>
          </w:p>
        </w:tc>
        <w:tc>
          <w:tcPr>
            <w:tcW w:w="86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w w:val="98"/>
              </w:rPr>
              <w:t>behalf of, DTC and registered in the name of DTC or its nominees. Beneficial interests in any of the notes</w:t>
            </w:r>
          </w:p>
        </w:tc>
      </w:tr>
    </w:tbl>
    <w:p>
      <w:pPr>
        <w:jc w:val="both"/>
        <w:ind w:left="3940" w:right="40"/>
        <w:spacing w:after="0" w:line="248" w:lineRule="auto"/>
        <w:rPr>
          <w:sz w:val="20"/>
          <w:szCs w:val="20"/>
          <w:color w:val="auto"/>
        </w:rPr>
      </w:pPr>
      <w:r>
        <w:rPr>
          <w:rFonts w:ascii="Times New Roman" w:cs="Times New Roman" w:eastAsia="Times New Roman" w:hAnsi="Times New Roman"/>
          <w:sz w:val="18"/>
          <w:szCs w:val="18"/>
          <w:color w:val="auto"/>
        </w:rPr>
        <w:t>will be shown on, and transfers will be effected only through, records maintained by DTC or its nominee, and these beneficial interests may not be exchanged for certificated notes, except in limited circumstances. See “Description of the Notes — Book- Entry System” in this prospectus supplement.</w:t>
      </w:r>
    </w:p>
    <w:p>
      <w:pPr>
        <w:spacing w:after="0" w:line="33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00"/>
          </w:cols>
          <w:pgMar w:left="240" w:top="411" w:right="1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1" w:lineRule="exact"/>
        <w:rPr>
          <w:sz w:val="20"/>
          <w:szCs w:val="20"/>
          <w:color w:val="auto"/>
        </w:rPr>
      </w:pPr>
    </w:p>
    <w:p>
      <w:pPr>
        <w:ind w:right="100" w:firstLine="264"/>
        <w:spacing w:after="0" w:line="254" w:lineRule="auto"/>
        <w:rPr>
          <w:sz w:val="20"/>
          <w:szCs w:val="20"/>
          <w:color w:val="auto"/>
        </w:rPr>
      </w:pPr>
      <w:r>
        <w:rPr>
          <w:rFonts w:ascii="Times New Roman" w:cs="Times New Roman" w:eastAsia="Times New Roman" w:hAnsi="Times New Roman"/>
          <w:sz w:val="18"/>
          <w:szCs w:val="18"/>
          <w:i w:val="1"/>
          <w:iCs w:val="1"/>
          <w:color w:val="auto"/>
        </w:rPr>
        <w:t>Prospective investors should carefully consider all of the information set forth in this prospectus supplement, the accompanying prospectus and any documents incorporated herein by reference before deciding to invest in any of the notes. The following is not intended as, and should not be construed as, an exhaustive list of relevant risk factors. There may be other risks that a prospective investor should consider that are relevant to its own particular circumstances or generally.</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and our subsidiaries have significant debt and debt-like obligations and may not maintain investment-grade credit ratings.</w:t>
      </w:r>
    </w:p>
    <w:p>
      <w:pPr>
        <w:spacing w:after="0" w:line="115" w:lineRule="exact"/>
        <w:rPr>
          <w:sz w:val="20"/>
          <w:szCs w:val="20"/>
          <w:color w:val="auto"/>
        </w:rPr>
      </w:pPr>
    </w:p>
    <w:p>
      <w:pPr>
        <w:ind w:firstLine="261"/>
        <w:spacing w:after="0" w:line="250" w:lineRule="auto"/>
        <w:rPr>
          <w:sz w:val="20"/>
          <w:szCs w:val="20"/>
          <w:color w:val="auto"/>
        </w:rPr>
      </w:pPr>
      <w:r>
        <w:rPr>
          <w:rFonts w:ascii="Times New Roman" w:cs="Times New Roman" w:eastAsia="Times New Roman" w:hAnsi="Times New Roman"/>
          <w:sz w:val="18"/>
          <w:szCs w:val="18"/>
          <w:color w:val="auto"/>
        </w:rPr>
        <w:t>We and our subsidiaries have a significant amount of debt and debt-like obligations. Our credit rating and the credit ratings of our subsidiaries may in the future be lower than the current or historical credit ratings. In addition, it is possible that we or any of our subsidiaries that issue debt may not obtain or maintain an investment-grade credit rating. Differences in credit ratings would affect the interest rates charged on financings, as well as the amounts of indebtedness, types of financing structures and debt markets that may be available to us and our subsidiaries. A downgrade in our or any of our subsidiaries’ existing credit ratings or failure by us and our subsidiaries to maintain investment-grade credit ratings could have a material adverse effect on our operating results, our ability to obtain additional financing and on the market value of the notes.</w:t>
      </w:r>
    </w:p>
    <w:p>
      <w:pPr>
        <w:spacing w:after="0" w:line="184" w:lineRule="exact"/>
        <w:rPr>
          <w:sz w:val="20"/>
          <w:szCs w:val="20"/>
          <w:color w:val="auto"/>
        </w:rPr>
      </w:pPr>
    </w:p>
    <w:p>
      <w:pPr>
        <w:ind w:left="120" w:right="18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The indenture that governs the notes does not restrict our ability to incur additional indebtedness, which could make our debt securities more risky in the future.</w:t>
      </w:r>
    </w:p>
    <w:p>
      <w:pPr>
        <w:spacing w:after="0" w:line="59" w:lineRule="exact"/>
        <w:rPr>
          <w:sz w:val="20"/>
          <w:szCs w:val="20"/>
          <w:color w:val="auto"/>
        </w:rPr>
      </w:pPr>
    </w:p>
    <w:p>
      <w:pPr>
        <w:ind w:right="120" w:firstLine="255"/>
        <w:spacing w:after="0" w:line="258" w:lineRule="auto"/>
        <w:rPr>
          <w:sz w:val="20"/>
          <w:szCs w:val="20"/>
          <w:color w:val="auto"/>
        </w:rPr>
      </w:pPr>
      <w:r>
        <w:rPr>
          <w:rFonts w:ascii="Times New Roman" w:cs="Times New Roman" w:eastAsia="Times New Roman" w:hAnsi="Times New Roman"/>
          <w:sz w:val="18"/>
          <w:szCs w:val="18"/>
          <w:color w:val="auto"/>
        </w:rPr>
        <w:t>As of June 30, 2006, our consolidated indebtedness was approximately $24.1 billion. The indenture that governs the notes does not restrict our ability or our subsidiaries’ ability to incur additional indebtedness. The degree to which we incur additional debt could have important consequences to holders of the notes, including:</w:t>
      </w:r>
    </w:p>
    <w:p>
      <w:pPr>
        <w:spacing w:after="0" w:line="73" w:lineRule="exact"/>
        <w:rPr>
          <w:sz w:val="20"/>
          <w:szCs w:val="20"/>
          <w:color w:val="auto"/>
        </w:rPr>
      </w:pPr>
    </w:p>
    <w:p>
      <w:pPr>
        <w:ind w:left="460" w:hanging="110"/>
        <w:spacing w:after="0"/>
        <w:tabs>
          <w:tab w:leader="none" w:pos="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our ability to obtain any necessary financing in the future for working capital, capital expenditures, debt service requirements or other purposes;</w:t>
      </w:r>
    </w:p>
    <w:p>
      <w:pPr>
        <w:spacing w:after="0" w:line="135" w:lineRule="exact"/>
        <w:rPr>
          <w:rFonts w:ascii="Times New Roman" w:cs="Times New Roman" w:eastAsia="Times New Roman" w:hAnsi="Times New Roman"/>
          <w:sz w:val="17"/>
          <w:szCs w:val="17"/>
          <w:color w:val="auto"/>
        </w:rPr>
      </w:pPr>
    </w:p>
    <w:p>
      <w:pPr>
        <w:ind w:left="460" w:hanging="110"/>
        <w:spacing w:after="0" w:line="271"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flows from operations to the payment of indebtedness and not for other purposes, such as working capital and capital expenditures;</w:t>
      </w:r>
    </w:p>
    <w:p>
      <w:pPr>
        <w:spacing w:after="0" w:line="74" w:lineRule="exact"/>
        <w:rPr>
          <w:rFonts w:ascii="Times New Roman" w:cs="Times New Roman" w:eastAsia="Times New Roman" w:hAnsi="Times New Roman"/>
          <w:sz w:val="18"/>
          <w:szCs w:val="18"/>
          <w:color w:val="auto"/>
        </w:rPr>
      </w:pPr>
    </w:p>
    <w:p>
      <w:pPr>
        <w:ind w:left="460" w:hanging="110"/>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to plan for, or react to, changes in our businesses;</w:t>
      </w:r>
    </w:p>
    <w:p>
      <w:pPr>
        <w:spacing w:after="0" w:line="123" w:lineRule="exact"/>
        <w:rPr>
          <w:rFonts w:ascii="Times New Roman" w:cs="Times New Roman" w:eastAsia="Times New Roman" w:hAnsi="Times New Roman"/>
          <w:sz w:val="18"/>
          <w:szCs w:val="18"/>
          <w:color w:val="auto"/>
        </w:rPr>
      </w:pPr>
    </w:p>
    <w:p>
      <w:pPr>
        <w:ind w:left="460" w:hanging="110"/>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 more indebted than some of our competitors, which may place us at a competitive disadvantage; and</w:t>
      </w:r>
    </w:p>
    <w:p>
      <w:pPr>
        <w:spacing w:after="0" w:line="123" w:lineRule="exact"/>
        <w:rPr>
          <w:rFonts w:ascii="Times New Roman" w:cs="Times New Roman" w:eastAsia="Times New Roman" w:hAnsi="Times New Roman"/>
          <w:sz w:val="18"/>
          <w:szCs w:val="18"/>
          <w:color w:val="auto"/>
        </w:rPr>
      </w:pPr>
    </w:p>
    <w:p>
      <w:pPr>
        <w:ind w:left="460" w:hanging="110"/>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 more vulnerable to a downturn in our businesses.</w:t>
      </w:r>
    </w:p>
    <w:p>
      <w:pPr>
        <w:spacing w:after="0" w:line="212" w:lineRule="exact"/>
        <w:rPr>
          <w:sz w:val="20"/>
          <w:szCs w:val="20"/>
          <w:color w:val="auto"/>
        </w:rPr>
      </w:pPr>
    </w:p>
    <w:p>
      <w:pPr>
        <w:ind w:left="120" w:right="40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Although we intend to apply to list the notes on the New York Stock Exchange, we cannot assure you that an active trading market will develop for the notes.</w:t>
      </w:r>
    </w:p>
    <w:p>
      <w:pPr>
        <w:spacing w:after="0" w:line="59" w:lineRule="exact"/>
        <w:rPr>
          <w:sz w:val="20"/>
          <w:szCs w:val="20"/>
          <w:color w:val="auto"/>
        </w:rPr>
      </w:pPr>
    </w:p>
    <w:p>
      <w:pPr>
        <w:ind w:right="40" w:firstLine="261"/>
        <w:spacing w:after="0" w:line="253" w:lineRule="auto"/>
        <w:rPr>
          <w:sz w:val="20"/>
          <w:szCs w:val="20"/>
          <w:color w:val="auto"/>
        </w:rPr>
      </w:pPr>
      <w:r>
        <w:rPr>
          <w:rFonts w:ascii="Times New Roman" w:cs="Times New Roman" w:eastAsia="Times New Roman" w:hAnsi="Times New Roman"/>
          <w:sz w:val="18"/>
          <w:szCs w:val="18"/>
          <w:color w:val="auto"/>
        </w:rPr>
        <w:t>The notes are a new issue of securities for which there is no trading market. Although we intend to apply to list the notes on the New York Stock Exchange, we can provide no assurance regarding the future development or maintenance of a market for the notes or the ability of holders of the notes to sell their notes. If such a market were to develop on the New York Stock Exchange or otherwise, the notes could trade at prices which may be higher or lower than the initial offering price depending on many factors independent of our creditworthiness, including, among other things:</w:t>
      </w:r>
    </w:p>
    <w:p>
      <w:pPr>
        <w:spacing w:after="0" w:line="80" w:lineRule="exact"/>
        <w:rPr>
          <w:sz w:val="20"/>
          <w:szCs w:val="20"/>
          <w:color w:val="auto"/>
        </w:rPr>
      </w:pPr>
    </w:p>
    <w:p>
      <w:pPr>
        <w:ind w:left="460" w:hanging="110"/>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remaining to the maturity of the notes;</w:t>
      </w:r>
    </w:p>
    <w:p>
      <w:pPr>
        <w:spacing w:after="0" w:line="123" w:lineRule="exact"/>
        <w:rPr>
          <w:rFonts w:ascii="Times New Roman" w:cs="Times New Roman" w:eastAsia="Times New Roman" w:hAnsi="Times New Roman"/>
          <w:sz w:val="18"/>
          <w:szCs w:val="18"/>
          <w:color w:val="auto"/>
        </w:rPr>
      </w:pPr>
    </w:p>
    <w:p>
      <w:pPr>
        <w:ind w:left="460" w:hanging="110"/>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principal amount of the notes; and</w:t>
      </w:r>
    </w:p>
    <w:p>
      <w:pPr>
        <w:spacing w:after="0" w:line="123" w:lineRule="exact"/>
        <w:rPr>
          <w:rFonts w:ascii="Times New Roman" w:cs="Times New Roman" w:eastAsia="Times New Roman" w:hAnsi="Times New Roman"/>
          <w:sz w:val="18"/>
          <w:szCs w:val="18"/>
          <w:color w:val="auto"/>
        </w:rPr>
      </w:pPr>
    </w:p>
    <w:p>
      <w:pPr>
        <w:ind w:left="460" w:hanging="110"/>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direction and volatility of market interest rates generally.</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choose to redeem the notes prior to maturity.</w:t>
      </w:r>
    </w:p>
    <w:p>
      <w:pPr>
        <w:spacing w:after="0" w:line="115" w:lineRule="exact"/>
        <w:rPr>
          <w:sz w:val="20"/>
          <w:szCs w:val="20"/>
          <w:color w:val="auto"/>
        </w:rPr>
      </w:pPr>
    </w:p>
    <w:p>
      <w:pPr>
        <w:ind w:firstLine="261"/>
        <w:spacing w:after="0" w:line="253" w:lineRule="auto"/>
        <w:rPr>
          <w:sz w:val="20"/>
          <w:szCs w:val="20"/>
          <w:color w:val="auto"/>
        </w:rPr>
      </w:pPr>
      <w:r>
        <w:rPr>
          <w:rFonts w:ascii="Times New Roman" w:cs="Times New Roman" w:eastAsia="Times New Roman" w:hAnsi="Times New Roman"/>
          <w:sz w:val="18"/>
          <w:szCs w:val="18"/>
          <w:color w:val="auto"/>
        </w:rPr>
        <w:t>We may redeem all or a portion of the notes at any time on or after September 15, 2011 at a redemption price equal to 100% of the principal amount redeemed plus accrued and unpaid interest to the redemption date. If prevailing interest rates are lower at the time of redemption, you may not be able to reinvest the redemption proceeds in a comparable security at an interest rate as high as the interest rate of the notes being redeemed. Our redemption right may also adversely affect your ability to sell your notes as September 15, 2011 approaches and after such date.</w:t>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1" w:right="29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HISTORICAL CONSOLIDATED FINANCIAL DATA</w:t>
      </w:r>
    </w:p>
    <w:p>
      <w:pPr>
        <w:spacing w:after="0" w:line="113" w:lineRule="exact"/>
        <w:rPr>
          <w:sz w:val="20"/>
          <w:szCs w:val="20"/>
          <w:color w:val="auto"/>
        </w:rPr>
      </w:pPr>
    </w:p>
    <w:p>
      <w:pPr>
        <w:ind w:right="20" w:firstLine="261"/>
        <w:spacing w:after="0" w:line="251" w:lineRule="auto"/>
        <w:rPr>
          <w:sz w:val="20"/>
          <w:szCs w:val="20"/>
          <w:color w:val="auto"/>
        </w:rPr>
      </w:pPr>
      <w:r>
        <w:rPr>
          <w:rFonts w:ascii="Times New Roman" w:cs="Times New Roman" w:eastAsia="Times New Roman" w:hAnsi="Times New Roman"/>
          <w:sz w:val="18"/>
          <w:szCs w:val="18"/>
          <w:color w:val="auto"/>
        </w:rPr>
        <w:t>The following table sets forth our selected consolidated financial data. The selected consolidated financial data as of and for each of the years in the five-year period ended December 31, 2005 were derived from our audited consolidated financial statements. You should read the following data in conjunction with our consolidated financial statements and notes and Management’s Discussion and Analysis of Financial Condition and Results of Operations included in our Annual Report on Form 10-K for the year ended December 31, 2005 and our Quarterly Report on Form 10-Q for the quarter ended June 30, 2006, each of which are incorporated herein by reference.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0"/>
        </w:trPr>
        <w:tc>
          <w:tcPr>
            <w:tcW w:w="4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ind w:left="31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53"/>
              <w:spacing w:after="0" w:line="152" w:lineRule="exact"/>
              <w:rPr>
                <w:sz w:val="20"/>
                <w:szCs w:val="20"/>
                <w:color w:val="auto"/>
              </w:rPr>
            </w:pPr>
            <w:r>
              <w:rPr>
                <w:rFonts w:ascii="Times New Roman" w:cs="Times New Roman" w:eastAsia="Times New Roman" w:hAnsi="Times New Roman"/>
                <w:sz w:val="14"/>
                <w:szCs w:val="14"/>
                <w:b w:val="1"/>
                <w:bCs w:val="1"/>
                <w:color w:val="auto"/>
              </w:rPr>
              <w:t>2001</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20"/>
              <w:spacing w:after="0" w:line="152" w:lineRule="exact"/>
              <w:rPr>
                <w:sz w:val="20"/>
                <w:szCs w:val="20"/>
                <w:color w:val="auto"/>
              </w:rPr>
            </w:pPr>
            <w:r>
              <w:rPr>
                <w:rFonts w:ascii="Times New Roman" w:cs="Times New Roman" w:eastAsia="Times New Roman" w:hAnsi="Times New Roman"/>
                <w:sz w:val="14"/>
                <w:szCs w:val="14"/>
                <w:b w:val="1"/>
                <w:bCs w:val="1"/>
                <w:color w:val="auto"/>
              </w:rPr>
              <w:t>2002(1)</w:t>
            </w:r>
          </w:p>
        </w:tc>
        <w:tc>
          <w:tcPr>
            <w:tcW w:w="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54"/>
              <w:spacing w:after="0" w:line="152" w:lineRule="exact"/>
              <w:rPr>
                <w:sz w:val="20"/>
                <w:szCs w:val="20"/>
                <w:color w:val="auto"/>
              </w:rPr>
            </w:pPr>
            <w:r>
              <w:rPr>
                <w:rFonts w:ascii="Times New Roman" w:cs="Times New Roman" w:eastAsia="Times New Roman" w:hAnsi="Times New Roman"/>
                <w:sz w:val="14"/>
                <w:szCs w:val="14"/>
                <w:b w:val="1"/>
                <w:bCs w:val="1"/>
                <w:color w:val="auto"/>
              </w:rPr>
              <w:t>2003</w:t>
            </w:r>
          </w:p>
        </w:tc>
        <w:tc>
          <w:tcPr>
            <w:tcW w:w="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73"/>
              <w:spacing w:after="0" w:line="152" w:lineRule="exact"/>
              <w:rPr>
                <w:sz w:val="20"/>
                <w:szCs w:val="20"/>
                <w:color w:val="auto"/>
              </w:rPr>
            </w:pPr>
            <w:r>
              <w:rPr>
                <w:rFonts w:ascii="Times New Roman" w:cs="Times New Roman" w:eastAsia="Times New Roman" w:hAnsi="Times New Roman"/>
                <w:sz w:val="14"/>
                <w:szCs w:val="14"/>
                <w:b w:val="1"/>
                <w:bCs w:val="1"/>
                <w:color w:val="auto"/>
              </w:rPr>
              <w:t>2004</w:t>
            </w:r>
          </w:p>
        </w:tc>
        <w:tc>
          <w:tcPr>
            <w:tcW w:w="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73"/>
              <w:spacing w:after="0" w:line="152" w:lineRule="exact"/>
              <w:rPr>
                <w:sz w:val="20"/>
                <w:szCs w:val="20"/>
                <w:color w:val="auto"/>
              </w:rPr>
            </w:pPr>
            <w:r>
              <w:rPr>
                <w:rFonts w:ascii="Times New Roman" w:cs="Times New Roman" w:eastAsia="Times New Roman" w:hAnsi="Times New Roman"/>
                <w:sz w:val="14"/>
                <w:szCs w:val="14"/>
                <w:b w:val="1"/>
                <w:bCs w:val="1"/>
                <w:color w:val="auto"/>
              </w:rPr>
              <w:t>2005</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75"/>
              <w:spacing w:after="0" w:line="152" w:lineRule="exact"/>
              <w:rPr>
                <w:sz w:val="20"/>
                <w:szCs w:val="20"/>
                <w:color w:val="auto"/>
              </w:rPr>
            </w:pPr>
            <w:r>
              <w:rPr>
                <w:rFonts w:ascii="Times New Roman" w:cs="Times New Roman" w:eastAsia="Times New Roman" w:hAnsi="Times New Roman"/>
                <w:sz w:val="14"/>
                <w:szCs w:val="14"/>
                <w:b w:val="1"/>
                <w:bCs w:val="1"/>
                <w:color w:val="auto"/>
              </w:rPr>
              <w:t>2005</w:t>
            </w:r>
          </w:p>
        </w:tc>
        <w:tc>
          <w:tcPr>
            <w:tcW w:w="4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70"/>
              </w:rPr>
              <w:t>(Unaudited)</w:t>
            </w: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73"/>
              <w:spacing w:after="0" w:line="152" w:lineRule="exact"/>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gridSpan w:val="8"/>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6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80" w:type="dxa"/>
            <w:vAlign w:val="bottom"/>
            <w:gridSpan w:val="8"/>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5,937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8,102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2"/>
              </w:rPr>
              <w:t>18,348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6"/>
              </w:rPr>
              <w:t>20,307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22,255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10,961</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12,129</w:t>
            </w:r>
          </w:p>
        </w:tc>
        <w:tc>
          <w:tcPr>
            <w:tcW w:w="0" w:type="dxa"/>
            <w:vAlign w:val="bottom"/>
          </w:tcPr>
          <w:p>
            <w:pPr>
              <w:spacing w:after="0"/>
              <w:rPr>
                <w:sz w:val="1"/>
                <w:szCs w:val="1"/>
                <w:color w:val="auto"/>
              </w:rPr>
            </w:pPr>
          </w:p>
        </w:tc>
      </w:tr>
      <w:tr>
        <w:trPr>
          <w:trHeight w:val="212"/>
        </w:trPr>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(1,325)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1,954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2,279</w:t>
            </w:r>
          </w:p>
        </w:tc>
        <w:tc>
          <w:tcPr>
            <w:tcW w:w="0" w:type="dxa"/>
            <w:vAlign w:val="bottom"/>
          </w:tcPr>
          <w:p>
            <w:pPr>
              <w:spacing w:after="0"/>
              <w:rPr>
                <w:sz w:val="1"/>
                <w:szCs w:val="1"/>
                <w:color w:val="auto"/>
              </w:rPr>
            </w:pPr>
          </w:p>
        </w:tc>
      </w:tr>
      <w:tr>
        <w:trPr>
          <w:trHeight w:val="193"/>
        </w:trPr>
        <w:tc>
          <w:tcPr>
            <w:tcW w:w="420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color w:val="auto"/>
              </w:rPr>
              <w:t>Income (loss) from continuing operations before</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cumulative effect of accounting change</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926</w:t>
            </w:r>
          </w:p>
        </w:tc>
        <w:tc>
          <w:tcPr>
            <w:tcW w:w="0" w:type="dxa"/>
            <w:vAlign w:val="bottom"/>
          </w:tcPr>
          <w:p>
            <w:pPr>
              <w:spacing w:after="0"/>
              <w:rPr>
                <w:sz w:val="1"/>
                <w:szCs w:val="1"/>
                <w:color w:val="auto"/>
              </w:rPr>
            </w:pPr>
          </w:p>
        </w:tc>
      </w:tr>
      <w:tr>
        <w:trPr>
          <w:trHeight w:val="212"/>
        </w:trPr>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Discontinued operations(2)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3,458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Cumulative effect of accounting change(3)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3,240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926</w:t>
            </w:r>
          </w:p>
        </w:tc>
        <w:tc>
          <w:tcPr>
            <w:tcW w:w="0" w:type="dxa"/>
            <w:vAlign w:val="bottom"/>
          </w:tcPr>
          <w:p>
            <w:pPr>
              <w:spacing w:after="0"/>
              <w:rPr>
                <w:sz w:val="1"/>
                <w:szCs w:val="1"/>
                <w:color w:val="auto"/>
              </w:rPr>
            </w:pPr>
          </w:p>
        </w:tc>
      </w:tr>
      <w:tr>
        <w:trPr>
          <w:trHeight w:val="191"/>
        </w:trPr>
        <w:tc>
          <w:tcPr>
            <w:tcW w:w="420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Basic earnings (loss) for common stockholders per</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common share</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200" w:type="dxa"/>
            <w:vAlign w:val="bottom"/>
            <w:shd w:val="clear" w:color="auto" w:fill="CCEEFF"/>
          </w:tcPr>
          <w:p>
            <w:pPr>
              <w:ind w:left="340"/>
              <w:spacing w:after="0" w:line="194" w:lineRule="exact"/>
              <w:rPr>
                <w:sz w:val="20"/>
                <w:szCs w:val="20"/>
                <w:color w:val="auto"/>
              </w:rPr>
            </w:pPr>
            <w:r>
              <w:rPr>
                <w:rFonts w:ascii="Times New Roman" w:cs="Times New Roman" w:eastAsia="Times New Roman" w:hAnsi="Times New Roman"/>
                <w:sz w:val="18"/>
                <w:szCs w:val="18"/>
                <w:color w:val="auto"/>
              </w:rPr>
              <w:t>Income (loss) from continuing operations before</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cumulative effect of accounting change</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0.26</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12"/>
        </w:trPr>
        <w:tc>
          <w:tcPr>
            <w:tcW w:w="4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Discontinued operations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Cumulative effect of accounting change(3)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0.64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0.26</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191"/>
        </w:trPr>
        <w:tc>
          <w:tcPr>
            <w:tcW w:w="42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Diluted earnings (loss) for common stockholders per</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common share</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420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color w:val="auto"/>
              </w:rPr>
              <w:t>Income (loss) from continuing operations before</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cumulative effect of accounting change</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0.26</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12"/>
        </w:trPr>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Discontinued operations(2)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Cumulative effect of accounting change(3)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0.63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0.26</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396"/>
        </w:trPr>
        <w:tc>
          <w:tcPr>
            <w:tcW w:w="4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S-5</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gridSpan w:val="6"/>
            <w:vMerge w:val="restart"/>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70"/>
        </w:trPr>
        <w:tc>
          <w:tcPr>
            <w:tcW w:w="4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6"/>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June 30</w:t>
            </w: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ind w:right="76"/>
              <w:spacing w:after="0" w:line="152" w:lineRule="exact"/>
              <w:rPr>
                <w:sz w:val="20"/>
                <w:szCs w:val="20"/>
                <w:color w:val="auto"/>
              </w:rPr>
            </w:pPr>
            <w:r>
              <w:rPr>
                <w:rFonts w:ascii="Times New Roman" w:cs="Times New Roman" w:eastAsia="Times New Roman" w:hAnsi="Times New Roman"/>
                <w:sz w:val="14"/>
                <w:szCs w:val="14"/>
                <w:b w:val="1"/>
                <w:bCs w:val="1"/>
                <w:color w:val="auto"/>
              </w:rPr>
              <w:t>2001</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29"/>
              <w:spacing w:after="0" w:line="152" w:lineRule="exact"/>
              <w:rPr>
                <w:sz w:val="20"/>
                <w:szCs w:val="20"/>
                <w:color w:val="auto"/>
              </w:rPr>
            </w:pPr>
            <w:r>
              <w:rPr>
                <w:rFonts w:ascii="Times New Roman" w:cs="Times New Roman" w:eastAsia="Times New Roman" w:hAnsi="Times New Roman"/>
                <w:sz w:val="14"/>
                <w:szCs w:val="14"/>
                <w:b w:val="1"/>
                <w:bCs w:val="1"/>
                <w:color w:val="auto"/>
              </w:rPr>
              <w:t>2002</w:t>
            </w:r>
          </w:p>
        </w:tc>
        <w:tc>
          <w:tcPr>
            <w:tcW w:w="1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29"/>
              <w:spacing w:after="0" w:line="152" w:lineRule="exact"/>
              <w:rPr>
                <w:sz w:val="20"/>
                <w:szCs w:val="20"/>
                <w:color w:val="auto"/>
              </w:rPr>
            </w:pPr>
            <w:r>
              <w:rPr>
                <w:rFonts w:ascii="Times New Roman" w:cs="Times New Roman" w:eastAsia="Times New Roman" w:hAnsi="Times New Roman"/>
                <w:sz w:val="14"/>
                <w:szCs w:val="14"/>
                <w:b w:val="1"/>
                <w:bCs w:val="1"/>
                <w:color w:val="auto"/>
              </w:rPr>
              <w:t>2003</w:t>
            </w:r>
          </w:p>
        </w:tc>
        <w:tc>
          <w:tcPr>
            <w:tcW w:w="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49"/>
              <w:spacing w:after="0" w:line="152" w:lineRule="exact"/>
              <w:rPr>
                <w:sz w:val="20"/>
                <w:szCs w:val="20"/>
                <w:color w:val="auto"/>
              </w:rPr>
            </w:pPr>
            <w:r>
              <w:rPr>
                <w:rFonts w:ascii="Times New Roman" w:cs="Times New Roman" w:eastAsia="Times New Roman" w:hAnsi="Times New Roman"/>
                <w:sz w:val="14"/>
                <w:szCs w:val="14"/>
                <w:b w:val="1"/>
                <w:bCs w:val="1"/>
                <w:color w:val="auto"/>
              </w:rPr>
              <w:t>2004</w:t>
            </w:r>
          </w:p>
        </w:tc>
        <w:tc>
          <w:tcPr>
            <w:tcW w:w="2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29"/>
              <w:spacing w:after="0" w:line="152" w:lineRule="exact"/>
              <w:rPr>
                <w:sz w:val="20"/>
                <w:szCs w:val="20"/>
                <w:color w:val="auto"/>
              </w:rPr>
            </w:pPr>
            <w:r>
              <w:rPr>
                <w:rFonts w:ascii="Times New Roman" w:cs="Times New Roman" w:eastAsia="Times New Roman" w:hAnsi="Times New Roman"/>
                <w:sz w:val="14"/>
                <w:szCs w:val="14"/>
                <w:b w:val="1"/>
                <w:bCs w:val="1"/>
                <w:color w:val="auto"/>
              </w:rPr>
              <w:t>2005</w:t>
            </w:r>
          </w:p>
        </w:tc>
        <w:tc>
          <w:tcPr>
            <w:tcW w:w="4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center"/>
              <w:ind w:right="62"/>
              <w:spacing w:after="0" w:line="152" w:lineRule="exact"/>
              <w:rPr>
                <w:sz w:val="20"/>
                <w:szCs w:val="20"/>
                <w:color w:val="auto"/>
              </w:rPr>
            </w:pPr>
            <w:r>
              <w:rPr>
                <w:rFonts w:ascii="Times New Roman" w:cs="Times New Roman" w:eastAsia="Times New Roman" w:hAnsi="Times New Roman"/>
                <w:sz w:val="14"/>
                <w:szCs w:val="14"/>
                <w:b w:val="1"/>
                <w:bCs w:val="1"/>
                <w:color w:val="auto"/>
                <w:w w:val="99"/>
              </w:rPr>
              <w:t>2006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5"/>
              </w:rPr>
              <w:t>$ 38,261</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$ 113,128</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$ 109,159</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$ 104,694</w:t>
            </w:r>
          </w:p>
        </w:tc>
        <w:tc>
          <w:tcPr>
            <w:tcW w:w="13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$ 103,146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103,088</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debt, less current portion</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11,679</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27,956</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23,835</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20,093</w:t>
            </w:r>
          </w:p>
        </w:tc>
        <w:tc>
          <w:tcPr>
            <w:tcW w:w="13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21,682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23,360</w:t>
            </w: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14,473</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38,329</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41,662</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41,422</w:t>
            </w:r>
          </w:p>
        </w:tc>
        <w:tc>
          <w:tcPr>
            <w:tcW w:w="13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40,219</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55880</wp:posOffset>
            </wp:positionV>
            <wp:extent cx="13017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143" w:lineRule="exact"/>
        <w:rPr>
          <w:sz w:val="20"/>
          <w:szCs w:val="20"/>
          <w:color w:val="auto"/>
        </w:rPr>
      </w:pPr>
    </w:p>
    <w:p>
      <w:pPr>
        <w:ind w:left="460" w:hanging="454"/>
        <w:spacing w:after="0"/>
        <w:tabs>
          <w:tab w:leader="none" w:pos="4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November 18, 2002, we completed the acquisition of AT&amp;T’s broadband business, which has substantially increased the size of our cable operations.</w:t>
      </w:r>
    </w:p>
    <w:p>
      <w:pPr>
        <w:spacing w:after="0" w:line="82" w:lineRule="exact"/>
        <w:rPr>
          <w:rFonts w:ascii="Times New Roman" w:cs="Times New Roman" w:eastAsia="Times New Roman" w:hAnsi="Times New Roman"/>
          <w:sz w:val="17"/>
          <w:szCs w:val="17"/>
          <w:color w:val="auto"/>
        </w:rPr>
      </w:pPr>
    </w:p>
    <w:p>
      <w:pPr>
        <w:ind w:left="460" w:right="180" w:hanging="454"/>
        <w:spacing w:after="0" w:line="258"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2003, we disposed of our interest in QVC to Liberty Media Corporation. QVC is presented as a discontinued operation for the years ended on and before December 31, 2003 (see Note 5 to our consolidated financial statements included in the Annual Report on Form 10-K for the year ended December 31, 2005).</w:t>
      </w:r>
    </w:p>
    <w:p>
      <w:pPr>
        <w:spacing w:after="0" w:line="33" w:lineRule="exact"/>
        <w:rPr>
          <w:rFonts w:ascii="Times New Roman" w:cs="Times New Roman" w:eastAsia="Times New Roman" w:hAnsi="Times New Roman"/>
          <w:sz w:val="18"/>
          <w:szCs w:val="18"/>
          <w:color w:val="auto"/>
        </w:rPr>
      </w:pPr>
    </w:p>
    <w:p>
      <w:pPr>
        <w:ind w:left="460" w:right="80" w:hanging="454"/>
        <w:spacing w:after="0" w:line="271"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2001, we recognized as income a cumulative effect of accounting change upon adoption of SFAS No. 133, “Accounting for Derivative Instruments and Hedging Activities.”</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13" w:lineRule="exact"/>
        <w:rPr>
          <w:sz w:val="20"/>
          <w:szCs w:val="20"/>
          <w:color w:val="auto"/>
        </w:rPr>
      </w:pPr>
    </w:p>
    <w:p>
      <w:pPr>
        <w:jc w:val="both"/>
        <w:ind w:right="520" w:firstLine="261"/>
        <w:spacing w:after="0" w:line="258" w:lineRule="auto"/>
        <w:rPr>
          <w:sz w:val="20"/>
          <w:szCs w:val="20"/>
          <w:color w:val="auto"/>
        </w:rPr>
      </w:pPr>
      <w:r>
        <w:rPr>
          <w:rFonts w:ascii="Times New Roman" w:cs="Times New Roman" w:eastAsia="Times New Roman" w:hAnsi="Times New Roman"/>
          <w:sz w:val="18"/>
          <w:szCs w:val="18"/>
          <w:color w:val="auto"/>
        </w:rPr>
        <w:t>We intend to use the proceeds from this offering, after deducting fees and expenses related to this offering, to refinance a portion of the approximately $1.4 billion in debt of Texas and Kansas City Cable Partners, L.P. which we are obligated to refinance in connection with the anticipated dissolution of the partnership.</w:t>
      </w:r>
    </w:p>
    <w:p>
      <w:pPr>
        <w:spacing w:after="0" w:line="283" w:lineRule="exact"/>
        <w:rPr>
          <w:sz w:val="20"/>
          <w:szCs w:val="20"/>
          <w:color w:val="auto"/>
        </w:rPr>
      </w:pPr>
    </w:p>
    <w:p>
      <w:pPr>
        <w:ind w:left="280" w:right="3880" w:firstLine="3627"/>
        <w:spacing w:after="0" w:line="395" w:lineRule="auto"/>
        <w:rPr>
          <w:sz w:val="20"/>
          <w:szCs w:val="20"/>
          <w:color w:val="auto"/>
        </w:rPr>
      </w:pPr>
      <w:r>
        <w:rPr>
          <w:rFonts w:ascii="Times New Roman" w:cs="Times New Roman" w:eastAsia="Times New Roman" w:hAnsi="Times New Roman"/>
          <w:sz w:val="17"/>
          <w:szCs w:val="17"/>
          <w:b w:val="1"/>
          <w:bCs w:val="1"/>
          <w:color w:val="auto"/>
        </w:rPr>
        <w:t xml:space="preserve">RATIO OF EARNINGS TO FIXED CHARGES </w:t>
      </w:r>
      <w:r>
        <w:rPr>
          <w:rFonts w:ascii="Times New Roman" w:cs="Times New Roman" w:eastAsia="Times New Roman" w:hAnsi="Times New Roman"/>
          <w:sz w:val="17"/>
          <w:szCs w:val="17"/>
          <w:color w:val="auto"/>
        </w:rPr>
        <w:t>Our ratio of earnings to fixed charges was as follows for the respective periods indicated:</w:t>
      </w:r>
    </w:p>
    <w:tbl>
      <w:tblPr>
        <w:tblLayout w:type="fixed"/>
        <w:tblInd w:w="0" w:type="dxa"/>
        <w:tblCellMar>
          <w:top w:w="0" w:type="dxa"/>
          <w:left w:w="0" w:type="dxa"/>
          <w:bottom w:w="0" w:type="dxa"/>
          <w:right w:w="0" w:type="dxa"/>
        </w:tblCellMar>
      </w:tblPr>
      <w:tr>
        <w:trPr>
          <w:trHeight w:val="146"/>
        </w:trPr>
        <w:tc>
          <w:tcPr>
            <w:tcW w:w="1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Six</w:t>
            </w:r>
          </w:p>
        </w:tc>
        <w:tc>
          <w:tcPr>
            <w:tcW w:w="0" w:type="dxa"/>
            <w:vAlign w:val="bottom"/>
          </w:tcPr>
          <w:p>
            <w:pPr>
              <w:spacing w:after="0"/>
              <w:rPr>
                <w:sz w:val="1"/>
                <w:szCs w:val="1"/>
                <w:color w:val="auto"/>
              </w:rPr>
            </w:pPr>
          </w:p>
        </w:tc>
      </w:tr>
      <w:tr>
        <w:trPr>
          <w:trHeight w:val="146"/>
        </w:trPr>
        <w:tc>
          <w:tcPr>
            <w:tcW w:w="1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146"/>
        </w:trPr>
        <w:tc>
          <w:tcPr>
            <w:tcW w:w="1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0"/>
        </w:trPr>
        <w:tc>
          <w:tcPr>
            <w:tcW w:w="1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52"/>
        </w:trPr>
        <w:tc>
          <w:tcPr>
            <w:tcW w:w="1720" w:type="dxa"/>
            <w:vAlign w:val="bottom"/>
          </w:tcPr>
          <w:p>
            <w:pPr>
              <w:jc w:val="right"/>
              <w:ind w:right="641"/>
              <w:spacing w:after="0" w:line="152" w:lineRule="exact"/>
              <w:rPr>
                <w:sz w:val="20"/>
                <w:szCs w:val="20"/>
                <w:color w:val="auto"/>
              </w:rPr>
            </w:pPr>
            <w:r>
              <w:rPr>
                <w:rFonts w:ascii="Times New Roman" w:cs="Times New Roman" w:eastAsia="Times New Roman" w:hAnsi="Times New Roman"/>
                <w:sz w:val="14"/>
                <w:szCs w:val="14"/>
                <w:b w:val="1"/>
                <w:bCs w:val="1"/>
                <w:color w:val="auto"/>
              </w:rPr>
              <w:t>2001</w:t>
            </w:r>
          </w:p>
        </w:tc>
        <w:tc>
          <w:tcPr>
            <w:tcW w:w="1840" w:type="dxa"/>
            <w:vAlign w:val="bottom"/>
            <w:gridSpan w:val="2"/>
          </w:tcPr>
          <w:p>
            <w:pPr>
              <w:jc w:val="right"/>
              <w:ind w:right="512"/>
              <w:spacing w:after="0" w:line="152" w:lineRule="exact"/>
              <w:rPr>
                <w:sz w:val="20"/>
                <w:szCs w:val="20"/>
                <w:color w:val="auto"/>
              </w:rPr>
            </w:pPr>
            <w:r>
              <w:rPr>
                <w:rFonts w:ascii="Times New Roman" w:cs="Times New Roman" w:eastAsia="Times New Roman" w:hAnsi="Times New Roman"/>
                <w:sz w:val="14"/>
                <w:szCs w:val="14"/>
                <w:b w:val="1"/>
                <w:bCs w:val="1"/>
                <w:color w:val="auto"/>
              </w:rPr>
              <w:t>2002</w:t>
            </w:r>
          </w:p>
        </w:tc>
        <w:tc>
          <w:tcPr>
            <w:tcW w:w="1840" w:type="dxa"/>
            <w:vAlign w:val="bottom"/>
            <w:gridSpan w:val="2"/>
          </w:tcPr>
          <w:p>
            <w:pPr>
              <w:jc w:val="right"/>
              <w:ind w:right="512"/>
              <w:spacing w:after="0" w:line="152" w:lineRule="exact"/>
              <w:rPr>
                <w:sz w:val="20"/>
                <w:szCs w:val="20"/>
                <w:color w:val="auto"/>
              </w:rPr>
            </w:pPr>
            <w:r>
              <w:rPr>
                <w:rFonts w:ascii="Times New Roman" w:cs="Times New Roman" w:eastAsia="Times New Roman" w:hAnsi="Times New Roman"/>
                <w:sz w:val="14"/>
                <w:szCs w:val="14"/>
                <w:b w:val="1"/>
                <w:bCs w:val="1"/>
                <w:color w:val="auto"/>
              </w:rPr>
              <w:t>2003</w:t>
            </w:r>
          </w:p>
        </w:tc>
        <w:tc>
          <w:tcPr>
            <w:tcW w:w="1820" w:type="dxa"/>
            <w:vAlign w:val="bottom"/>
            <w:gridSpan w:val="2"/>
          </w:tcPr>
          <w:p>
            <w:pPr>
              <w:jc w:val="right"/>
              <w:ind w:right="512"/>
              <w:spacing w:after="0" w:line="152" w:lineRule="exact"/>
              <w:rPr>
                <w:sz w:val="20"/>
                <w:szCs w:val="20"/>
                <w:color w:val="auto"/>
              </w:rPr>
            </w:pPr>
            <w:r>
              <w:rPr>
                <w:rFonts w:ascii="Times New Roman" w:cs="Times New Roman" w:eastAsia="Times New Roman" w:hAnsi="Times New Roman"/>
                <w:sz w:val="14"/>
                <w:szCs w:val="14"/>
                <w:b w:val="1"/>
                <w:bCs w:val="1"/>
                <w:color w:val="auto"/>
              </w:rPr>
              <w:t>2004</w:t>
            </w:r>
          </w:p>
        </w:tc>
        <w:tc>
          <w:tcPr>
            <w:tcW w:w="1820" w:type="dxa"/>
            <w:vAlign w:val="bottom"/>
            <w:gridSpan w:val="2"/>
          </w:tcPr>
          <w:p>
            <w:pPr>
              <w:jc w:val="right"/>
              <w:ind w:right="512"/>
              <w:spacing w:after="0" w:line="152" w:lineRule="exact"/>
              <w:rPr>
                <w:sz w:val="20"/>
                <w:szCs w:val="20"/>
                <w:color w:val="auto"/>
              </w:rPr>
            </w:pPr>
            <w:r>
              <w:rPr>
                <w:rFonts w:ascii="Times New Roman" w:cs="Times New Roman" w:eastAsia="Times New Roman" w:hAnsi="Times New Roman"/>
                <w:sz w:val="14"/>
                <w:szCs w:val="14"/>
                <w:b w:val="1"/>
                <w:bCs w:val="1"/>
                <w:color w:val="auto"/>
              </w:rPr>
              <w:t>2005</w:t>
            </w:r>
          </w:p>
        </w:tc>
        <w:tc>
          <w:tcPr>
            <w:tcW w:w="340" w:type="dxa"/>
            <w:vAlign w:val="bottom"/>
          </w:tcPr>
          <w:p>
            <w:pPr>
              <w:spacing w:after="0"/>
              <w:rPr>
                <w:sz w:val="13"/>
                <w:szCs w:val="13"/>
                <w:color w:val="auto"/>
              </w:rPr>
            </w:pPr>
          </w:p>
        </w:tc>
        <w:tc>
          <w:tcPr>
            <w:tcW w:w="2040" w:type="dxa"/>
            <w:vAlign w:val="bottom"/>
          </w:tcPr>
          <w:p>
            <w:pPr>
              <w:jc w:val="right"/>
              <w:ind w:right="807"/>
              <w:spacing w:after="0" w:line="152" w:lineRule="exact"/>
              <w:rPr>
                <w:sz w:val="20"/>
                <w:szCs w:val="20"/>
                <w:color w:val="auto"/>
              </w:rPr>
            </w:pPr>
            <w:r>
              <w:rPr>
                <w:rFonts w:ascii="Times New Roman" w:cs="Times New Roman" w:eastAsia="Times New Roman" w:hAnsi="Times New Roman"/>
                <w:sz w:val="14"/>
                <w:szCs w:val="14"/>
                <w:b w:val="1"/>
                <w:bCs w:val="1"/>
                <w:color w:val="auto"/>
              </w:rPr>
              <w:t>2006</w:t>
            </w:r>
          </w:p>
        </w:tc>
        <w:tc>
          <w:tcPr>
            <w:tcW w:w="0" w:type="dxa"/>
            <w:vAlign w:val="bottom"/>
          </w:tcPr>
          <w:p>
            <w:pPr>
              <w:spacing w:after="0"/>
              <w:rPr>
                <w:sz w:val="1"/>
                <w:szCs w:val="1"/>
                <w:color w:val="auto"/>
              </w:rPr>
            </w:pPr>
          </w:p>
        </w:tc>
      </w:tr>
      <w:tr>
        <w:trPr>
          <w:trHeight w:val="222"/>
        </w:trPr>
        <w:tc>
          <w:tcPr>
            <w:tcW w:w="1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1.33x</w:t>
            </w:r>
          </w:p>
        </w:tc>
        <w:tc>
          <w:tcPr>
            <w:tcW w:w="340" w:type="dxa"/>
            <w:vAlign w:val="bottom"/>
          </w:tcPr>
          <w:p>
            <w:pPr>
              <w:spacing w:after="0"/>
              <w:rPr>
                <w:sz w:val="19"/>
                <w:szCs w:val="19"/>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w:t>
            </w:r>
          </w:p>
        </w:tc>
        <w:tc>
          <w:tcPr>
            <w:tcW w:w="340" w:type="dxa"/>
            <w:vAlign w:val="bottom"/>
          </w:tcPr>
          <w:p>
            <w:pPr>
              <w:spacing w:after="0"/>
              <w:rPr>
                <w:sz w:val="19"/>
                <w:szCs w:val="19"/>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w:t>
            </w:r>
          </w:p>
        </w:tc>
        <w:tc>
          <w:tcPr>
            <w:tcW w:w="340" w:type="dxa"/>
            <w:vAlign w:val="bottom"/>
          </w:tcPr>
          <w:p>
            <w:pPr>
              <w:spacing w:after="0"/>
              <w:rPr>
                <w:sz w:val="19"/>
                <w:szCs w:val="19"/>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1.97x</w:t>
            </w:r>
          </w:p>
        </w:tc>
        <w:tc>
          <w:tcPr>
            <w:tcW w:w="340" w:type="dxa"/>
            <w:vAlign w:val="bottom"/>
          </w:tcPr>
          <w:p>
            <w:pPr>
              <w:spacing w:after="0"/>
              <w:rPr>
                <w:sz w:val="19"/>
                <w:szCs w:val="19"/>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2.01x</w:t>
            </w:r>
          </w:p>
        </w:tc>
        <w:tc>
          <w:tcPr>
            <w:tcW w:w="340" w:type="dxa"/>
            <w:vAlign w:val="bottom"/>
          </w:tcPr>
          <w:p>
            <w:pPr>
              <w:spacing w:after="0"/>
              <w:rPr>
                <w:sz w:val="19"/>
                <w:szCs w:val="19"/>
                <w:color w:val="auto"/>
              </w:rPr>
            </w:pPr>
          </w:p>
        </w:tc>
        <w:tc>
          <w:tcPr>
            <w:tcW w:w="2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2.51x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64770</wp:posOffset>
            </wp:positionV>
            <wp:extent cx="13017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143" w:lineRule="exact"/>
        <w:rPr>
          <w:sz w:val="20"/>
          <w:szCs w:val="20"/>
          <w:color w:val="auto"/>
        </w:rPr>
      </w:pPr>
    </w:p>
    <w:p>
      <w:pPr>
        <w:ind w:left="460" w:hanging="454"/>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2003 and 2002, we had a $76 million and $490 million deficiency, respectively, of earnings to fixed charges.</w:t>
      </w:r>
    </w:p>
    <w:p>
      <w:pPr>
        <w:spacing w:after="0" w:line="111" w:lineRule="exact"/>
        <w:rPr>
          <w:sz w:val="20"/>
          <w:szCs w:val="20"/>
          <w:color w:val="auto"/>
        </w:rPr>
      </w:pPr>
    </w:p>
    <w:p>
      <w:pPr>
        <w:ind w:right="240" w:firstLine="264"/>
        <w:spacing w:after="0" w:line="264" w:lineRule="auto"/>
        <w:rPr>
          <w:sz w:val="20"/>
          <w:szCs w:val="20"/>
          <w:color w:val="auto"/>
        </w:rPr>
      </w:pPr>
      <w:r>
        <w:rPr>
          <w:rFonts w:ascii="Times New Roman" w:cs="Times New Roman" w:eastAsia="Times New Roman" w:hAnsi="Times New Roman"/>
          <w:sz w:val="17"/>
          <w:szCs w:val="17"/>
          <w:color w:val="auto"/>
        </w:rPr>
        <w:t>For purposes of calculating the ratio of earnings to fixed charges, earnings is the amount resulting from (1) adding (a) pretax income from continuing operations before adjustment for minority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minority interest in pre-tax income of subsidiaries that have not incurred fixed charges. Fixed charges is the sum of (w) interest expensed and capitalized,</w:t>
      </w:r>
    </w:p>
    <w:p>
      <w:pPr>
        <w:spacing w:after="0" w:line="1" w:lineRule="exact"/>
        <w:rPr>
          <w:sz w:val="20"/>
          <w:szCs w:val="20"/>
          <w:color w:val="auto"/>
        </w:rPr>
      </w:pPr>
    </w:p>
    <w:p>
      <w:pPr>
        <w:ind w:firstLine="6"/>
        <w:spacing w:after="0" w:line="248" w:lineRule="auto"/>
        <w:tabs>
          <w:tab w:leader="none" w:pos="25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113" w:lineRule="exact"/>
        <w:rPr>
          <w:sz w:val="20"/>
          <w:szCs w:val="20"/>
          <w:color w:val="auto"/>
        </w:rPr>
      </w:pPr>
    </w:p>
    <w:p>
      <w:pPr>
        <w:ind w:firstLine="261"/>
        <w:spacing w:after="0" w:line="249" w:lineRule="auto"/>
        <w:rPr>
          <w:sz w:val="20"/>
          <w:szCs w:val="20"/>
          <w:color w:val="auto"/>
        </w:rPr>
      </w:pPr>
      <w:r>
        <w:rPr>
          <w:rFonts w:ascii="Times New Roman" w:cs="Times New Roman" w:eastAsia="Times New Roman" w:hAnsi="Times New Roman"/>
          <w:sz w:val="18"/>
          <w:szCs w:val="18"/>
          <w:color w:val="auto"/>
        </w:rPr>
        <w:t>We are offering $300,000,000 aggregate principal amount of our % Notes due 2055. The notes will be a separate series of securities issued under an indenture, dated as of January 7, 2003 and amended as of March 25, 2003, among us, the cable guarantors and The Bank of New York, as trustee. The notes will be our direct unsecured and unsubordinated obligations and will be fully and unconditionally guaranteed by Comcast Cable, Comcast Cable Communications Holdings, Comcast Cable Holdings, Comcast MO Group and Comcast MO of Delaware, referred to as the cable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We also have the ability to “reopen” this series of notes and issue additional notes. Additional notes of such series will be consolidated with and form a single series with the notes then outstanding. Copies of the indenture and the form of notes are available from us upon request.</w:t>
      </w:r>
    </w:p>
    <w:p>
      <w:pPr>
        <w:spacing w:after="0" w:line="81" w:lineRule="exact"/>
        <w:rPr>
          <w:sz w:val="20"/>
          <w:szCs w:val="20"/>
          <w:color w:val="auto"/>
        </w:rPr>
      </w:pPr>
    </w:p>
    <w:p>
      <w:pPr>
        <w:ind w:right="180" w:firstLine="261"/>
        <w:spacing w:after="0" w:line="258" w:lineRule="auto"/>
        <w:rPr>
          <w:sz w:val="20"/>
          <w:szCs w:val="20"/>
          <w:color w:val="auto"/>
        </w:rPr>
      </w:pPr>
      <w:r>
        <w:rPr>
          <w:rFonts w:ascii="Times New Roman" w:cs="Times New Roman" w:eastAsia="Times New Roman" w:hAnsi="Times New Roman"/>
          <w:sz w:val="18"/>
          <w:szCs w:val="18"/>
          <w:color w:val="auto"/>
        </w:rPr>
        <w:t>The following, along with the additional information contained in the accompanying prospectus under “Description of Debt Securities and Cable Guarantees,” is a summary of the material provisions of the indenture, the notes and the cable guarantees. Because this is a summary, it may not contain all the information that is important to you. For further information, you should read the notes and the indenture.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Terms of the Notes</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notes:</w:t>
      </w:r>
    </w:p>
    <w:p>
      <w:pPr>
        <w:spacing w:after="0" w:line="111" w:lineRule="exact"/>
        <w:rPr>
          <w:sz w:val="20"/>
          <w:szCs w:val="20"/>
          <w:color w:val="auto"/>
        </w:rPr>
      </w:pPr>
    </w:p>
    <w:p>
      <w:pPr>
        <w:ind w:left="460" w:hanging="110"/>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rank equally with all of our other unsecured and unsubordinated debt and will be entitled to the benefits of the cable guarantees described below;</w:t>
      </w:r>
    </w:p>
    <w:p>
      <w:pPr>
        <w:spacing w:after="0" w:line="70" w:lineRule="exact"/>
        <w:rPr>
          <w:rFonts w:ascii="Times New Roman" w:cs="Times New Roman" w:eastAsia="Times New Roman" w:hAnsi="Times New Roman"/>
          <w:sz w:val="18"/>
          <w:szCs w:val="18"/>
          <w:color w:val="auto"/>
        </w:rPr>
      </w:pPr>
    </w:p>
    <w:p>
      <w:pPr>
        <w:ind w:left="460" w:right="420" w:hanging="110"/>
        <w:spacing w:after="0" w:line="258"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issued in an initial aggregate principal amount of $300,000,000, maturing on September 15, 2055, with interest payable quarterly on each September 15, December 15, March 15 and June 15, beginning December 15, 2006, to holders of record on the preceding September 1, December 1, March 1 and June 1; and</w:t>
      </w:r>
    </w:p>
    <w:p>
      <w:pPr>
        <w:spacing w:after="0" w:line="33" w:lineRule="exact"/>
        <w:rPr>
          <w:rFonts w:ascii="Times New Roman" w:cs="Times New Roman" w:eastAsia="Times New Roman" w:hAnsi="Times New Roman"/>
          <w:sz w:val="18"/>
          <w:szCs w:val="18"/>
          <w:color w:val="auto"/>
        </w:rPr>
      </w:pPr>
    </w:p>
    <w:p>
      <w:pPr>
        <w:ind w:left="460" w:hanging="110"/>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issuable in fully registered form, in denominations of $25.00 and multiples thereof.</w:t>
      </w:r>
    </w:p>
    <w:p>
      <w:pPr>
        <w:spacing w:after="0" w:line="11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If market conditions permit, we may increase the amount of notes we sell in this offering.</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Payments</w:t>
      </w:r>
    </w:p>
    <w:p>
      <w:pPr>
        <w:spacing w:after="0" w:line="113" w:lineRule="exact"/>
        <w:rPr>
          <w:sz w:val="20"/>
          <w:szCs w:val="20"/>
          <w:color w:val="auto"/>
        </w:rPr>
      </w:pPr>
    </w:p>
    <w:p>
      <w:pPr>
        <w:ind w:firstLine="264"/>
        <w:spacing w:after="0" w:line="258" w:lineRule="auto"/>
        <w:rPr>
          <w:sz w:val="20"/>
          <w:szCs w:val="20"/>
          <w:color w:val="auto"/>
        </w:rPr>
      </w:pPr>
      <w:r>
        <w:rPr>
          <w:rFonts w:ascii="Times New Roman" w:cs="Times New Roman" w:eastAsia="Times New Roman" w:hAnsi="Times New Roman"/>
          <w:sz w:val="18"/>
          <w:szCs w:val="18"/>
          <w:color w:val="auto"/>
        </w:rPr>
        <w:t>Interest on the notes will be computed on the basis of a 360-day year consisting of twelve 30-day months. Interest on the notes will accrue from the date of original issuance, or from the most recent interest payment date to which interest has been paid and will be payable quarterly on interest payment dates described for each year.</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For more information on payment and transfer procedures for the notes, see “— Book-Entry System” below.</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Cable Guarantees</w:t>
      </w:r>
    </w:p>
    <w:p>
      <w:pPr>
        <w:spacing w:after="0" w:line="113" w:lineRule="exact"/>
        <w:rPr>
          <w:sz w:val="20"/>
          <w:szCs w:val="20"/>
          <w:color w:val="auto"/>
        </w:rPr>
      </w:pPr>
    </w:p>
    <w:p>
      <w:pPr>
        <w:ind w:right="700" w:firstLine="264"/>
        <w:spacing w:after="0" w:line="271" w:lineRule="auto"/>
        <w:rPr>
          <w:sz w:val="20"/>
          <w:szCs w:val="20"/>
          <w:color w:val="auto"/>
        </w:rPr>
      </w:pPr>
      <w:r>
        <w:rPr>
          <w:rFonts w:ascii="Times New Roman" w:cs="Times New Roman" w:eastAsia="Times New Roman" w:hAnsi="Times New Roman"/>
          <w:sz w:val="18"/>
          <w:szCs w:val="18"/>
          <w:color w:val="auto"/>
        </w:rPr>
        <w:t>Our obligations, including the payment of principal, premium, if any, and interest, will be fully and unconditionally guaranteed by each of the cable guarantors as described in the accompanying prospectus.</w:t>
      </w:r>
    </w:p>
    <w:p>
      <w:pPr>
        <w:spacing w:after="0" w:line="9" w:lineRule="exact"/>
        <w:rPr>
          <w:sz w:val="20"/>
          <w:szCs w:val="20"/>
          <w:color w:val="auto"/>
        </w:rPr>
      </w:pPr>
    </w:p>
    <w:p>
      <w:pPr>
        <w:ind w:right="140" w:firstLine="261"/>
        <w:spacing w:after="0" w:line="258" w:lineRule="auto"/>
        <w:rPr>
          <w:sz w:val="20"/>
          <w:szCs w:val="20"/>
          <w:color w:val="auto"/>
        </w:rPr>
      </w:pPr>
      <w:r>
        <w:rPr>
          <w:rFonts w:ascii="Times New Roman" w:cs="Times New Roman" w:eastAsia="Times New Roman" w:hAnsi="Times New Roman"/>
          <w:sz w:val="18"/>
          <w:szCs w:val="18"/>
          <w:color w:val="auto"/>
        </w:rPr>
        <w:t>The cable guarantees will not contain any restrictions on the ability of any cable guarantor to (i) pay dividends or distributions on, or redeem, purchase, acquire, or make a liquidation payment with respect to, any of that cable guarantor’s capital stock or (ii) make any payment of principal, interest or premium, if any, on or repay, repurchase or redeem any debt securities of that cable guarantor.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60" w:lineRule="exact"/>
        <w:rPr>
          <w:sz w:val="20"/>
          <w:szCs w:val="20"/>
          <w:color w:val="auto"/>
        </w:rPr>
      </w:pPr>
    </w:p>
    <w:p>
      <w:pPr>
        <w:ind w:right="20" w:firstLine="261"/>
        <w:spacing w:after="0" w:line="271" w:lineRule="auto"/>
        <w:rPr>
          <w:sz w:val="20"/>
          <w:szCs w:val="20"/>
          <w:color w:val="auto"/>
        </w:rPr>
      </w:pPr>
      <w:r>
        <w:rPr>
          <w:rFonts w:ascii="Times New Roman" w:cs="Times New Roman" w:eastAsia="Times New Roman" w:hAnsi="Times New Roman"/>
          <w:sz w:val="18"/>
          <w:szCs w:val="18"/>
          <w:color w:val="auto"/>
        </w:rPr>
        <w:t>We will have the right at our option to redeem the notes in whole or in part, at any time or from time to time on or after September 15, 2011 and prior to their maturity, on at least 30 days, but not more than</w:t>
      </w:r>
    </w:p>
    <w:p>
      <w:pPr>
        <w:spacing w:after="0" w:line="1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color w:val="auto"/>
        </w:rPr>
        <w:t>60 days, prior notice mailed to the registered address of each holder, at a redemption price equal to 100% of the principal amount of such notes, plus any accrued and unpaid interest thereon to the date of redemption.</w:t>
      </w:r>
    </w:p>
    <w:p>
      <w:pPr>
        <w:spacing w:after="0" w:line="62" w:lineRule="exact"/>
        <w:rPr>
          <w:sz w:val="20"/>
          <w:szCs w:val="20"/>
          <w:color w:val="auto"/>
        </w:rPr>
      </w:pPr>
    </w:p>
    <w:p>
      <w:pPr>
        <w:ind w:firstLine="264"/>
        <w:spacing w:after="0" w:line="270" w:lineRule="auto"/>
        <w:rPr>
          <w:sz w:val="20"/>
          <w:szCs w:val="20"/>
          <w:color w:val="auto"/>
        </w:rPr>
      </w:pPr>
      <w:r>
        <w:rPr>
          <w:rFonts w:ascii="Times New Roman" w:cs="Times New Roman" w:eastAsia="Times New Roman" w:hAnsi="Times New Roman"/>
          <w:sz w:val="17"/>
          <w:szCs w:val="17"/>
          <w:color w:val="auto"/>
        </w:rPr>
        <w:t>On and after the redemption date, interest will cease to accrue on the notes or any portion of the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and unpaid interest to the redemption date on the notes to be redeemed on such date. If less than all of the notes of any series are to be redeemed, the notes to be redeemed shall be selected by the trustee by such method as the trustee shall deem fair and appropriate. Additionally, we may at any time repurchase notes in the open market and may hold or surrender such notes to the trustee for cancellation.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Characteristics</w:t>
      </w:r>
    </w:p>
    <w:p>
      <w:pPr>
        <w:spacing w:after="0" w:line="113" w:lineRule="exact"/>
        <w:rPr>
          <w:sz w:val="20"/>
          <w:szCs w:val="20"/>
          <w:color w:val="auto"/>
        </w:rPr>
      </w:pPr>
    </w:p>
    <w:p>
      <w:pPr>
        <w:ind w:right="200" w:firstLine="261"/>
        <w:spacing w:after="0" w:line="258" w:lineRule="auto"/>
        <w:rPr>
          <w:sz w:val="20"/>
          <w:szCs w:val="20"/>
          <w:color w:val="auto"/>
        </w:rPr>
      </w:pPr>
      <w:r>
        <w:rPr>
          <w:rFonts w:ascii="Times New Roman" w:cs="Times New Roman" w:eastAsia="Times New Roman" w:hAnsi="Times New Roman"/>
          <w:sz w:val="18"/>
          <w:szCs w:val="18"/>
          <w:color w:val="auto"/>
        </w:rPr>
        <w:t>We intend to apply to list the notes on the New York Stock Exchange. We expect the notes to trade at a price that takes into account the value, if any, of accrued but unpaid interest. This means that purchasers will not pay, and sellers will not receive, accrued but unpaid interest on the notes that is not included in their trading price.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Mandatory Redemption or Sinking Fund</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There will be no mandatory redemption prior to maturity or sinking fund payments for the notes.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Debt</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indenture does not limit the amount of debt we may issue under the indenture or otherwise.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System</w:t>
      </w:r>
    </w:p>
    <w:p>
      <w:pPr>
        <w:spacing w:after="0" w:line="113" w:lineRule="exact"/>
        <w:rPr>
          <w:sz w:val="20"/>
          <w:szCs w:val="20"/>
          <w:color w:val="auto"/>
        </w:rPr>
      </w:pPr>
    </w:p>
    <w:p>
      <w:pPr>
        <w:ind w:right="60" w:firstLine="261"/>
        <w:spacing w:after="0" w:line="253" w:lineRule="auto"/>
        <w:rPr>
          <w:sz w:val="20"/>
          <w:szCs w:val="20"/>
          <w:color w:val="auto"/>
        </w:rPr>
      </w:pPr>
      <w:r>
        <w:rPr>
          <w:rFonts w:ascii="Times New Roman" w:cs="Times New Roman" w:eastAsia="Times New Roman" w:hAnsi="Times New Roman"/>
          <w:sz w:val="18"/>
          <w:szCs w:val="18"/>
          <w:color w:val="auto"/>
        </w:rPr>
        <w:t>We will initially issue the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1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DTC</w:t>
      </w:r>
    </w:p>
    <w:p>
      <w:pPr>
        <w:spacing w:after="0" w:line="115" w:lineRule="exact"/>
        <w:rPr>
          <w:sz w:val="20"/>
          <w:szCs w:val="20"/>
          <w:color w:val="auto"/>
        </w:rPr>
      </w:pPr>
    </w:p>
    <w:p>
      <w:pPr>
        <w:ind w:right="20" w:firstLine="264"/>
        <w:spacing w:after="0" w:line="266" w:lineRule="auto"/>
        <w:rPr>
          <w:sz w:val="20"/>
          <w:szCs w:val="20"/>
          <w:color w:val="auto"/>
        </w:rPr>
      </w:pPr>
      <w:r>
        <w:rPr>
          <w:rFonts w:ascii="Times New Roman" w:cs="Times New Roman" w:eastAsia="Times New Roman" w:hAnsi="Times New Roman"/>
          <w:sz w:val="17"/>
          <w:szCs w:val="17"/>
          <w:color w:val="auto"/>
        </w:rPr>
        <w:t>DTC has advised us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w:t>
      </w:r>
    </w:p>
    <w:p>
      <w:pPr>
        <w:spacing w:after="0" w:line="71" w:lineRule="exact"/>
        <w:rPr>
          <w:sz w:val="20"/>
          <w:szCs w:val="20"/>
          <w:color w:val="auto"/>
        </w:rPr>
      </w:pPr>
    </w:p>
    <w:p>
      <w:pPr>
        <w:ind w:right="100" w:firstLine="261"/>
        <w:spacing w:after="0" w:line="253" w:lineRule="auto"/>
        <w:rPr>
          <w:sz w:val="20"/>
          <w:szCs w:val="20"/>
          <w:color w:val="auto"/>
        </w:rPr>
      </w:pPr>
      <w:r>
        <w:rPr>
          <w:rFonts w:ascii="Times New Roman" w:cs="Times New Roman" w:eastAsia="Times New Roman" w:hAnsi="Times New Roman"/>
          <w:sz w:val="18"/>
          <w:szCs w:val="18"/>
          <w:color w:val="auto"/>
        </w:rPr>
        <w:t>We expect that pursuant to procedures established by DTC, upon the deposit of the Global Notes with DTC, DTC will credit on its book entry registration and transfer system the principal amount of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w:t>
      </w:r>
    </w:p>
    <w:p>
      <w:pPr>
        <w:spacing w:after="0" w:line="73" w:lineRule="exact"/>
        <w:rPr>
          <w:sz w:val="20"/>
          <w:szCs w:val="20"/>
          <w:color w:val="auto"/>
        </w:rPr>
      </w:pPr>
    </w:p>
    <w:p>
      <w:pPr>
        <w:ind w:right="240" w:firstLine="261"/>
        <w:spacing w:after="0" w:line="271" w:lineRule="auto"/>
        <w:rPr>
          <w:sz w:val="20"/>
          <w:szCs w:val="20"/>
          <w:color w:val="auto"/>
        </w:rPr>
      </w:pPr>
      <w:r>
        <w:rPr>
          <w:rFonts w:ascii="Times New Roman" w:cs="Times New Roman" w:eastAsia="Times New Roman" w:hAnsi="Times New Roman"/>
          <w:sz w:val="18"/>
          <w:szCs w:val="18"/>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62" w:lineRule="exact"/>
        <w:rPr>
          <w:sz w:val="20"/>
          <w:szCs w:val="20"/>
          <w:color w:val="auto"/>
        </w:rPr>
      </w:pPr>
    </w:p>
    <w:p>
      <w:pPr>
        <w:ind w:right="100" w:firstLine="264"/>
        <w:spacing w:after="0" w:line="266" w:lineRule="auto"/>
        <w:rPr>
          <w:sz w:val="20"/>
          <w:szCs w:val="20"/>
          <w:color w:val="auto"/>
        </w:rPr>
      </w:pPr>
      <w:r>
        <w:rPr>
          <w:rFonts w:ascii="Times New Roman" w:cs="Times New Roman" w:eastAsia="Times New Roman" w:hAnsi="Times New Roman"/>
          <w:sz w:val="17"/>
          <w:szCs w:val="17"/>
          <w:color w:val="auto"/>
        </w:rPr>
        <w:t>So long as DTC (or its nominee) is the registered holder and owner of a Global Note, DTC (or such nominee) will be considered the sole legal owner and holder of the notes evidenced by such Global Note for all purposes of such notes and the indenture. Except as set forth below under “—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71" w:lineRule="exact"/>
        <w:rPr>
          <w:sz w:val="20"/>
          <w:szCs w:val="20"/>
          <w:color w:val="auto"/>
        </w:rPr>
      </w:pPr>
    </w:p>
    <w:p>
      <w:pPr>
        <w:ind w:right="20" w:firstLine="261"/>
        <w:spacing w:after="0" w:line="271" w:lineRule="auto"/>
        <w:rPr>
          <w:sz w:val="20"/>
          <w:szCs w:val="20"/>
          <w:color w:val="auto"/>
        </w:rPr>
      </w:pPr>
      <w:r>
        <w:rPr>
          <w:rFonts w:ascii="Times New Roman" w:cs="Times New Roman" w:eastAsia="Times New Roman" w:hAnsi="Times New Roman"/>
          <w:sz w:val="18"/>
          <w:szCs w:val="18"/>
          <w:color w:val="auto"/>
        </w:rPr>
        <w:t>We will make payments of principal of, premium, if any, and interest on the notes represented by the Global Notes registered in the name of and held by DTC or its nominee to DTC or its nominee, as the case may be, as the registered owner and holder of the Global Notes.</w:t>
      </w:r>
    </w:p>
    <w:p>
      <w:pPr>
        <w:spacing w:after="0" w:line="62" w:lineRule="exact"/>
        <w:rPr>
          <w:sz w:val="20"/>
          <w:szCs w:val="20"/>
          <w:color w:val="auto"/>
        </w:rPr>
      </w:pPr>
    </w:p>
    <w:p>
      <w:pPr>
        <w:ind w:right="40" w:firstLine="261"/>
        <w:spacing w:after="0" w:line="248" w:lineRule="auto"/>
        <w:rPr>
          <w:sz w:val="20"/>
          <w:szCs w:val="20"/>
          <w:color w:val="auto"/>
        </w:rPr>
      </w:pPr>
      <w:r>
        <w:rPr>
          <w:rFonts w:ascii="Times New Roman" w:cs="Times New Roman" w:eastAsia="Times New Roman" w:hAnsi="Times New Roman"/>
          <w:sz w:val="18"/>
          <w:szCs w:val="18"/>
          <w:color w:val="auto"/>
        </w:rPr>
        <w:t>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We also expect that payments by participants or indirect participants or account holders, as applicable, to owners of beneficial 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w:t>
      </w:r>
    </w:p>
    <w:p>
      <w:pPr>
        <w:spacing w:after="0" w:line="86" w:lineRule="exact"/>
        <w:rPr>
          <w:sz w:val="20"/>
          <w:szCs w:val="20"/>
          <w:color w:val="auto"/>
        </w:rPr>
      </w:pPr>
    </w:p>
    <w:p>
      <w:pPr>
        <w:ind w:firstLine="255"/>
        <w:spacing w:after="0" w:line="251" w:lineRule="auto"/>
        <w:rPr>
          <w:sz w:val="20"/>
          <w:szCs w:val="20"/>
          <w:color w:val="auto"/>
        </w:rPr>
      </w:pPr>
      <w:r>
        <w:rPr>
          <w:rFonts w:ascii="Times New Roman" w:cs="Times New Roman" w:eastAsia="Times New Roman" w:hAnsi="Times New Roman"/>
          <w:sz w:val="18"/>
          <w:szCs w:val="18"/>
          <w:color w:val="auto"/>
        </w:rPr>
        <w:t>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us, the cable guarantors or any of our or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Certificated Notes</w:t>
      </w:r>
    </w:p>
    <w:p>
      <w:pPr>
        <w:spacing w:after="0" w:line="115" w:lineRule="exact"/>
        <w:rPr>
          <w:sz w:val="20"/>
          <w:szCs w:val="20"/>
          <w:color w:val="auto"/>
        </w:rPr>
      </w:pPr>
    </w:p>
    <w:p>
      <w:pPr>
        <w:ind w:right="960" w:firstLine="264"/>
        <w:spacing w:after="0" w:line="271" w:lineRule="auto"/>
        <w:rPr>
          <w:sz w:val="20"/>
          <w:szCs w:val="20"/>
          <w:color w:val="auto"/>
        </w:rPr>
      </w:pPr>
      <w:r>
        <w:rPr>
          <w:rFonts w:ascii="Times New Roman" w:cs="Times New Roman" w:eastAsia="Times New Roman" w:hAnsi="Times New Roman"/>
          <w:sz w:val="18"/>
          <w:szCs w:val="18"/>
          <w:color w:val="auto"/>
        </w:rPr>
        <w:t>Subject to certain conditions, the notes represented by the Global Notes are exchangeable for certificated notes in definitive form of like tenor in denominations of $25.00 principal amount and multiples thereof if:</w:t>
      </w:r>
    </w:p>
    <w:p>
      <w:pPr>
        <w:spacing w:after="0" w:line="62" w:lineRule="exact"/>
        <w:rPr>
          <w:sz w:val="20"/>
          <w:szCs w:val="20"/>
          <w:color w:val="auto"/>
        </w:rPr>
      </w:pPr>
    </w:p>
    <w:p>
      <w:pPr>
        <w:ind w:left="1040" w:right="440" w:hanging="452"/>
        <w:spacing w:after="0" w:line="271"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74"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 our discretion at any time determine not to have all the notes represented by the Global Notes; or</w:t>
      </w:r>
    </w:p>
    <w:p>
      <w:pPr>
        <w:spacing w:after="0" w:line="123"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entitling the holders of the applicable notes to accelerate the maturity thereof has occurred and is continuing.</w:t>
      </w:r>
    </w:p>
    <w:p>
      <w:pPr>
        <w:spacing w:after="0" w:line="111"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Any note that is exchangeable as above is exchangeable for certificated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Same-Day Payment</w:t>
      </w:r>
    </w:p>
    <w:p>
      <w:pPr>
        <w:spacing w:after="0" w:line="115" w:lineRule="exact"/>
        <w:rPr>
          <w:sz w:val="20"/>
          <w:szCs w:val="20"/>
          <w:color w:val="auto"/>
        </w:rPr>
      </w:pPr>
    </w:p>
    <w:p>
      <w:pPr>
        <w:ind w:right="40" w:firstLine="261"/>
        <w:spacing w:after="0" w:line="258" w:lineRule="auto"/>
        <w:rPr>
          <w:sz w:val="20"/>
          <w:szCs w:val="20"/>
          <w:color w:val="auto"/>
        </w:rPr>
      </w:pPr>
      <w:r>
        <w:rPr>
          <w:rFonts w:ascii="Times New Roman" w:cs="Times New Roman" w:eastAsia="Times New Roman" w:hAnsi="Times New Roman"/>
          <w:sz w:val="18"/>
          <w:szCs w:val="18"/>
          <w:color w:val="auto"/>
        </w:rPr>
        <w:t>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73" w:lineRule="exact"/>
        <w:rPr>
          <w:sz w:val="20"/>
          <w:szCs w:val="20"/>
          <w:color w:val="auto"/>
        </w:rPr>
      </w:pPr>
    </w:p>
    <w:p>
      <w:pPr>
        <w:ind w:right="100" w:firstLine="264"/>
        <w:spacing w:after="0" w:line="268" w:lineRule="auto"/>
        <w:rPr>
          <w:sz w:val="20"/>
          <w:szCs w:val="20"/>
          <w:color w:val="auto"/>
        </w:rPr>
      </w:pPr>
      <w:r>
        <w:rPr>
          <w:rFonts w:ascii="Times New Roman" w:cs="Times New Roman" w:eastAsia="Times New Roman" w:hAnsi="Times New Roman"/>
          <w:sz w:val="17"/>
          <w:szCs w:val="17"/>
          <w:color w:val="auto"/>
        </w:rPr>
        <w:t>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13" w:lineRule="exact"/>
        <w:rPr>
          <w:sz w:val="20"/>
          <w:szCs w:val="20"/>
          <w:color w:val="auto"/>
        </w:rPr>
      </w:pPr>
    </w:p>
    <w:p>
      <w:pPr>
        <w:jc w:val="both"/>
        <w:ind w:right="260" w:firstLine="261"/>
        <w:spacing w:after="0" w:line="258" w:lineRule="auto"/>
        <w:rPr>
          <w:sz w:val="20"/>
          <w:szCs w:val="20"/>
          <w:color w:val="auto"/>
        </w:rPr>
      </w:pPr>
      <w:r>
        <w:rPr>
          <w:rFonts w:ascii="Times New Roman" w:cs="Times New Roman" w:eastAsia="Times New Roman" w:hAnsi="Times New Roman"/>
          <w:sz w:val="18"/>
          <w:szCs w:val="18"/>
          <w:color w:val="auto"/>
        </w:rPr>
        <w:t>We intend to offer the notes through the underwriters named below. Subject to the terms and conditions contained in an underwriting agreement, we have agreed to sell to the underwriters and the underwriters severally have agreed to purchase from us, the principal amount of the notes listed opposite their names below.</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4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Notes</w:t>
            </w:r>
          </w:p>
        </w:tc>
      </w:tr>
      <w:tr>
        <w:trPr>
          <w:trHeight w:val="212"/>
        </w:trPr>
        <w:tc>
          <w:tcPr>
            <w:tcW w:w="20" w:type="dxa"/>
            <w:vAlign w:val="bottom"/>
          </w:tcPr>
          <w:p>
            <w:pPr>
              <w:spacing w:after="0"/>
              <w:rPr>
                <w:sz w:val="18"/>
                <w:szCs w:val="18"/>
                <w:color w:val="auto"/>
              </w:rPr>
            </w:pPr>
          </w:p>
        </w:tc>
        <w:tc>
          <w:tcPr>
            <w:tcW w:w="5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40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6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51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Merrill Lynch, Pierce, Fenner &amp; Smith</w:t>
            </w:r>
          </w:p>
        </w:tc>
        <w:tc>
          <w:tcPr>
            <w:tcW w:w="4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51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Incorporated</w:t>
            </w:r>
          </w:p>
        </w:tc>
        <w:tc>
          <w:tcPr>
            <w:tcW w:w="4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Incorporated</w:t>
            </w:r>
          </w:p>
        </w:tc>
        <w:tc>
          <w:tcPr>
            <w:tcW w:w="4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UBS Securities LLC</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Wachovia Capital Markets, LLC</w:t>
            </w:r>
          </w:p>
        </w:tc>
        <w:tc>
          <w:tcPr>
            <w:tcW w:w="4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A.G. Edwards &amp; Sons, Inc.</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RBC Dain Rauscher Inc.</w:t>
            </w:r>
          </w:p>
        </w:tc>
        <w:tc>
          <w:tcPr>
            <w:tcW w:w="4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Banc of America Securities LLC</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4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J.P. Morgan Securities Inc.</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Lehman Brothers Inc.</w:t>
            </w:r>
          </w:p>
        </w:tc>
        <w:tc>
          <w:tcPr>
            <w:tcW w:w="4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ABN AMRO Incorporated</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4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Bear, Stearns &amp; Co. Inc.</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4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Charles Schwab &amp; Co., Inc.</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Suisse Securities (USA) LLC</w:t>
            </w:r>
          </w:p>
        </w:tc>
        <w:tc>
          <w:tcPr>
            <w:tcW w:w="4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Goldman, Sachs &amp; Co.</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H&amp;R Block Financial Advisors, Inc.</w:t>
            </w:r>
          </w:p>
        </w:tc>
        <w:tc>
          <w:tcPr>
            <w:tcW w:w="4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HSBC Securities (USA) Inc.</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J.J.B. Hilliard, W.L. Lyons, Inc.</w:t>
            </w:r>
          </w:p>
        </w:tc>
        <w:tc>
          <w:tcPr>
            <w:tcW w:w="4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Janney Montgomery Scott LLC</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KeyBanc Capital Markets, a division of McDonald Investments Inc.</w:t>
            </w:r>
          </w:p>
        </w:tc>
        <w:tc>
          <w:tcPr>
            <w:tcW w:w="4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Oppenheimer &amp; Co. Inc.</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Piper Jaffray &amp; Co.</w:t>
            </w:r>
          </w:p>
        </w:tc>
        <w:tc>
          <w:tcPr>
            <w:tcW w:w="4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TD Ameritrade, Inc.</w:t>
            </w:r>
          </w:p>
        </w:tc>
        <w:tc>
          <w:tcPr>
            <w:tcW w:w="4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B.C. Ziegler and Company</w:t>
            </w:r>
          </w:p>
        </w:tc>
        <w:tc>
          <w:tcPr>
            <w:tcW w:w="4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BB&amp;T Capital Markets, a division of Scott &amp; Stringfellow, Inc.</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 L. King &amp; Associates, Inc.</w:t>
            </w:r>
          </w:p>
        </w:tc>
        <w:tc>
          <w:tcPr>
            <w:tcW w:w="4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Crowell, Weedon &amp; Co.</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 Davidson &amp; Co.</w:t>
            </w:r>
          </w:p>
        </w:tc>
        <w:tc>
          <w:tcPr>
            <w:tcW w:w="4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Davenport &amp; Company LLC</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Doley Securities, LLC.</w:t>
            </w:r>
          </w:p>
        </w:tc>
        <w:tc>
          <w:tcPr>
            <w:tcW w:w="4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Ferris, Baker Watts, Incorporated</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Guzman &amp; Company</w:t>
            </w:r>
          </w:p>
        </w:tc>
        <w:tc>
          <w:tcPr>
            <w:tcW w:w="4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Jackson Securities, LLC</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Jefferies &amp; Company, Inc.</w:t>
            </w:r>
          </w:p>
        </w:tc>
        <w:tc>
          <w:tcPr>
            <w:tcW w:w="4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Keefe, Bruyette &amp; Woods, Inc.</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Loop Capital Markets, LLC</w:t>
            </w:r>
          </w:p>
        </w:tc>
        <w:tc>
          <w:tcPr>
            <w:tcW w:w="4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396"/>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624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S-11</w:t>
            </w:r>
          </w:p>
        </w:tc>
      </w:tr>
      <w:tr>
        <w:trPr>
          <w:trHeight w:val="222"/>
        </w:trPr>
        <w:tc>
          <w:tcPr>
            <w:tcW w:w="20" w:type="dxa"/>
            <w:vAlign w:val="bottom"/>
          </w:tcPr>
          <w:p>
            <w:pPr>
              <w:spacing w:after="0"/>
              <w:rPr>
                <w:sz w:val="19"/>
                <w:szCs w:val="19"/>
                <w:color w:val="auto"/>
              </w:rPr>
            </w:pPr>
          </w:p>
        </w:tc>
        <w:tc>
          <w:tcPr>
            <w:tcW w:w="5160" w:type="dxa"/>
            <w:vAlign w:val="bottom"/>
            <w:tcBorders>
              <w:bottom w:val="single" w:sz="8" w:color="808080"/>
            </w:tcBorders>
          </w:tcPr>
          <w:p>
            <w:pPr>
              <w:spacing w:after="0"/>
              <w:rPr>
                <w:sz w:val="19"/>
                <w:szCs w:val="19"/>
                <w:color w:val="auto"/>
              </w:rPr>
            </w:pPr>
          </w:p>
        </w:tc>
        <w:tc>
          <w:tcPr>
            <w:tcW w:w="40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spacing w:after="0"/>
        <w:tabs>
          <w:tab w:leader="none" w:pos="10280" w:val="left"/>
        </w:tabs>
        <w:rPr>
          <w:sz w:val="20"/>
          <w:szCs w:val="20"/>
          <w:color w:val="auto"/>
        </w:rPr>
      </w:pPr>
      <w:r>
        <w:rPr>
          <w:rFonts w:ascii="Times New Roman" w:cs="Times New Roman" w:eastAsia="Times New Roman" w:hAnsi="Times New Roman"/>
          <w:sz w:val="14"/>
          <w:szCs w:val="14"/>
          <w:b w:val="1"/>
          <w:bCs w:val="1"/>
          <w:color w:val="auto"/>
        </w:rPr>
        <w:t>Underwriter</w:t>
      </w:r>
      <w:r>
        <w:rPr>
          <w:sz w:val="20"/>
          <w:szCs w:val="20"/>
          <w:color w:val="auto"/>
        </w:rPr>
        <w:tab/>
      </w:r>
      <w:r>
        <w:rPr>
          <w:rFonts w:ascii="Times New Roman" w:cs="Times New Roman" w:eastAsia="Times New Roman" w:hAnsi="Times New Roman"/>
          <w:sz w:val="14"/>
          <w:szCs w:val="14"/>
          <w:b w:val="1"/>
          <w:bCs w:val="1"/>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71824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248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Mesirow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-123825</wp:posOffset>
            </wp:positionV>
            <wp:extent cx="7249160" cy="134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9160" cy="134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Muriel Siebert &amp; Co.,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Keegan &amp;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49160" cy="134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9160" cy="134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Pershing LLC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W. Baird &amp; Co.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49160" cy="134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9160" cy="134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Ryan Beck &amp; Co.,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Samuel A. Ramirez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49160" cy="134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9160" cy="134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Stone &amp; Youngberg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49160" cy="134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9160" cy="134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SunTrust Capital Markets,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Williams Capital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49160" cy="134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9160" cy="134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Wedbush Morgan Securities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49160" cy="142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9160" cy="142875"/>
                    </a:xfrm>
                    <a:prstGeom prst="rect">
                      <a:avLst/>
                    </a:prstGeom>
                    <a:noFill/>
                  </pic:spPr>
                </pic:pic>
              </a:graphicData>
            </a:graphic>
          </wp:anchor>
        </w:drawing>
      </w:r>
    </w:p>
    <w:p>
      <w:pPr>
        <w:spacing w:after="0"/>
        <w:tabs>
          <w:tab w:leader="none" w:pos="9580" w:val="left"/>
          <w:tab w:leader="none" w:pos="10420" w:val="left"/>
        </w:tabs>
        <w:rPr>
          <w:sz w:val="20"/>
          <w:szCs w:val="20"/>
          <w:color w:val="auto"/>
        </w:rPr>
      </w:pPr>
      <w:r>
        <w:rPr>
          <w:rFonts w:ascii="Times New Roman" w:cs="Times New Roman" w:eastAsia="Times New Roman" w:hAnsi="Times New Roman"/>
          <w:sz w:val="18"/>
          <w:szCs w:val="18"/>
          <w:color w:val="auto"/>
        </w:rPr>
        <w:t>Total</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300,000,000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6102350</wp:posOffset>
            </wp:positionH>
            <wp:positionV relativeFrom="paragraph">
              <wp:posOffset>14605</wp:posOffset>
            </wp:positionV>
            <wp:extent cx="10833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83310" cy="8255"/>
                    </a:xfrm>
                    <a:prstGeom prst="rect">
                      <a:avLst/>
                    </a:prstGeom>
                    <a:noFill/>
                  </pic:spPr>
                </pic:pic>
              </a:graphicData>
            </a:graphic>
          </wp:anchor>
        </w:drawing>
        <w:drawing>
          <wp:anchor simplePos="0" relativeHeight="251657728" behindDoc="1" locked="0" layoutInCell="0" allowOverlap="1">
            <wp:simplePos x="0" y="0"/>
            <wp:positionH relativeFrom="column">
              <wp:posOffset>6102350</wp:posOffset>
            </wp:positionH>
            <wp:positionV relativeFrom="paragraph">
              <wp:posOffset>40005</wp:posOffset>
            </wp:positionV>
            <wp:extent cx="10833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83310" cy="8255"/>
                    </a:xfrm>
                    <a:prstGeom prst="rect">
                      <a:avLst/>
                    </a:prstGeom>
                    <a:noFill/>
                  </pic:spPr>
                </pic:pic>
              </a:graphicData>
            </a:graphic>
          </wp:anchor>
        </w:drawing>
      </w:r>
    </w:p>
    <w:p>
      <w:pPr>
        <w:spacing w:after="0" w:line="157" w:lineRule="exact"/>
        <w:rPr>
          <w:sz w:val="20"/>
          <w:szCs w:val="20"/>
          <w:color w:val="auto"/>
        </w:rPr>
      </w:pPr>
    </w:p>
    <w:p>
      <w:pPr>
        <w:ind w:firstLine="261"/>
        <w:spacing w:after="0" w:line="258" w:lineRule="auto"/>
        <w:rPr>
          <w:sz w:val="20"/>
          <w:szCs w:val="20"/>
          <w:color w:val="auto"/>
        </w:rPr>
      </w:pPr>
      <w:r>
        <w:rPr>
          <w:rFonts w:ascii="Times New Roman" w:cs="Times New Roman" w:eastAsia="Times New Roman" w:hAnsi="Times New Roman"/>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73" w:lineRule="exact"/>
        <w:rPr>
          <w:sz w:val="20"/>
          <w:szCs w:val="20"/>
          <w:color w:val="auto"/>
        </w:rPr>
      </w:pPr>
    </w:p>
    <w:p>
      <w:pPr>
        <w:ind w:firstLine="261"/>
        <w:spacing w:after="0" w:line="271"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of 1933, as amended, or to contribute to payments the underwriters may be required to make in respect of those liabilities.</w:t>
      </w:r>
    </w:p>
    <w:p>
      <w:pPr>
        <w:spacing w:after="0" w:line="62" w:lineRule="exact"/>
        <w:rPr>
          <w:sz w:val="20"/>
          <w:szCs w:val="20"/>
          <w:color w:val="auto"/>
        </w:rPr>
      </w:pPr>
    </w:p>
    <w:p>
      <w:pPr>
        <w:jc w:val="both"/>
        <w:ind w:right="300" w:firstLine="261"/>
        <w:spacing w:after="0" w:line="280" w:lineRule="auto"/>
        <w:rPr>
          <w:sz w:val="20"/>
          <w:szCs w:val="20"/>
          <w:color w:val="auto"/>
        </w:rPr>
      </w:pPr>
      <w:r>
        <w:rPr>
          <w:rFonts w:ascii="Times New Roman" w:cs="Times New Roman" w:eastAsia="Times New Roman" w:hAnsi="Times New Roman"/>
          <w:sz w:val="17"/>
          <w:szCs w:val="17"/>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Each underwriter has represented, warranted and agreed that:</w:t>
      </w:r>
    </w:p>
    <w:p>
      <w:pPr>
        <w:spacing w:after="0" w:line="111" w:lineRule="exact"/>
        <w:rPr>
          <w:sz w:val="20"/>
          <w:szCs w:val="20"/>
          <w:color w:val="auto"/>
        </w:rPr>
      </w:pPr>
    </w:p>
    <w:p>
      <w:pPr>
        <w:ind w:left="340" w:right="100" w:firstLine="274"/>
        <w:spacing w:after="0" w:line="249" w:lineRule="auto"/>
        <w:tabs>
          <w:tab w:leader="none" w:pos="8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(the “Relevant Implementation Date”), it has not made and will not make an offer of notes to the public in that Relevant Member State prior to the publication of a prospectus in relation to the notes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notes to the public in that Relevant Member State at any time:</w:t>
      </w:r>
    </w:p>
    <w:p>
      <w:pPr>
        <w:spacing w:after="0" w:line="84" w:lineRule="exact"/>
        <w:rPr>
          <w:rFonts w:ascii="Times New Roman" w:cs="Times New Roman" w:eastAsia="Times New Roman" w:hAnsi="Times New Roman"/>
          <w:sz w:val="18"/>
          <w:szCs w:val="18"/>
          <w:color w:val="auto"/>
        </w:rPr>
      </w:pPr>
    </w:p>
    <w:p>
      <w:pPr>
        <w:ind w:left="700" w:right="480" w:firstLine="258"/>
        <w:spacing w:after="0" w:line="271" w:lineRule="auto"/>
        <w:tabs>
          <w:tab w:leader="none" w:pos="117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legal entities which are authorized or regulated to operate in the financial markets or, if not so authorized or regulated, whose corporate purpose is solely to invest in securities;</w:t>
      </w:r>
    </w:p>
    <w:p>
      <w:pPr>
        <w:spacing w:after="0" w:line="74" w:lineRule="exact"/>
        <w:rPr>
          <w:rFonts w:ascii="Times New Roman" w:cs="Times New Roman" w:eastAsia="Times New Roman" w:hAnsi="Times New Roman"/>
          <w:sz w:val="18"/>
          <w:szCs w:val="18"/>
          <w:color w:val="auto"/>
        </w:rPr>
      </w:pPr>
    </w:p>
    <w:p>
      <w:pPr>
        <w:ind w:left="700" w:right="120" w:firstLine="258"/>
        <w:spacing w:after="0" w:line="271" w:lineRule="auto"/>
        <w:tabs>
          <w:tab w:leader="none" w:pos="122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 or</w:t>
      </w:r>
    </w:p>
    <w:p>
      <w:pPr>
        <w:spacing w:after="0" w:line="74" w:lineRule="exact"/>
        <w:rPr>
          <w:rFonts w:ascii="Times New Roman" w:cs="Times New Roman" w:eastAsia="Times New Roman" w:hAnsi="Times New Roman"/>
          <w:sz w:val="18"/>
          <w:szCs w:val="18"/>
          <w:color w:val="auto"/>
        </w:rPr>
      </w:pPr>
    </w:p>
    <w:p>
      <w:pPr>
        <w:ind w:left="1260" w:hanging="302"/>
        <w:spacing w:after="0"/>
        <w:tabs>
          <w:tab w:leader="none" w:pos="126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other circumstances which do not require the publication by the Issuer of a prospectus pursuant to Article 3 of the Prospectus Directive.</w:t>
      </w:r>
    </w:p>
    <w:p>
      <w:pPr>
        <w:spacing w:after="0" w:line="122" w:lineRule="exact"/>
        <w:rPr>
          <w:sz w:val="20"/>
          <w:szCs w:val="20"/>
          <w:color w:val="auto"/>
        </w:rPr>
      </w:pPr>
    </w:p>
    <w:p>
      <w:pPr>
        <w:ind w:right="720" w:firstLine="264"/>
        <w:spacing w:after="0" w:line="27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of notes to the public” in relation to any notes in any Relevant Member State means the communication in any form and by any means of sufficient</w:t>
      </w:r>
    </w:p>
    <w:p>
      <w:pPr>
        <w:spacing w:after="0" w:line="1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1" w:right="29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auto"/>
        </w:rPr>
        <w:t>information on the terms of the offer and the notes to be offered so as to enable an investor to decide to purchase or subscribe the notes, as the same may be varied in that Member State by any means implementing the Prospectus Directive in that Member State, and the expression “Prospectus Directive” means Directive 2003/71/EC and includes any relevant implementing measure in each Relevant Member State.</w:t>
      </w:r>
    </w:p>
    <w:p>
      <w:pPr>
        <w:spacing w:after="0" w:line="73" w:lineRule="exact"/>
        <w:rPr>
          <w:sz w:val="20"/>
          <w:szCs w:val="20"/>
          <w:color w:val="auto"/>
        </w:rPr>
      </w:pPr>
    </w:p>
    <w:p>
      <w:pPr>
        <w:ind w:left="340" w:right="320" w:firstLine="274"/>
        <w:spacing w:after="0" w:line="280" w:lineRule="auto"/>
        <w:tabs>
          <w:tab w:leader="none" w:pos="85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has only communicated or caused to be communicated and will only communicate or cause to be communicated an invitation or inducement to engage in investment activity (within the meaning of Section 21 of the U.K. Financial Services and Markets Act 2000 (“FSMA”) received by it in connection with the issue or sale of the notes in circumstances in which Section 21(1) of FSMA does not apply to the Issuer or the cable guarantors; and</w:t>
      </w:r>
    </w:p>
    <w:p>
      <w:pPr>
        <w:spacing w:after="0" w:line="69" w:lineRule="exact"/>
        <w:rPr>
          <w:rFonts w:ascii="Times New Roman" w:cs="Times New Roman" w:eastAsia="Times New Roman" w:hAnsi="Times New Roman"/>
          <w:sz w:val="17"/>
          <w:szCs w:val="17"/>
          <w:color w:val="auto"/>
        </w:rPr>
      </w:pPr>
    </w:p>
    <w:p>
      <w:pPr>
        <w:ind w:left="340" w:right="180" w:firstLine="274"/>
        <w:spacing w:after="0" w:line="271" w:lineRule="auto"/>
        <w:tabs>
          <w:tab w:leader="none" w:pos="8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with and will comply with all applicable provisions of FSMA with respect to anything done by it in relation to the notes in, from or otherwise involving the United Kingdom.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Over-Allotment Option</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have granted to the underwriters an option, exercisable for 15 days from the date of this prospectus supplement, to purchase up to an additional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$45,000,000 aggregate principal amount of notes at the public offering price less the underwriting discount. The underwriters may exercise the option solely for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purpose of covering over-allotments, if any, in connection with this offering. To the extent the option is exercised, each underwriter must purchase a number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additional notes approximately proportionate to that underwriter’s initial purchase commitment. If the underwriters exercise their over-allotment option in full</w:t>
      </w:r>
    </w:p>
    <w:p>
      <w:pPr>
        <w:spacing w:after="0" w:line="16" w:lineRule="exact"/>
        <w:rPr>
          <w:sz w:val="20"/>
          <w:szCs w:val="20"/>
          <w:color w:val="auto"/>
        </w:rPr>
      </w:pPr>
    </w:p>
    <w:p>
      <w:pPr>
        <w:ind w:right="580"/>
        <w:spacing w:after="0" w:line="250" w:lineRule="auto"/>
        <w:rPr>
          <w:sz w:val="20"/>
          <w:szCs w:val="20"/>
          <w:color w:val="auto"/>
        </w:rPr>
      </w:pPr>
      <w:r>
        <w:rPr>
          <w:rFonts w:ascii="Times New Roman" w:cs="Times New Roman" w:eastAsia="Times New Roman" w:hAnsi="Times New Roman"/>
          <w:sz w:val="18"/>
          <w:szCs w:val="18"/>
          <w:color w:val="auto"/>
        </w:rPr>
        <w:t>the total price to the public would be $ , the total underwriting discounts and commissions would be $ and the total proceeds, before deducting expenses, to us would be $ .</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underwriters have advised us that they propose initially to offer the notes to the public at the public offering price on the cover page of this prospectus</w:t>
      </w:r>
    </w:p>
    <w:p>
      <w:pPr>
        <w:spacing w:after="0" w:line="22" w:lineRule="exact"/>
        <w:rPr>
          <w:sz w:val="20"/>
          <w:szCs w:val="20"/>
          <w:color w:val="auto"/>
        </w:rPr>
      </w:pPr>
    </w:p>
    <w:p>
      <w:pPr>
        <w:ind w:right="360"/>
        <w:spacing w:after="0" w:line="248" w:lineRule="auto"/>
        <w:rPr>
          <w:sz w:val="20"/>
          <w:szCs w:val="20"/>
          <w:color w:val="auto"/>
        </w:rPr>
      </w:pPr>
      <w:r>
        <w:rPr>
          <w:rFonts w:ascii="Times New Roman" w:cs="Times New Roman" w:eastAsia="Times New Roman" w:hAnsi="Times New Roman"/>
          <w:sz w:val="18"/>
          <w:szCs w:val="18"/>
          <w:color w:val="auto"/>
        </w:rPr>
        <w:t>supplement, and to dealers at that price less a concession not in excess of $ per note for retail orders and $ per note for institutional orders. The underwriters may allow, and the dealers may reallow, a discount not in excess of $ per note to other dealers. After the initial public offering, the public offering prices, concessions and discounts may be changed.</w:t>
      </w:r>
    </w:p>
    <w:p>
      <w:pPr>
        <w:spacing w:after="0" w:line="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expenses of the offering, not including the underwriting discount, are estimated to be $300,000 and are payable by us.</w:t>
      </w:r>
    </w:p>
    <w:p>
      <w:pPr>
        <w:spacing w:after="0" w:line="111" w:lineRule="exact"/>
        <w:rPr>
          <w:sz w:val="20"/>
          <w:szCs w:val="20"/>
          <w:color w:val="auto"/>
        </w:rPr>
      </w:pPr>
    </w:p>
    <w:p>
      <w:pPr>
        <w:ind w:firstLine="261"/>
        <w:spacing w:after="0" w:line="271" w:lineRule="auto"/>
        <w:rPr>
          <w:sz w:val="20"/>
          <w:szCs w:val="20"/>
          <w:color w:val="auto"/>
        </w:rPr>
      </w:pPr>
      <w:r>
        <w:rPr>
          <w:rFonts w:ascii="Times New Roman" w:cs="Times New Roman" w:eastAsia="Times New Roman" w:hAnsi="Times New Roman"/>
          <w:sz w:val="18"/>
          <w:szCs w:val="18"/>
          <w:color w:val="auto"/>
        </w:rPr>
        <w:t>The following table shows the underwriting discounts and commissions that we are to pay to the underwriters in connection with this offering. These amounts are shown assuming both no exercise and full exercise of the underwriters’ option to purchase additional notes.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7880" w:type="dxa"/>
            <w:vAlign w:val="bottom"/>
          </w:tcPr>
          <w:p>
            <w:pPr>
              <w:spacing w:after="0"/>
              <w:rPr>
                <w:sz w:val="15"/>
                <w:szCs w:val="15"/>
                <w:color w:val="auto"/>
              </w:rPr>
            </w:pPr>
          </w:p>
        </w:tc>
        <w:tc>
          <w:tcPr>
            <w:tcW w:w="9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No Exercise</w:t>
            </w:r>
          </w:p>
        </w:tc>
        <w:tc>
          <w:tcPr>
            <w:tcW w:w="920" w:type="dxa"/>
            <w:vAlign w:val="bottom"/>
          </w:tcPr>
          <w:p>
            <w:pPr>
              <w:spacing w:after="0"/>
              <w:rPr>
                <w:sz w:val="15"/>
                <w:szCs w:val="15"/>
                <w:color w:val="auto"/>
              </w:rPr>
            </w:pP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Full Exercise</w:t>
            </w:r>
          </w:p>
        </w:tc>
        <w:tc>
          <w:tcPr>
            <w:tcW w:w="680" w:type="dxa"/>
            <w:vAlign w:val="bottom"/>
          </w:tcPr>
          <w:p>
            <w:pPr>
              <w:spacing w:after="0"/>
              <w:rPr>
                <w:sz w:val="15"/>
                <w:szCs w:val="15"/>
                <w:color w:val="auto"/>
              </w:rPr>
            </w:pPr>
          </w:p>
        </w:tc>
      </w:tr>
      <w:tr>
        <w:trPr>
          <w:trHeight w:val="212"/>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note (retail orders)</w:t>
            </w:r>
          </w:p>
        </w:tc>
        <w:tc>
          <w:tcPr>
            <w:tcW w:w="920" w:type="dxa"/>
            <w:vAlign w:val="bottom"/>
            <w:shd w:val="clear" w:color="auto" w:fill="CCEEFF"/>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gridSpan w:val="2"/>
            <w:shd w:val="clear" w:color="auto" w:fill="CCEEFF"/>
          </w:tcPr>
          <w:p>
            <w:pPr>
              <w:jc w:val="right"/>
              <w:ind w:right="82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Per note (institutional orders)</w:t>
            </w:r>
          </w:p>
        </w:tc>
        <w:tc>
          <w:tcPr>
            <w:tcW w:w="920" w:type="dxa"/>
            <w:vAlign w:val="bottom"/>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gridSpan w:val="2"/>
          </w:tcPr>
          <w:p>
            <w:pPr>
              <w:jc w:val="right"/>
              <w:ind w:right="82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shd w:val="clear" w:color="auto" w:fill="CCEEFF"/>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gridSpan w:val="2"/>
            <w:shd w:val="clear" w:color="auto" w:fill="CCEEFF"/>
          </w:tcPr>
          <w:p>
            <w:pPr>
              <w:jc w:val="right"/>
              <w:ind w:right="82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Issue of Notes</w:t>
      </w:r>
    </w:p>
    <w:p>
      <w:pPr>
        <w:spacing w:after="0" w:line="113" w:lineRule="exact"/>
        <w:rPr>
          <w:sz w:val="20"/>
          <w:szCs w:val="20"/>
          <w:color w:val="auto"/>
        </w:rPr>
      </w:pPr>
    </w:p>
    <w:p>
      <w:pPr>
        <w:ind w:right="100" w:firstLine="261"/>
        <w:spacing w:after="0" w:line="270" w:lineRule="auto"/>
        <w:rPr>
          <w:sz w:val="20"/>
          <w:szCs w:val="20"/>
          <w:color w:val="auto"/>
        </w:rPr>
      </w:pPr>
      <w:r>
        <w:rPr>
          <w:rFonts w:ascii="Times New Roman" w:cs="Times New Roman" w:eastAsia="Times New Roman" w:hAnsi="Times New Roman"/>
          <w:sz w:val="17"/>
          <w:szCs w:val="17"/>
          <w:color w:val="auto"/>
        </w:rPr>
        <w:t>The notes are a new issue of securities with no established trading market. We intend to apply to list the notes on the New York Stock Exchange, and we expect trading in the notes on the New York Stock Exchange to begin within 30 days after the original issue date.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Stabilization and Short Positions</w:t>
      </w:r>
    </w:p>
    <w:p>
      <w:pPr>
        <w:spacing w:after="0" w:line="113" w:lineRule="exact"/>
        <w:rPr>
          <w:sz w:val="20"/>
          <w:szCs w:val="20"/>
          <w:color w:val="auto"/>
        </w:rPr>
      </w:pPr>
    </w:p>
    <w:p>
      <w:pPr>
        <w:ind w:right="500" w:firstLine="264"/>
        <w:spacing w:after="0" w:line="271" w:lineRule="auto"/>
        <w:rPr>
          <w:sz w:val="20"/>
          <w:szCs w:val="20"/>
          <w:color w:val="auto"/>
        </w:rPr>
      </w:pPr>
      <w:r>
        <w:rPr>
          <w:rFonts w:ascii="Times New Roman" w:cs="Times New Roman" w:eastAsia="Times New Roman" w:hAnsi="Times New Roman"/>
          <w:sz w:val="18"/>
          <w:szCs w:val="18"/>
          <w:color w:val="auto"/>
        </w:rPr>
        <w:t>In connection with the offering, the underwriters are permitted to engage in transactions that stabilize, the market price of the notes. These stabilization transactions consist of bids or purchases to peg, fix or</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maintain the price of the notes. Specifically, the underwriters may sell a principal amount of notes greater than they are obligated to purchase under the underwriting agreement, creating a short position. A short sale is covered if the short position is no greater than the principal amount of notes available for purchase by the underwriters under the over-allotment option. The underwriters can close out a covered short sale by exercising the over-allotment option or purchasing notes in the open market. In determining the source of notes to close out a covered short sale, the underwriters will consider, among other things, the open market price of shares compared to the price available under the over-allotment option. The underwriters may also sell a principal amount of notes in excess of the over-allotment option, creating a naked short position. The underwriters must close out any naked short position by purchasing notes in the open market. A naked short position is more likely to be created if the underwriters are concerned that there may be downward pressure on the price of the notes in the open market after pricing that could adversely affect investors who purchase in this offering. As an additional means of facilitating this offering, the underwriters may bid for, and purchase, notes in the open market to stabilize the price of the notes. Purchases of a security to stabilize the price or to reduce a short position could cause the price of the security to be higher than it might be in the absence of such purchases.</w:t>
      </w:r>
    </w:p>
    <w:p>
      <w:pPr>
        <w:spacing w:after="0" w:line="84" w:lineRule="exact"/>
        <w:rPr>
          <w:sz w:val="20"/>
          <w:szCs w:val="20"/>
          <w:color w:val="auto"/>
        </w:rPr>
      </w:pPr>
    </w:p>
    <w:p>
      <w:pPr>
        <w:ind w:right="60" w:firstLine="264"/>
        <w:spacing w:after="0" w:line="258" w:lineRule="auto"/>
        <w:rPr>
          <w:sz w:val="20"/>
          <w:szCs w:val="20"/>
          <w:color w:val="auto"/>
        </w:rPr>
      </w:pPr>
      <w:r>
        <w:rPr>
          <w:rFonts w:ascii="Times New Roman" w:cs="Times New Roman" w:eastAsia="Times New Roman" w:hAnsi="Times New Roman"/>
          <w:sz w:val="18"/>
          <w:szCs w:val="18"/>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Alternative Settlement Date</w:t>
      </w:r>
    </w:p>
    <w:p>
      <w:pPr>
        <w:spacing w:after="0" w:line="113" w:lineRule="exact"/>
        <w:rPr>
          <w:sz w:val="20"/>
          <w:szCs w:val="20"/>
          <w:color w:val="auto"/>
        </w:rPr>
      </w:pPr>
    </w:p>
    <w:p>
      <w:pPr>
        <w:ind w:right="20" w:firstLine="264"/>
        <w:spacing w:after="0" w:line="250" w:lineRule="auto"/>
        <w:rPr>
          <w:sz w:val="20"/>
          <w:szCs w:val="20"/>
          <w:color w:val="auto"/>
        </w:rPr>
      </w:pPr>
      <w:r>
        <w:rPr>
          <w:rFonts w:ascii="Times New Roman" w:cs="Times New Roman" w:eastAsia="Times New Roman" w:hAnsi="Times New Roman"/>
          <w:sz w:val="18"/>
          <w:szCs w:val="18"/>
          <w:color w:val="auto"/>
        </w:rPr>
        <w:t>It is expected that delivery of the notes will be made on or about the date specified on the cover page of this prospectus supplement, which will be the fifth business day following the date of this prospectus supplement. Under Rule 15c6-1 of the Securities and Exchange Commission under the Securities Exchange Act of 1934, as amended, trades in the secondary market generally are required to settle in three business days, unless the parties to any such trade expressly agree otherwise. Accordingly, the purchasers who wish to trade notes on the date of this prospectus supplement or the next succeeding business day will be required to specify an alternate settlement cycle at the time of any such trade to prevent failed settlement. Purchasers of notes who wish to trade notes on the date of this prospectus supplement or the next succeeding business day should consult their own advisors.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13" w:lineRule="exact"/>
        <w:rPr>
          <w:sz w:val="20"/>
          <w:szCs w:val="20"/>
          <w:color w:val="auto"/>
        </w:rPr>
      </w:pPr>
    </w:p>
    <w:p>
      <w:pPr>
        <w:ind w:right="320" w:firstLine="261"/>
        <w:spacing w:after="0" w:line="271" w:lineRule="auto"/>
        <w:rPr>
          <w:sz w:val="20"/>
          <w:szCs w:val="20"/>
          <w:color w:val="auto"/>
        </w:rPr>
      </w:pPr>
      <w:r>
        <w:rPr>
          <w:rFonts w:ascii="Times New Roman" w:cs="Times New Roman" w:eastAsia="Times New Roman" w:hAnsi="Times New Roman"/>
          <w:sz w:val="18"/>
          <w:szCs w:val="18"/>
          <w:color w:val="auto"/>
        </w:rPr>
        <w:t>The underwriters and their affiliates have engaged in, and may in the future engage in, investment banking and other commercial dealings in the ordinary course of business with us. They have received customary fees and commissions for these transactions.</w:t>
      </w:r>
    </w:p>
    <w:p>
      <w:pPr>
        <w:spacing w:after="0" w:line="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Dr. Judith Rodin, our director, is a member of the board of directors of Citigroup Inc., an affiliate of Citigroup Global Markets Inc.</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13" w:lineRule="exact"/>
        <w:rPr>
          <w:sz w:val="20"/>
          <w:szCs w:val="20"/>
          <w:color w:val="auto"/>
        </w:rPr>
      </w:pPr>
    </w:p>
    <w:p>
      <w:pPr>
        <w:ind w:right="100" w:firstLine="261"/>
        <w:spacing w:after="0" w:line="258" w:lineRule="auto"/>
        <w:rPr>
          <w:sz w:val="20"/>
          <w:szCs w:val="20"/>
          <w:color w:val="auto"/>
        </w:rPr>
      </w:pPr>
      <w:r>
        <w:rPr>
          <w:rFonts w:ascii="Times New Roman" w:cs="Times New Roman" w:eastAsia="Times New Roman" w:hAnsi="Times New Roman"/>
          <w:sz w:val="18"/>
          <w:szCs w:val="18"/>
          <w:color w:val="auto"/>
        </w:rPr>
        <w:t xml:space="preserve">Various legal matters relating to the offering will be passed upon for us by Arthur R. Block, Esquire, Senior Vice President and General Counsel of Comcast Corporation, Thomas R. Nathan, Esquire, Senior Vice President of the cable guarantors, and by Davis Polk &amp; Wardwell, Menlo Park, California. Cahill Gordon &amp; Reindel </w:t>
      </w:r>
      <w:r>
        <w:rPr>
          <w:rFonts w:ascii="Times New Roman" w:cs="Times New Roman" w:eastAsia="Times New Roman" w:hAnsi="Times New Roman"/>
          <w:sz w:val="11"/>
          <w:szCs w:val="11"/>
          <w:color w:val="auto"/>
        </w:rPr>
        <w:t>LLP</w:t>
      </w:r>
      <w:r>
        <w:rPr>
          <w:rFonts w:ascii="Times New Roman" w:cs="Times New Roman" w:eastAsia="Times New Roman" w:hAnsi="Times New Roman"/>
          <w:sz w:val="18"/>
          <w:szCs w:val="18"/>
          <w:color w:val="auto"/>
        </w:rPr>
        <w:t>, New York, New York, is representing the underwriters.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right"/>
        <w:ind w:right="2939"/>
        <w:spacing w:after="0"/>
        <w:rPr>
          <w:sz w:val="20"/>
          <w:szCs w:val="20"/>
          <w:color w:val="auto"/>
        </w:rPr>
      </w:pPr>
      <w:r>
        <w:rPr>
          <w:rFonts w:ascii="Times New Roman" w:cs="Times New Roman" w:eastAsia="Times New Roman" w:hAnsi="Times New Roman"/>
          <w:sz w:val="18"/>
          <w:szCs w:val="18"/>
          <w:color w:val="auto"/>
        </w:rPr>
        <w:t>(This page has been left blank intentionally)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411" w:right="1440"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511810</wp:posOffset>
            </wp:positionV>
            <wp:extent cx="7249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2926715</wp:posOffset>
            </wp:positionH>
            <wp:positionV relativeFrom="paragraph">
              <wp:posOffset>83185</wp:posOffset>
            </wp:positionV>
            <wp:extent cx="1402715" cy="3613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02715" cy="36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are types of securities that may be offered and sold under this prospectus:</w:t>
      </w:r>
    </w:p>
    <w:p>
      <w:pPr>
        <w:spacing w:after="0" w:line="111" w:lineRule="exact"/>
        <w:rPr>
          <w:sz w:val="20"/>
          <w:szCs w:val="20"/>
          <w:color w:val="auto"/>
        </w:rPr>
      </w:pPr>
    </w:p>
    <w:p>
      <w:pPr>
        <w:ind w:left="820" w:hanging="329"/>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senior debt securities</w:t>
      </w:r>
    </w:p>
    <w:p>
      <w:pPr>
        <w:spacing w:after="0" w:line="22" w:lineRule="exact"/>
        <w:rPr>
          <w:rFonts w:ascii="Times New Roman" w:cs="Times New Roman" w:eastAsia="Times New Roman" w:hAnsi="Times New Roman"/>
          <w:sz w:val="18"/>
          <w:szCs w:val="18"/>
          <w:color w:val="auto"/>
        </w:rPr>
      </w:pPr>
    </w:p>
    <w:p>
      <w:pPr>
        <w:ind w:left="820" w:hanging="329"/>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subordinated debt securities</w:t>
      </w:r>
    </w:p>
    <w:p>
      <w:pPr>
        <w:spacing w:after="0" w:line="4" w:lineRule="exact"/>
        <w:rPr>
          <w:rFonts w:ascii="Times New Roman" w:cs="Times New Roman" w:eastAsia="Times New Roman" w:hAnsi="Times New Roman"/>
          <w:sz w:val="18"/>
          <w:szCs w:val="18"/>
          <w:color w:val="auto"/>
        </w:rPr>
      </w:pPr>
    </w:p>
    <w:p>
      <w:pPr>
        <w:ind w:left="820" w:hanging="329"/>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w:t>
      </w:r>
    </w:p>
    <w:p>
      <w:pPr>
        <w:spacing w:after="0" w:line="4" w:lineRule="exact"/>
        <w:rPr>
          <w:rFonts w:ascii="Times New Roman" w:cs="Times New Roman" w:eastAsia="Times New Roman" w:hAnsi="Times New Roman"/>
          <w:sz w:val="18"/>
          <w:szCs w:val="18"/>
          <w:color w:val="auto"/>
        </w:rPr>
      </w:pPr>
    </w:p>
    <w:p>
      <w:pPr>
        <w:ind w:left="820" w:hanging="329"/>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contracts</w:t>
      </w:r>
    </w:p>
    <w:p>
      <w:pPr>
        <w:spacing w:after="0" w:line="4" w:lineRule="exact"/>
        <w:rPr>
          <w:rFonts w:ascii="Times New Roman" w:cs="Times New Roman" w:eastAsia="Times New Roman" w:hAnsi="Times New Roman"/>
          <w:sz w:val="18"/>
          <w:szCs w:val="18"/>
          <w:color w:val="auto"/>
        </w:rPr>
      </w:pPr>
    </w:p>
    <w:p>
      <w:pPr>
        <w:ind w:left="820" w:hanging="329"/>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w:t>
      </w:r>
    </w:p>
    <w:p>
      <w:pPr>
        <w:spacing w:after="0" w:line="4" w:lineRule="exact"/>
        <w:rPr>
          <w:rFonts w:ascii="Times New Roman" w:cs="Times New Roman" w:eastAsia="Times New Roman" w:hAnsi="Times New Roman"/>
          <w:sz w:val="18"/>
          <w:szCs w:val="18"/>
          <w:color w:val="auto"/>
        </w:rPr>
      </w:pPr>
    </w:p>
    <w:p>
      <w:pPr>
        <w:ind w:left="820" w:hanging="329"/>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4" w:lineRule="exact"/>
        <w:rPr>
          <w:rFonts w:ascii="Times New Roman" w:cs="Times New Roman" w:eastAsia="Times New Roman" w:hAnsi="Times New Roman"/>
          <w:sz w:val="18"/>
          <w:szCs w:val="18"/>
          <w:color w:val="auto"/>
        </w:rPr>
      </w:pPr>
    </w:p>
    <w:p>
      <w:pPr>
        <w:ind w:left="820" w:hanging="329"/>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Depositary shares</w:t>
      </w:r>
    </w:p>
    <w:p>
      <w:pPr>
        <w:spacing w:after="0" w:line="4" w:lineRule="exact"/>
        <w:rPr>
          <w:rFonts w:ascii="Times New Roman" w:cs="Times New Roman" w:eastAsia="Times New Roman" w:hAnsi="Times New Roman"/>
          <w:sz w:val="18"/>
          <w:szCs w:val="18"/>
          <w:color w:val="auto"/>
        </w:rPr>
      </w:pPr>
    </w:p>
    <w:p>
      <w:pPr>
        <w:ind w:left="820" w:hanging="329"/>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w:t>
      </w:r>
    </w:p>
    <w:p>
      <w:pPr>
        <w:spacing w:after="0" w:line="4" w:lineRule="exact"/>
        <w:rPr>
          <w:rFonts w:ascii="Times New Roman" w:cs="Times New Roman" w:eastAsia="Times New Roman" w:hAnsi="Times New Roman"/>
          <w:sz w:val="18"/>
          <w:szCs w:val="18"/>
          <w:color w:val="auto"/>
        </w:rPr>
      </w:pPr>
    </w:p>
    <w:p>
      <w:pPr>
        <w:ind w:left="820" w:hanging="329"/>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Special Common Stock</w:t>
      </w:r>
    </w:p>
    <w:p>
      <w:pPr>
        <w:spacing w:after="0" w:line="93" w:lineRule="exact"/>
        <w:rPr>
          <w:sz w:val="20"/>
          <w:szCs w:val="20"/>
          <w:color w:val="auto"/>
        </w:rPr>
      </w:pPr>
    </w:p>
    <w:p>
      <w:pPr>
        <w:ind w:right="340" w:firstLine="441"/>
        <w:spacing w:after="0" w:line="271" w:lineRule="auto"/>
        <w:rPr>
          <w:sz w:val="20"/>
          <w:szCs w:val="20"/>
          <w:color w:val="auto"/>
        </w:rPr>
      </w:pPr>
      <w:r>
        <w:rPr>
          <w:rFonts w:ascii="Times New Roman" w:cs="Times New Roman" w:eastAsia="Times New Roman" w:hAnsi="Times New Roman"/>
          <w:sz w:val="18"/>
          <w:szCs w:val="18"/>
          <w:color w:val="auto"/>
        </w:rPr>
        <w:t>If indicated in the relevant prospectus supplement, the securities may be fully and unconditionally guaranteed by a number of our wholly-owned cable subsidiaries named in this prospectus.</w:t>
      </w:r>
    </w:p>
    <w:p>
      <w:pPr>
        <w:spacing w:after="0" w:line="62" w:lineRule="exact"/>
        <w:rPr>
          <w:sz w:val="20"/>
          <w:szCs w:val="20"/>
          <w:color w:val="auto"/>
        </w:rPr>
      </w:pPr>
    </w:p>
    <w:p>
      <w:pPr>
        <w:ind w:right="140" w:firstLine="441"/>
        <w:spacing w:after="0" w:line="258" w:lineRule="auto"/>
        <w:rPr>
          <w:sz w:val="20"/>
          <w:szCs w:val="20"/>
          <w:color w:val="auto"/>
        </w:rPr>
      </w:pPr>
      <w:r>
        <w:rPr>
          <w:rFonts w:ascii="Times New Roman" w:cs="Times New Roman" w:eastAsia="Times New Roman" w:hAnsi="Times New Roman"/>
          <w:sz w:val="18"/>
          <w:szCs w:val="18"/>
          <w:color w:val="auto"/>
        </w:rPr>
        <w:t>Our Class A Common Stock and Class A Special Common Stock are quoted on The Nasdaq National Market under the ticker symbols “CMCSA” and “CMCSK”. On March 27, 2006, the reported last sale prices on The Nasdaq National Market for our Class A Common Stock and our Class A Special Common Stock were $26.72 and $26.64.</w:t>
      </w:r>
    </w:p>
    <w:p>
      <w:pPr>
        <w:spacing w:after="0" w:line="73" w:lineRule="exact"/>
        <w:rPr>
          <w:sz w:val="20"/>
          <w:szCs w:val="20"/>
          <w:color w:val="auto"/>
        </w:rPr>
      </w:pPr>
    </w:p>
    <w:p>
      <w:pPr>
        <w:ind w:right="400" w:firstLine="438"/>
        <w:spacing w:after="0" w:line="271" w:lineRule="auto"/>
        <w:rPr>
          <w:sz w:val="20"/>
          <w:szCs w:val="20"/>
          <w:color w:val="auto"/>
        </w:rPr>
      </w:pPr>
      <w:r>
        <w:rPr>
          <w:rFonts w:ascii="Times New Roman" w:cs="Times New Roman" w:eastAsia="Times New Roman" w:hAnsi="Times New Roman"/>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62" w:lineRule="exact"/>
        <w:rPr>
          <w:sz w:val="20"/>
          <w:szCs w:val="20"/>
          <w:color w:val="auto"/>
        </w:rPr>
      </w:pPr>
    </w:p>
    <w:p>
      <w:pPr>
        <w:ind w:left="800" w:hanging="331"/>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w:t>
      </w:r>
    </w:p>
    <w:p>
      <w:pPr>
        <w:spacing w:after="0" w:line="22" w:lineRule="exact"/>
        <w:rPr>
          <w:rFonts w:ascii="Times New Roman" w:cs="Times New Roman" w:eastAsia="Times New Roman" w:hAnsi="Times New Roman"/>
          <w:sz w:val="18"/>
          <w:szCs w:val="18"/>
          <w:color w:val="auto"/>
        </w:rPr>
      </w:pPr>
    </w:p>
    <w:p>
      <w:pPr>
        <w:ind w:left="800" w:hanging="331"/>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w:t>
      </w:r>
    </w:p>
    <w:p>
      <w:pPr>
        <w:spacing w:after="0" w:line="4" w:lineRule="exact"/>
        <w:rPr>
          <w:rFonts w:ascii="Times New Roman" w:cs="Times New Roman" w:eastAsia="Times New Roman" w:hAnsi="Times New Roman"/>
          <w:sz w:val="18"/>
          <w:szCs w:val="18"/>
          <w:color w:val="auto"/>
        </w:rPr>
      </w:pPr>
    </w:p>
    <w:p>
      <w:pPr>
        <w:ind w:left="800" w:hanging="331"/>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Sinking fund terms</w:t>
      </w:r>
    </w:p>
    <w:p>
      <w:pPr>
        <w:spacing w:after="0" w:line="4" w:lineRule="exact"/>
        <w:rPr>
          <w:rFonts w:ascii="Times New Roman" w:cs="Times New Roman" w:eastAsia="Times New Roman" w:hAnsi="Times New Roman"/>
          <w:sz w:val="18"/>
          <w:szCs w:val="18"/>
          <w:color w:val="auto"/>
        </w:rPr>
      </w:pPr>
    </w:p>
    <w:p>
      <w:pPr>
        <w:ind w:left="800" w:hanging="331"/>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of payments</w:t>
      </w:r>
    </w:p>
    <w:p>
      <w:pPr>
        <w:spacing w:after="0" w:line="4" w:lineRule="exact"/>
        <w:rPr>
          <w:rFonts w:ascii="Times New Roman" w:cs="Times New Roman" w:eastAsia="Times New Roman" w:hAnsi="Times New Roman"/>
          <w:sz w:val="18"/>
          <w:szCs w:val="18"/>
          <w:color w:val="auto"/>
        </w:rPr>
      </w:pPr>
    </w:p>
    <w:p>
      <w:pPr>
        <w:ind w:left="800" w:hanging="331"/>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w:t>
      </w:r>
    </w:p>
    <w:p>
      <w:pPr>
        <w:spacing w:after="0" w:line="4" w:lineRule="exact"/>
        <w:rPr>
          <w:rFonts w:ascii="Times New Roman" w:cs="Times New Roman" w:eastAsia="Times New Roman" w:hAnsi="Times New Roman"/>
          <w:sz w:val="18"/>
          <w:szCs w:val="18"/>
          <w:color w:val="auto"/>
        </w:rPr>
      </w:pPr>
    </w:p>
    <w:p>
      <w:pPr>
        <w:ind w:left="800" w:hanging="331"/>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terms</w:t>
      </w:r>
    </w:p>
    <w:p>
      <w:pPr>
        <w:spacing w:after="0" w:line="4" w:lineRule="exact"/>
        <w:rPr>
          <w:rFonts w:ascii="Times New Roman" w:cs="Times New Roman" w:eastAsia="Times New Roman" w:hAnsi="Times New Roman"/>
          <w:sz w:val="18"/>
          <w:szCs w:val="18"/>
          <w:color w:val="auto"/>
        </w:rPr>
      </w:pPr>
    </w:p>
    <w:p>
      <w:pPr>
        <w:ind w:left="800" w:hanging="331"/>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Listing on a securities exchange</w:t>
      </w:r>
    </w:p>
    <w:p>
      <w:pPr>
        <w:spacing w:after="0" w:line="4" w:lineRule="exact"/>
        <w:rPr>
          <w:rFonts w:ascii="Times New Roman" w:cs="Times New Roman" w:eastAsia="Times New Roman" w:hAnsi="Times New Roman"/>
          <w:sz w:val="18"/>
          <w:szCs w:val="18"/>
          <w:color w:val="auto"/>
        </w:rPr>
      </w:pPr>
    </w:p>
    <w:p>
      <w:pPr>
        <w:ind w:left="780" w:hanging="311"/>
        <w:spacing w:after="0"/>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payable at maturity</w:t>
      </w:r>
    </w:p>
    <w:p>
      <w:pPr>
        <w:spacing w:after="0" w:line="4" w:lineRule="exact"/>
        <w:rPr>
          <w:rFonts w:ascii="Times New Roman" w:cs="Times New Roman" w:eastAsia="Times New Roman" w:hAnsi="Times New Roman"/>
          <w:sz w:val="18"/>
          <w:szCs w:val="18"/>
          <w:color w:val="auto"/>
        </w:rPr>
      </w:pPr>
    </w:p>
    <w:p>
      <w:pPr>
        <w:ind w:left="800" w:hanging="331"/>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rights</w:t>
      </w:r>
    </w:p>
    <w:p>
      <w:pPr>
        <w:spacing w:after="0" w:line="4" w:lineRule="exact"/>
        <w:rPr>
          <w:rFonts w:ascii="Times New Roman" w:cs="Times New Roman" w:eastAsia="Times New Roman" w:hAnsi="Times New Roman"/>
          <w:sz w:val="18"/>
          <w:szCs w:val="18"/>
          <w:color w:val="auto"/>
        </w:rPr>
      </w:pPr>
    </w:p>
    <w:p>
      <w:pPr>
        <w:ind w:left="800" w:hanging="331"/>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amount</w:t>
      </w:r>
    </w:p>
    <w:p>
      <w:pPr>
        <w:spacing w:after="0" w:line="4" w:lineRule="exact"/>
        <w:rPr>
          <w:rFonts w:ascii="Times New Roman" w:cs="Times New Roman" w:eastAsia="Times New Roman" w:hAnsi="Times New Roman"/>
          <w:sz w:val="18"/>
          <w:szCs w:val="18"/>
          <w:color w:val="auto"/>
        </w:rPr>
      </w:pPr>
    </w:p>
    <w:p>
      <w:pPr>
        <w:ind w:left="800" w:hanging="331"/>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70485</wp:posOffset>
            </wp:positionV>
            <wp:extent cx="7249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50" w:lineRule="exact"/>
        <w:rPr>
          <w:sz w:val="20"/>
          <w:szCs w:val="20"/>
          <w:color w:val="auto"/>
        </w:rPr>
      </w:pPr>
    </w:p>
    <w:p>
      <w:pPr>
        <w:ind w:firstLine="441"/>
        <w:spacing w:after="0" w:line="273" w:lineRule="auto"/>
        <w:rPr>
          <w:sz w:val="20"/>
          <w:szCs w:val="20"/>
          <w:color w:val="auto"/>
        </w:rPr>
      </w:pPr>
      <w:r>
        <w:rPr>
          <w:rFonts w:ascii="Times New Roman" w:cs="Times New Roman" w:eastAsia="Times New Roman" w:hAnsi="Times New Roman"/>
          <w:sz w:val="18"/>
          <w:szCs w:val="18"/>
          <w:b w:val="1"/>
          <w:bCs w:val="1"/>
          <w:color w:val="auto"/>
        </w:rPr>
        <w:t>Investing in these securities involves certain risks. See “Item 1A — Risk Factors” beginning on page 18 of our annual report on Form 10-K for the year ended December 31, 2005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249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18" w:lineRule="exact"/>
        <w:rPr>
          <w:sz w:val="20"/>
          <w:szCs w:val="20"/>
          <w:color w:val="auto"/>
        </w:rPr>
      </w:pPr>
    </w:p>
    <w:p>
      <w:pPr>
        <w:ind w:right="200" w:firstLine="441"/>
        <w:spacing w:after="0" w:line="273" w:lineRule="auto"/>
        <w:rPr>
          <w:sz w:val="20"/>
          <w:szCs w:val="20"/>
          <w:color w:val="auto"/>
        </w:rPr>
      </w:pPr>
      <w:r>
        <w:rPr>
          <w:rFonts w:ascii="Times New Roman" w:cs="Times New Roman" w:eastAsia="Times New Roman" w:hAnsi="Times New Roman"/>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249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33" w:lineRule="exact"/>
        <w:rPr>
          <w:sz w:val="20"/>
          <w:szCs w:val="20"/>
          <w:color w:val="auto"/>
        </w:rPr>
      </w:pPr>
    </w:p>
    <w:p>
      <w:pPr>
        <w:ind w:right="20" w:firstLine="438"/>
        <w:spacing w:after="0" w:line="258" w:lineRule="auto"/>
        <w:rPr>
          <w:sz w:val="20"/>
          <w:szCs w:val="20"/>
          <w:color w:val="auto"/>
        </w:rPr>
      </w:pPr>
      <w:r>
        <w:rPr>
          <w:rFonts w:ascii="Times New Roman" w:cs="Times New Roman" w:eastAsia="Times New Roman" w:hAnsi="Times New Roman"/>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date of this prospectus is March 27,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20" w:name="page21"/>
    <w:bookmarkEnd w:id="20"/>
    <w:p>
      <w:pPr>
        <w:spacing w:after="0"/>
        <w:rPr>
          <w:rFonts w:ascii="Times New Roman" w:cs="Times New Roman" w:eastAsia="Times New Roman" w:hAnsi="Times New Roman"/>
          <w:sz w:val="16"/>
          <w:szCs w:val="16"/>
          <w:b w:val="1"/>
          <w:bCs w:val="1"/>
          <w:u w:val="single" w:color="auto"/>
          <w:color w:val="0000EE"/>
        </w:rPr>
      </w:pPr>
      <w:hyperlink w:anchor="page3">
        <w:r>
          <w:rPr>
            <w:rFonts w:ascii="Times New Roman" w:cs="Times New Roman" w:eastAsia="Times New Roman" w:hAnsi="Times New Roman"/>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214630</wp:posOffset>
            </wp:positionV>
            <wp:extent cx="7253605" cy="40176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4017645"/>
                    </a:xfrm>
                    <a:prstGeom prst="rect">
                      <a:avLst/>
                    </a:prstGeom>
                    <a:noFill/>
                  </pic:spPr>
                </pic:pic>
              </a:graphicData>
            </a:graphic>
          </wp:anchor>
        </w:drawing>
      </w:r>
    </w:p>
    <w:p>
      <w:pPr>
        <w:sectPr>
          <w:pgSz w:w="11900" w:h="16838" w:orient="portrait"/>
          <w:cols w:equalWidth="0" w:num="1">
            <w:col w:w="10219"/>
          </w:cols>
          <w:pgMar w:left="240" w:top="411" w:right="1440" w:bottom="1440" w:gutter="0" w:footer="0" w:header="0"/>
        </w:sectPr>
      </w:pPr>
    </w:p>
    <w:bookmarkStart w:id="21" w:name="page22"/>
    <w:bookmarkEnd w:id="21"/>
    <w:tbl>
      <w:tblPr>
        <w:tblLayout w:type="fixed"/>
        <w:tblInd w:w="40" w:type="dxa"/>
        <w:tblCellMar>
          <w:top w:w="0" w:type="dxa"/>
          <w:left w:w="0" w:type="dxa"/>
          <w:bottom w:w="0" w:type="dxa"/>
          <w:right w:w="0" w:type="dxa"/>
        </w:tblCellMar>
      </w:tblPr>
      <w:tr>
        <w:trPr>
          <w:trHeight w:val="231"/>
        </w:trPr>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40" w:type="dxa"/>
            <w:vAlign w:val="bottom"/>
            <w:gridSpan w:val="2"/>
          </w:tcPr>
          <w:p>
            <w:pPr>
              <w:ind w:left="12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10580" w:type="dxa"/>
            <w:vAlign w:val="bottom"/>
            <w:gridSpan w:val="14"/>
            <w:vMerge w:val="restart"/>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The Companies</w:t>
              </w:r>
            </w:hyperlink>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8"/>
        </w:trPr>
        <w:tc>
          <w:tcPr>
            <w:tcW w:w="10580" w:type="dxa"/>
            <w:vAlign w:val="bottom"/>
            <w:gridSpan w:val="14"/>
            <w:vMerge w:val="continue"/>
          </w:tcPr>
          <w:p>
            <w:pPr>
              <w:spacing w:after="0"/>
              <w:rPr>
                <w:sz w:val="15"/>
                <w:szCs w:val="15"/>
                <w:color w:val="auto"/>
              </w:rPr>
            </w:pPr>
          </w:p>
        </w:tc>
        <w:tc>
          <w:tcPr>
            <w:tcW w:w="58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440" w:type="dxa"/>
            <w:vAlign w:val="bottom"/>
            <w:tcBorders>
              <w:bottom w:val="single" w:sz="8" w:color="0000EE"/>
            </w:tcBorders>
            <w:gridSpan w:val="10"/>
          </w:tcPr>
          <w:p>
            <w:pPr>
              <w:spacing w:after="0" w:line="192" w:lineRule="exact"/>
              <w:rPr>
                <w:rFonts w:ascii="Times New Roman" w:cs="Times New Roman" w:eastAsia="Times New Roman" w:hAnsi="Times New Roman"/>
                <w:sz w:val="18"/>
                <w:szCs w:val="18"/>
                <w:color w:val="0000EE"/>
                <w:w w:val="97"/>
              </w:rPr>
            </w:pPr>
            <w:hyperlink w:anchor="page25">
              <w:r>
                <w:rPr>
                  <w:rFonts w:ascii="Times New Roman" w:cs="Times New Roman" w:eastAsia="Times New Roman" w:hAnsi="Times New Roman"/>
                  <w:sz w:val="18"/>
                  <w:szCs w:val="18"/>
                  <w:color w:val="0000EE"/>
                  <w:w w:val="97"/>
                </w:rPr>
                <w:t>Caution Concerning Forwardlooking Statements</w:t>
              </w:r>
            </w:hyperlink>
          </w:p>
        </w:tc>
        <w:tc>
          <w:tcPr>
            <w:tcW w:w="7140" w:type="dxa"/>
            <w:vAlign w:val="bottom"/>
            <w:gridSpan w:val="4"/>
          </w:tcPr>
          <w:p>
            <w:pPr>
              <w:spacing w:after="0"/>
              <w:rPr>
                <w:sz w:val="16"/>
                <w:szCs w:val="16"/>
                <w:color w:val="auto"/>
              </w:rPr>
            </w:pPr>
          </w:p>
        </w:tc>
        <w:tc>
          <w:tcPr>
            <w:tcW w:w="60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0000EE"/>
            </w:tcBorders>
            <w:gridSpan w:val="4"/>
          </w:tcPr>
          <w:p>
            <w:pPr>
              <w:spacing w:after="0" w:line="192" w:lineRule="exact"/>
              <w:rPr>
                <w:rFonts w:ascii="Times New Roman" w:cs="Times New Roman" w:eastAsia="Times New Roman" w:hAnsi="Times New Roman"/>
                <w:sz w:val="18"/>
                <w:szCs w:val="18"/>
                <w:color w:val="0000EE"/>
                <w:w w:val="97"/>
              </w:rPr>
            </w:pPr>
            <w:hyperlink w:anchor="page25">
              <w:r>
                <w:rPr>
                  <w:rFonts w:ascii="Times New Roman" w:cs="Times New Roman" w:eastAsia="Times New Roman" w:hAnsi="Times New Roman"/>
                  <w:sz w:val="18"/>
                  <w:szCs w:val="18"/>
                  <w:color w:val="0000EE"/>
                  <w:w w:val="97"/>
                </w:rPr>
                <w:t>Use of Proceeds</w:t>
              </w:r>
            </w:hyperlink>
          </w:p>
        </w:tc>
        <w:tc>
          <w:tcPr>
            <w:tcW w:w="9420" w:type="dxa"/>
            <w:vAlign w:val="bottom"/>
            <w:gridSpan w:val="10"/>
          </w:tcPr>
          <w:p>
            <w:pPr>
              <w:spacing w:after="0"/>
              <w:rPr>
                <w:sz w:val="16"/>
                <w:szCs w:val="16"/>
                <w:color w:val="auto"/>
              </w:rPr>
            </w:pPr>
          </w:p>
        </w:tc>
        <w:tc>
          <w:tcPr>
            <w:tcW w:w="60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2"/>
        </w:trPr>
        <w:tc>
          <w:tcPr>
            <w:tcW w:w="10580" w:type="dxa"/>
            <w:vAlign w:val="bottom"/>
            <w:gridSpan w:val="14"/>
          </w:tcPr>
          <w:p>
            <w:pPr>
              <w:spacing w:after="0" w:line="192"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Dividend Policy</w:t>
              </w:r>
            </w:hyperlink>
          </w:p>
        </w:tc>
        <w:tc>
          <w:tcPr>
            <w:tcW w:w="60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580" w:type="dxa"/>
            <w:vAlign w:val="bottom"/>
            <w:gridSpan w:val="14"/>
          </w:tcPr>
          <w:p>
            <w:pPr>
              <w:spacing w:after="0" w:line="192"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Ratios of Earnings to Fixed Charges</w:t>
              </w:r>
            </w:hyperlink>
          </w:p>
        </w:tc>
        <w:tc>
          <w:tcPr>
            <w:tcW w:w="60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580" w:type="dxa"/>
            <w:vAlign w:val="bottom"/>
            <w:gridSpan w:val="14"/>
          </w:tcPr>
          <w:p>
            <w:pPr>
              <w:spacing w:after="0" w:line="192"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Ratio of Earnings to Combined Fixed Charges and Preferred Dividends</w:t>
              </w:r>
            </w:hyperlink>
          </w:p>
        </w:tc>
        <w:tc>
          <w:tcPr>
            <w:tcW w:w="60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2"/>
        </w:trPr>
        <w:tc>
          <w:tcPr>
            <w:tcW w:w="5040" w:type="dxa"/>
            <w:vAlign w:val="bottom"/>
            <w:tcBorders>
              <w:top w:val="single" w:sz="8" w:color="0000EE"/>
            </w:tcBorders>
            <w:gridSpan w:val="13"/>
          </w:tcPr>
          <w:p>
            <w:pPr>
              <w:spacing w:after="0" w:line="192"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Description of Debt Securities and Cable Guarantees</w:t>
              </w:r>
            </w:hyperlink>
          </w:p>
        </w:tc>
        <w:tc>
          <w:tcPr>
            <w:tcW w:w="5540" w:type="dxa"/>
            <w:vAlign w:val="bottom"/>
          </w:tcPr>
          <w:p>
            <w:pPr>
              <w:spacing w:after="0"/>
              <w:rPr>
                <w:sz w:val="16"/>
                <w:szCs w:val="16"/>
                <w:color w:val="auto"/>
              </w:rPr>
            </w:pPr>
          </w:p>
        </w:tc>
        <w:tc>
          <w:tcPr>
            <w:tcW w:w="60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2"/>
        </w:trPr>
        <w:tc>
          <w:tcPr>
            <w:tcW w:w="3740" w:type="dxa"/>
            <w:vAlign w:val="bottom"/>
            <w:tcBorders>
              <w:top w:val="single" w:sz="8" w:color="0000EE"/>
            </w:tcBorders>
            <w:gridSpan w:val="12"/>
          </w:tcPr>
          <w:p>
            <w:pPr>
              <w:spacing w:after="0" w:line="192"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Global Securities</w:t>
              </w:r>
            </w:hyperlink>
          </w:p>
        </w:tc>
        <w:tc>
          <w:tcPr>
            <w:tcW w:w="6840" w:type="dxa"/>
            <w:vAlign w:val="bottom"/>
            <w:gridSpan w:val="2"/>
          </w:tcPr>
          <w:p>
            <w:pPr>
              <w:spacing w:after="0"/>
              <w:rPr>
                <w:sz w:val="16"/>
                <w:szCs w:val="16"/>
                <w:color w:val="auto"/>
              </w:rPr>
            </w:pPr>
          </w:p>
        </w:tc>
        <w:tc>
          <w:tcPr>
            <w:tcW w:w="58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70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580" w:type="dxa"/>
            <w:vAlign w:val="bottom"/>
            <w:gridSpan w:val="14"/>
          </w:tcPr>
          <w:p>
            <w:pPr>
              <w:spacing w:after="0" w:line="192"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Description of Capital Stock</w:t>
              </w:r>
            </w:hyperlink>
          </w:p>
        </w:tc>
        <w:tc>
          <w:tcPr>
            <w:tcW w:w="58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420" w:type="dxa"/>
            <w:vAlign w:val="bottom"/>
            <w:tcBorders>
              <w:top w:val="single" w:sz="8" w:color="0000EE"/>
              <w:bottom w:val="single" w:sz="8" w:color="0000EE"/>
            </w:tcBorders>
            <w:gridSpan w:val="6"/>
          </w:tcPr>
          <w:p>
            <w:pPr>
              <w:spacing w:after="0" w:line="192" w:lineRule="exact"/>
              <w:rPr>
                <w:rFonts w:ascii="Times New Roman" w:cs="Times New Roman" w:eastAsia="Times New Roman" w:hAnsi="Times New Roman"/>
                <w:sz w:val="18"/>
                <w:szCs w:val="18"/>
                <w:color w:val="0000EE"/>
                <w:w w:val="97"/>
              </w:rPr>
            </w:pPr>
            <w:hyperlink w:anchor="page47">
              <w:r>
                <w:rPr>
                  <w:rFonts w:ascii="Times New Roman" w:cs="Times New Roman" w:eastAsia="Times New Roman" w:hAnsi="Times New Roman"/>
                  <w:sz w:val="18"/>
                  <w:szCs w:val="18"/>
                  <w:color w:val="0000EE"/>
                  <w:w w:val="97"/>
                </w:rPr>
                <w:t>Plan of Distribution</w:t>
              </w:r>
            </w:hyperlink>
          </w:p>
        </w:tc>
        <w:tc>
          <w:tcPr>
            <w:tcW w:w="600" w:type="dxa"/>
            <w:vAlign w:val="bottom"/>
            <w:tcBorders>
              <w:top w:val="single" w:sz="8" w:color="0000EE"/>
            </w:tcBorders>
            <w:gridSpan w:val="2"/>
          </w:tcPr>
          <w:p>
            <w:pPr>
              <w:spacing w:after="0"/>
              <w:rPr>
                <w:sz w:val="16"/>
                <w:szCs w:val="16"/>
                <w:color w:val="auto"/>
              </w:rPr>
            </w:pPr>
          </w:p>
        </w:tc>
        <w:tc>
          <w:tcPr>
            <w:tcW w:w="8560" w:type="dxa"/>
            <w:vAlign w:val="bottom"/>
            <w:gridSpan w:val="6"/>
          </w:tcPr>
          <w:p>
            <w:pPr>
              <w:spacing w:after="0"/>
              <w:rPr>
                <w:sz w:val="16"/>
                <w:szCs w:val="16"/>
                <w:color w:val="auto"/>
              </w:rPr>
            </w:pPr>
          </w:p>
        </w:tc>
        <w:tc>
          <w:tcPr>
            <w:tcW w:w="58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000" w:type="dxa"/>
            <w:vAlign w:val="bottom"/>
            <w:tcBorders>
              <w:bottom w:val="single" w:sz="8" w:color="0000EE"/>
            </w:tcBorders>
            <w:gridSpan w:val="2"/>
          </w:tcPr>
          <w:p>
            <w:pPr>
              <w:spacing w:after="0" w:line="192" w:lineRule="exact"/>
              <w:rPr>
                <w:rFonts w:ascii="Times New Roman" w:cs="Times New Roman" w:eastAsia="Times New Roman" w:hAnsi="Times New Roman"/>
                <w:sz w:val="18"/>
                <w:szCs w:val="18"/>
                <w:color w:val="0000EE"/>
                <w:w w:val="97"/>
              </w:rPr>
            </w:pPr>
            <w:hyperlink w:anchor="page48">
              <w:r>
                <w:rPr>
                  <w:rFonts w:ascii="Times New Roman" w:cs="Times New Roman" w:eastAsia="Times New Roman" w:hAnsi="Times New Roman"/>
                  <w:sz w:val="18"/>
                  <w:szCs w:val="18"/>
                  <w:color w:val="0000EE"/>
                  <w:w w:val="97"/>
                </w:rPr>
                <w:t>Legal Matters</w:t>
              </w:r>
            </w:hyperlink>
          </w:p>
        </w:tc>
        <w:tc>
          <w:tcPr>
            <w:tcW w:w="9580" w:type="dxa"/>
            <w:vAlign w:val="bottom"/>
            <w:gridSpan w:val="12"/>
          </w:tcPr>
          <w:p>
            <w:pPr>
              <w:spacing w:after="0"/>
              <w:rPr>
                <w:sz w:val="16"/>
                <w:szCs w:val="16"/>
                <w:color w:val="auto"/>
              </w:rPr>
            </w:pPr>
          </w:p>
        </w:tc>
        <w:tc>
          <w:tcPr>
            <w:tcW w:w="58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0580" w:type="dxa"/>
            <w:vAlign w:val="bottom"/>
            <w:gridSpan w:val="14"/>
          </w:tcPr>
          <w:p>
            <w:pPr>
              <w:spacing w:after="0" w:line="192"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Experts</w:t>
              </w:r>
            </w:hyperlink>
          </w:p>
        </w:tc>
        <w:tc>
          <w:tcPr>
            <w:tcW w:w="58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70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580" w:type="dxa"/>
            <w:vAlign w:val="bottom"/>
            <w:gridSpan w:val="14"/>
          </w:tcPr>
          <w:p>
            <w:pPr>
              <w:spacing w:after="0" w:line="192"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Available Information</w:t>
              </w:r>
            </w:hyperlink>
          </w:p>
        </w:tc>
        <w:tc>
          <w:tcPr>
            <w:tcW w:w="58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60" w:type="dxa"/>
            <w:vAlign w:val="bottom"/>
            <w:gridSpan w:val="7"/>
            <w:shd w:val="clear" w:color="auto" w:fill="0000EE"/>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70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580" w:type="dxa"/>
            <w:vAlign w:val="bottom"/>
            <w:gridSpan w:val="14"/>
          </w:tcPr>
          <w:p>
            <w:pPr>
              <w:spacing w:after="0" w:line="192"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Incorporation of Certain Documents by Reference</w:t>
              </w:r>
            </w:hyperlink>
          </w:p>
        </w:tc>
        <w:tc>
          <w:tcPr>
            <w:tcW w:w="58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20" w:firstLine="258"/>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 this prospectus. We have not authorized anyone to provide you with different information. We are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73" w:lineRule="exact"/>
        <w:rPr>
          <w:sz w:val="20"/>
          <w:szCs w:val="20"/>
          <w:color w:val="auto"/>
        </w:rPr>
      </w:pPr>
    </w:p>
    <w:p>
      <w:pPr>
        <w:ind w:right="300" w:firstLine="261"/>
        <w:spacing w:after="0" w:line="258" w:lineRule="auto"/>
        <w:rPr>
          <w:sz w:val="20"/>
          <w:szCs w:val="20"/>
          <w:color w:val="auto"/>
        </w:rPr>
      </w:pPr>
      <w:r>
        <w:rPr>
          <w:rFonts w:ascii="Times New Roman" w:cs="Times New Roman" w:eastAsia="Times New Roman" w:hAnsi="Times New Roman"/>
          <w:sz w:val="18"/>
          <w:szCs w:val="18"/>
          <w:color w:val="auto"/>
        </w:rPr>
        <w:t>We refer to Comcast Corporation in this prospectus as “Comcast” or “we,” “us,” “our” or comparable terms and to Comcast Holdings Corporation as “Comcast Holdings.” We refer to Comcast Cable Communications, LLC, Comcast Cable Communications Holdings, Inc., Comcast Cable Holdings, LLC, Comcast MO Group, Inc. and Comcast MO of Delaware, LLC collectively as the “Cable Guarantors.”</w:t>
      </w:r>
    </w:p>
    <w:p>
      <w:pPr>
        <w:spacing w:after="0" w:line="15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00"/>
          </w:cols>
          <w:pgMar w:left="240" w:top="939" w:right="4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198120</wp:posOffset>
            </wp:positionV>
            <wp:extent cx="7313930" cy="6010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13930" cy="6010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THE COMPANIES</w:t>
      </w:r>
    </w:p>
    <w:p>
      <w:pPr>
        <w:spacing w:after="0" w:line="1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113" w:lineRule="exact"/>
        <w:rPr>
          <w:sz w:val="20"/>
          <w:szCs w:val="20"/>
          <w:color w:val="auto"/>
        </w:rPr>
      </w:pPr>
    </w:p>
    <w:p>
      <w:pPr>
        <w:ind w:left="180" w:firstLine="261"/>
        <w:spacing w:after="0" w:line="253" w:lineRule="auto"/>
        <w:rPr>
          <w:sz w:val="20"/>
          <w:szCs w:val="20"/>
          <w:color w:val="auto"/>
        </w:rPr>
      </w:pPr>
      <w:r>
        <w:rPr>
          <w:rFonts w:ascii="Times New Roman" w:cs="Times New Roman" w:eastAsia="Times New Roman" w:hAnsi="Times New Roman"/>
          <w:sz w:val="18"/>
          <w:szCs w:val="18"/>
          <w:color w:val="auto"/>
        </w:rPr>
        <w:t>We are the largest broadband cable provider in the United States and offer a wide variety of consumer entertainment and communication products and services. As of December 31, 2005, we served more than 21 million video subscribers, 8 million high-speed Internet subscribers and 1 million phone subscribers We were incorporated under the laws of Pennsylvania in December 2001. Through our predecessors (including our immediate predecessor Comcast Holdings), we have developed, managed and operated broadband cable systems since 1963.</w:t>
      </w:r>
    </w:p>
    <w:p>
      <w:pPr>
        <w:spacing w:after="0" w:line="80" w:lineRule="exact"/>
        <w:rPr>
          <w:sz w:val="20"/>
          <w:szCs w:val="20"/>
          <w:color w:val="auto"/>
        </w:rPr>
      </w:pPr>
    </w:p>
    <w:p>
      <w:pPr>
        <w:ind w:left="180" w:right="140" w:firstLine="261"/>
        <w:spacing w:after="0" w:line="271" w:lineRule="auto"/>
        <w:rPr>
          <w:sz w:val="20"/>
          <w:szCs w:val="20"/>
          <w:color w:val="auto"/>
        </w:rPr>
      </w:pPr>
      <w:r>
        <w:rPr>
          <w:rFonts w:ascii="Times New Roman" w:cs="Times New Roman" w:eastAsia="Times New Roman" w:hAnsi="Times New Roman"/>
          <w:sz w:val="18"/>
          <w:szCs w:val="18"/>
          <w:color w:val="auto"/>
        </w:rPr>
        <w:t>We manage our operations through two reportable segments, “Cable” and “Content”. The Cable segment generates approximately 95% of our consolidated revenues.</w:t>
      </w:r>
    </w:p>
    <w:p>
      <w:pPr>
        <w:spacing w:after="0" w:line="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Cable segment develops, manages and operates our broadband cable systems, including video, high-speed Internet and phone services.</w:t>
      </w:r>
    </w:p>
    <w:p>
      <w:pPr>
        <w:spacing w:after="0" w:line="111" w:lineRule="exact"/>
        <w:rPr>
          <w:sz w:val="20"/>
          <w:szCs w:val="20"/>
          <w:color w:val="auto"/>
        </w:rPr>
      </w:pPr>
    </w:p>
    <w:p>
      <w:pPr>
        <w:ind w:left="180" w:right="640" w:firstLine="264"/>
        <w:spacing w:after="0" w:line="271" w:lineRule="auto"/>
        <w:rPr>
          <w:sz w:val="20"/>
          <w:szCs w:val="20"/>
          <w:color w:val="auto"/>
        </w:rPr>
      </w:pPr>
      <w:r>
        <w:rPr>
          <w:rFonts w:ascii="Times New Roman" w:cs="Times New Roman" w:eastAsia="Times New Roman" w:hAnsi="Times New Roman"/>
          <w:sz w:val="18"/>
          <w:szCs w:val="18"/>
          <w:color w:val="auto"/>
        </w:rPr>
        <w:t>Our Content segment includes our six national cable networks: E! Entertainment Television, Style Network, The Golf Channel, OLN, G4, and AZN Television.</w:t>
      </w:r>
    </w:p>
    <w:p>
      <w:pPr>
        <w:spacing w:after="0" w:line="62" w:lineRule="exact"/>
        <w:rPr>
          <w:sz w:val="20"/>
          <w:szCs w:val="20"/>
          <w:color w:val="auto"/>
        </w:rPr>
      </w:pPr>
    </w:p>
    <w:p>
      <w:pPr>
        <w:ind w:left="180" w:right="260" w:firstLine="264"/>
        <w:spacing w:after="0" w:line="271" w:lineRule="auto"/>
        <w:rPr>
          <w:sz w:val="20"/>
          <w:szCs w:val="20"/>
          <w:color w:val="auto"/>
        </w:rPr>
      </w:pPr>
      <w:r>
        <w:rPr>
          <w:rFonts w:ascii="Times New Roman" w:cs="Times New Roman" w:eastAsia="Times New Roman" w:hAnsi="Times New Roman"/>
          <w:sz w:val="18"/>
          <w:szCs w:val="18"/>
          <w:color w:val="auto"/>
        </w:rPr>
        <w:t>Our other business interests include Comcast Spectacor, which owns the Philadelphia Flyers, the Philadelphia 76ers and two large multipurpose arenas in Philadelphia, and manages other facilities for sporting events, concerts and other events.</w:t>
      </w:r>
    </w:p>
    <w:p>
      <w:pPr>
        <w:spacing w:after="0" w:line="62" w:lineRule="exact"/>
        <w:rPr>
          <w:sz w:val="20"/>
          <w:szCs w:val="20"/>
          <w:color w:val="auto"/>
        </w:rPr>
      </w:pPr>
    </w:p>
    <w:p>
      <w:pPr>
        <w:ind w:left="180" w:right="40" w:firstLine="264"/>
        <w:spacing w:after="0" w:line="258"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 “Available Information” in the accompanying prospectus.</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Cable Guarantors</w:t>
      </w:r>
    </w:p>
    <w:p>
      <w:pPr>
        <w:spacing w:after="0" w:line="113" w:lineRule="exact"/>
        <w:rPr>
          <w:sz w:val="20"/>
          <w:szCs w:val="20"/>
          <w:color w:val="auto"/>
        </w:rPr>
      </w:pPr>
    </w:p>
    <w:p>
      <w:pPr>
        <w:ind w:left="180" w:right="80" w:firstLine="264"/>
        <w:spacing w:after="0" w:line="251" w:lineRule="auto"/>
        <w:rPr>
          <w:sz w:val="20"/>
          <w:szCs w:val="20"/>
          <w:color w:val="auto"/>
        </w:rPr>
      </w:pPr>
      <w:r>
        <w:rPr>
          <w:rFonts w:ascii="Times New Roman" w:cs="Times New Roman" w:eastAsia="Times New Roman" w:hAnsi="Times New Roman"/>
          <w:sz w:val="18"/>
          <w:szCs w:val="18"/>
          <w:color w:val="auto"/>
        </w:rPr>
        <w:t>Our obligations, including the payment of principal, premium, if any, and interest on the debt securities issued pursuant to this prospectus will be fully and unconditionally guaranteed by each of Comcast Cable, Comcast Cable Communications Holdings, Comcast Cable Holdings, Comcast MO Group and Comcast MO of Delaware. In this prospectus, we refer to these guarantors as the cable guarantors and to these guarantees as the cable guarantees. We have numerous other subsidiaries that will not be guarantors on the debt securities. If indicated in the relevant prospectus supplement, our obligations under the other securities we are offering and selling may be fully and unconditionally guaranteed by specified cable guarantors.</w:t>
      </w:r>
    </w:p>
    <w:p>
      <w:pPr>
        <w:spacing w:after="0" w:line="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cable guarantees will not contain any restrictions on the ability of any cable guarantor to:</w:t>
      </w:r>
    </w:p>
    <w:p>
      <w:pPr>
        <w:spacing w:after="0" w:line="111" w:lineRule="exact"/>
        <w:rPr>
          <w:sz w:val="20"/>
          <w:szCs w:val="20"/>
          <w:color w:val="auto"/>
        </w:rPr>
      </w:pPr>
    </w:p>
    <w:p>
      <w:pPr>
        <w:ind w:left="980" w:right="160" w:hanging="458"/>
        <w:spacing w:after="0" w:line="271"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distributions on, or redeem, purchase, acquire, or make a liquidation payment with respect to, any of that cable guarantor’s capital stock; or</w:t>
      </w:r>
    </w:p>
    <w:p>
      <w:pPr>
        <w:spacing w:after="0" w:line="74" w:lineRule="exact"/>
        <w:rPr>
          <w:rFonts w:ascii="Times New Roman" w:cs="Times New Roman" w:eastAsia="Times New Roman" w:hAnsi="Times New Roman"/>
          <w:sz w:val="18"/>
          <w:szCs w:val="18"/>
          <w:color w:val="auto"/>
        </w:rPr>
      </w:pPr>
    </w:p>
    <w:p>
      <w:pPr>
        <w:ind w:left="980" w:hanging="458"/>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 of principal, interest or premium, if any, on or repay, repurchase or redeem any debt securities of that cable guarantor.</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Comcast Cable Communications, LLC</w:t>
      </w:r>
    </w:p>
    <w:p>
      <w:pPr>
        <w:spacing w:after="0" w:line="115" w:lineRule="exact"/>
        <w:rPr>
          <w:sz w:val="20"/>
          <w:szCs w:val="20"/>
          <w:color w:val="auto"/>
        </w:rPr>
      </w:pPr>
    </w:p>
    <w:p>
      <w:pPr>
        <w:ind w:left="180" w:right="40" w:firstLine="264"/>
        <w:spacing w:after="0" w:line="271" w:lineRule="auto"/>
        <w:rPr>
          <w:sz w:val="20"/>
          <w:szCs w:val="20"/>
          <w:color w:val="auto"/>
        </w:rPr>
      </w:pPr>
      <w:r>
        <w:rPr>
          <w:rFonts w:ascii="Times New Roman" w:cs="Times New Roman" w:eastAsia="Times New Roman" w:hAnsi="Times New Roman"/>
          <w:sz w:val="18"/>
          <w:szCs w:val="18"/>
          <w:color w:val="auto"/>
        </w:rPr>
        <w:t>Comcast Cable, which was incorporated in 1981 as a Delaware corporation, became a Delaware limited liability company in 2003 and is an indirect wholly-owned subsidiary of ours.</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Comcast Cable Communications Holdings, Inc.</w:t>
      </w:r>
    </w:p>
    <w:p>
      <w:pPr>
        <w:spacing w:after="0" w:line="115" w:lineRule="exact"/>
        <w:rPr>
          <w:sz w:val="20"/>
          <w:szCs w:val="20"/>
          <w:color w:val="auto"/>
        </w:rPr>
      </w:pPr>
    </w:p>
    <w:p>
      <w:pPr>
        <w:ind w:left="180" w:right="40" w:firstLine="264"/>
        <w:spacing w:after="0" w:line="271" w:lineRule="auto"/>
        <w:rPr>
          <w:sz w:val="20"/>
          <w:szCs w:val="20"/>
          <w:color w:val="auto"/>
        </w:rPr>
      </w:pPr>
      <w:r>
        <w:rPr>
          <w:rFonts w:ascii="Times New Roman" w:cs="Times New Roman" w:eastAsia="Times New Roman" w:hAnsi="Times New Roman"/>
          <w:sz w:val="18"/>
          <w:szCs w:val="18"/>
          <w:color w:val="auto"/>
        </w:rPr>
        <w:t>Comcast Cable Communications Holdings is a Delaware corporation (formerly known as AT&amp;T Broadband Corp.) incorporated in 2001 and a wholly-owne subsidiary of ours.</w:t>
      </w:r>
    </w:p>
    <w:p>
      <w:pPr>
        <w:spacing w:after="0" w:line="3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1" w:right="1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198120</wp:posOffset>
            </wp:positionV>
            <wp:extent cx="7313930" cy="2936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13930" cy="2936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Comcast Cable Holdings, LLC</w:t>
      </w:r>
    </w:p>
    <w:p>
      <w:pPr>
        <w:spacing w:after="0" w:line="115" w:lineRule="exact"/>
        <w:rPr>
          <w:sz w:val="20"/>
          <w:szCs w:val="20"/>
          <w:color w:val="auto"/>
        </w:rPr>
      </w:pPr>
    </w:p>
    <w:p>
      <w:pPr>
        <w:ind w:left="180" w:firstLine="264"/>
        <w:spacing w:after="0" w:line="271" w:lineRule="auto"/>
        <w:rPr>
          <w:sz w:val="20"/>
          <w:szCs w:val="20"/>
          <w:color w:val="auto"/>
        </w:rPr>
      </w:pPr>
      <w:r>
        <w:rPr>
          <w:rFonts w:ascii="Times New Roman" w:cs="Times New Roman" w:eastAsia="Times New Roman" w:hAnsi="Times New Roman"/>
          <w:sz w:val="18"/>
          <w:szCs w:val="18"/>
          <w:color w:val="auto"/>
        </w:rPr>
        <w:t>Comcast Cable Holdings is a Delaware limited liability company (formerly known as AT&amp;T Broadband, LLC) formed in 1994. Comcast Cable Holdings is a wholly-owned subsidiary of Comcast Cable Communications Holdings.</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Comcast MO Group, Inc.</w:t>
      </w:r>
    </w:p>
    <w:p>
      <w:pPr>
        <w:spacing w:after="0" w:line="115" w:lineRule="exact"/>
        <w:rPr>
          <w:sz w:val="20"/>
          <w:szCs w:val="20"/>
          <w:color w:val="auto"/>
        </w:rPr>
      </w:pPr>
    </w:p>
    <w:p>
      <w:pPr>
        <w:ind w:left="180" w:right="260" w:firstLine="264"/>
        <w:spacing w:after="0" w:line="271" w:lineRule="auto"/>
        <w:rPr>
          <w:sz w:val="20"/>
          <w:szCs w:val="20"/>
          <w:color w:val="auto"/>
        </w:rPr>
      </w:pPr>
      <w:r>
        <w:rPr>
          <w:rFonts w:ascii="Times New Roman" w:cs="Times New Roman" w:eastAsia="Times New Roman" w:hAnsi="Times New Roman"/>
          <w:sz w:val="18"/>
          <w:szCs w:val="18"/>
          <w:color w:val="auto"/>
        </w:rPr>
        <w:t>Comcast MO Group is a Delaware corporation (formerly known as MediaOne Group, Inc.) incorporated in 1999. Comcast MO Group is a wholly-owned subsidiary of Comcast Cable Communications Holdings.</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Comcast MO of Delaware, LLC</w:t>
      </w:r>
    </w:p>
    <w:p>
      <w:pPr>
        <w:spacing w:after="0" w:line="115" w:lineRule="exact"/>
        <w:rPr>
          <w:sz w:val="20"/>
          <w:szCs w:val="20"/>
          <w:color w:val="auto"/>
        </w:rPr>
      </w:pPr>
    </w:p>
    <w:p>
      <w:pPr>
        <w:ind w:left="180" w:right="80" w:firstLine="264"/>
        <w:spacing w:after="0" w:line="271" w:lineRule="auto"/>
        <w:rPr>
          <w:sz w:val="20"/>
          <w:szCs w:val="20"/>
          <w:color w:val="auto"/>
        </w:rPr>
      </w:pPr>
      <w:r>
        <w:rPr>
          <w:rFonts w:ascii="Times New Roman" w:cs="Times New Roman" w:eastAsia="Times New Roman" w:hAnsi="Times New Roman"/>
          <w:sz w:val="18"/>
          <w:szCs w:val="18"/>
          <w:color w:val="auto"/>
        </w:rPr>
        <w:t>Comcast MO of Delaware, which was incorporated in 1996 as a Delaware corporation, became a Delaware limited liability company in 2003. Comcast MO of Delaware is an indirect wholly-owned subsidiary of Comcast MO Group.</w:t>
      </w:r>
    </w:p>
    <w:p>
      <w:pPr>
        <w:spacing w:after="0" w:line="200" w:lineRule="exact"/>
        <w:rPr>
          <w:sz w:val="20"/>
          <w:szCs w:val="20"/>
          <w:color w:val="auto"/>
        </w:rPr>
      </w:pPr>
    </w:p>
    <w:p>
      <w:pPr>
        <w:spacing w:after="0" w:line="219" w:lineRule="exact"/>
        <w:rPr>
          <w:sz w:val="20"/>
          <w:szCs w:val="20"/>
          <w:color w:val="auto"/>
        </w:rPr>
      </w:pPr>
    </w:p>
    <w:p>
      <w:pPr>
        <w:ind w:left="180" w:right="40" w:firstLine="264"/>
        <w:spacing w:after="0" w:line="258" w:lineRule="auto"/>
        <w:rPr>
          <w:sz w:val="20"/>
          <w:szCs w:val="20"/>
          <w:color w:val="auto"/>
        </w:rPr>
      </w:pPr>
      <w:r>
        <w:rPr>
          <w:rFonts w:ascii="Times New Roman" w:cs="Times New Roman" w:eastAsia="Times New Roman" w:hAnsi="Times New Roman"/>
          <w:sz w:val="18"/>
          <w:szCs w:val="18"/>
          <w:color w:val="auto"/>
        </w:rPr>
        <w:t>Our principal executive offices are located at 1500 Market Street, Philadelphia, Pennsylvania 19102-2148, and our telephone number is (215) 665-1700. We maintain a website at http://www.comcast.com where general information about us is available. We are not incorporating the contents of the website into this prospectus.</w:t>
      </w:r>
    </w:p>
    <w:p>
      <w:pPr>
        <w:spacing w:after="0" w:line="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cable guarantor’s principal place of business is 1500 Market Street, Philadelphia, Pennsylvania 19102-2148.</w:t>
      </w:r>
    </w:p>
    <w:p>
      <w:pPr>
        <w:spacing w:after="0" w:line="34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1" w:right="1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22" w:lineRule="exact"/>
        <w:rPr>
          <w:sz w:val="20"/>
          <w:szCs w:val="20"/>
          <w:color w:val="auto"/>
        </w:rPr>
      </w:pPr>
    </w:p>
    <w:p>
      <w:pPr>
        <w:ind w:left="280" w:right="3100" w:firstLine="2847"/>
        <w:spacing w:after="0" w:line="369" w:lineRule="auto"/>
        <w:rPr>
          <w:sz w:val="20"/>
          <w:szCs w:val="20"/>
          <w:color w:val="auto"/>
        </w:rPr>
      </w:pPr>
      <w:r>
        <w:rPr>
          <w:rFonts w:ascii="Times New Roman" w:cs="Times New Roman" w:eastAsia="Times New Roman" w:hAnsi="Times New Roman"/>
          <w:sz w:val="18"/>
          <w:szCs w:val="18"/>
          <w:b w:val="1"/>
          <w:bCs w:val="1"/>
          <w:color w:val="auto"/>
        </w:rPr>
        <w:t xml:space="preserve">CAUTION CONCERNING FORWARD-LOOKING STATEMENTS </w:t>
      </w:r>
      <w:r>
        <w:rPr>
          <w:rFonts w:ascii="Times New Roman" w:cs="Times New Roman" w:eastAsia="Times New Roman" w:hAnsi="Times New Roman"/>
          <w:sz w:val="18"/>
          <w:szCs w:val="18"/>
          <w:color w:val="auto"/>
        </w:rPr>
        <w:t>Our businesses may be affected by, among other things, the following:</w:t>
      </w:r>
    </w:p>
    <w:p>
      <w:pPr>
        <w:ind w:left="820" w:hanging="470"/>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services offered by our cable systems face a wide range of competition that could adversely affect our future results of operations.</w:t>
      </w:r>
    </w:p>
    <w:p>
      <w:pPr>
        <w:spacing w:after="0" w:line="123"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Programming costs are increasing, which could adversely affect our future results of operations.</w:t>
      </w:r>
    </w:p>
    <w:p>
      <w:pPr>
        <w:spacing w:after="0" w:line="123"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regulation by federal, state and local governments, which may change and cause increased costs and restrictions.</w:t>
      </w:r>
    </w:p>
    <w:p>
      <w:pPr>
        <w:spacing w:after="0" w:line="123" w:lineRule="exact"/>
        <w:rPr>
          <w:rFonts w:ascii="Times New Roman" w:cs="Times New Roman" w:eastAsia="Times New Roman" w:hAnsi="Times New Roman"/>
          <w:sz w:val="18"/>
          <w:szCs w:val="18"/>
          <w:color w:val="auto"/>
        </w:rPr>
      </w:pPr>
    </w:p>
    <w:p>
      <w:pPr>
        <w:ind w:left="820" w:right="40" w:hanging="470"/>
        <w:spacing w:after="0" w:line="271" w:lineRule="auto"/>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increased competition because of technological advances and changing regulatory requirements, which could adversely affect our future results of operations.</w:t>
      </w:r>
    </w:p>
    <w:p>
      <w:pPr>
        <w:spacing w:after="0" w:line="74" w:lineRule="exact"/>
        <w:rPr>
          <w:rFonts w:ascii="Times New Roman" w:cs="Times New Roman" w:eastAsia="Times New Roman" w:hAnsi="Times New Roman"/>
          <w:sz w:val="18"/>
          <w:szCs w:val="18"/>
          <w:color w:val="auto"/>
        </w:rPr>
      </w:pPr>
    </w:p>
    <w:p>
      <w:pPr>
        <w:ind w:left="820" w:right="560" w:hanging="470"/>
        <w:spacing w:after="0" w:line="271" w:lineRule="auto"/>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arising from the outcome of various litigation matters, including litigation associated with our acquisition of AT&amp;T’s Broadband operations.</w:t>
      </w:r>
    </w:p>
    <w:p>
      <w:pPr>
        <w:spacing w:after="0" w:line="74"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Chairman and CEO has considerable influence over our operations.</w:t>
      </w:r>
    </w:p>
    <w:p>
      <w:pPr>
        <w:spacing w:after="0" w:line="123" w:lineRule="exact"/>
        <w:rPr>
          <w:rFonts w:ascii="Times New Roman" w:cs="Times New Roman" w:eastAsia="Times New Roman" w:hAnsi="Times New Roman"/>
          <w:sz w:val="18"/>
          <w:szCs w:val="18"/>
          <w:color w:val="auto"/>
        </w:rPr>
      </w:pPr>
    </w:p>
    <w:p>
      <w:pPr>
        <w:ind w:left="820" w:hanging="470"/>
        <w:spacing w:after="0" w:line="271" w:lineRule="auto"/>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other strategic transactions present many risks, and we may not realize the financial and strategic goals that were contemplated at the time of any transaction.</w:t>
      </w:r>
    </w:p>
    <w:p>
      <w:pPr>
        <w:spacing w:after="0" w:line="62" w:lineRule="exact"/>
        <w:rPr>
          <w:sz w:val="20"/>
          <w:szCs w:val="20"/>
          <w:color w:val="auto"/>
        </w:rPr>
      </w:pPr>
    </w:p>
    <w:p>
      <w:pPr>
        <w:ind w:right="40" w:firstLine="264"/>
        <w:spacing w:after="0" w:line="250" w:lineRule="auto"/>
        <w:rPr>
          <w:sz w:val="20"/>
          <w:szCs w:val="20"/>
          <w:color w:val="auto"/>
        </w:rPr>
      </w:pPr>
      <w:r>
        <w:rPr>
          <w:rFonts w:ascii="Times New Roman" w:cs="Times New Roman" w:eastAsia="Times New Roman" w:hAnsi="Times New Roman"/>
          <w:sz w:val="18"/>
          <w:szCs w:val="18"/>
          <w:color w:val="auto"/>
        </w:rPr>
        <w:t>In this prospectus and in the documents we incorporate by reference, we state our expectations of future events and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under “Item 1A — Risk Factors” in our Annual Report on Form 10-K for the year ended December 31, 2005 incorporated herein by reference. Those factors may cause our actual results to differ materially from any of our forward-looking statements.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13" w:lineRule="exact"/>
        <w:rPr>
          <w:sz w:val="20"/>
          <w:szCs w:val="20"/>
          <w:color w:val="auto"/>
        </w:rPr>
      </w:pPr>
    </w:p>
    <w:p>
      <w:pPr>
        <w:jc w:val="both"/>
        <w:ind w:right="440" w:firstLine="261"/>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the sale of the securities for working capital and general corporate purposes.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28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do not intend to pay dividends on our common stock for the foreseeable future.</w:t>
      </w:r>
    </w:p>
    <w:p>
      <w:pPr>
        <w:spacing w:after="0" w:line="320" w:lineRule="exact"/>
        <w:rPr>
          <w:sz w:val="20"/>
          <w:szCs w:val="20"/>
          <w:color w:val="auto"/>
        </w:rPr>
      </w:pPr>
    </w:p>
    <w:p>
      <w:pPr>
        <w:ind w:left="280" w:right="3840" w:firstLine="3578"/>
        <w:spacing w:after="0" w:line="395" w:lineRule="auto"/>
        <w:rPr>
          <w:sz w:val="20"/>
          <w:szCs w:val="20"/>
          <w:color w:val="auto"/>
        </w:rPr>
      </w:pPr>
      <w:r>
        <w:rPr>
          <w:rFonts w:ascii="Times New Roman" w:cs="Times New Roman" w:eastAsia="Times New Roman" w:hAnsi="Times New Roman"/>
          <w:sz w:val="17"/>
          <w:szCs w:val="17"/>
          <w:b w:val="1"/>
          <w:bCs w:val="1"/>
          <w:color w:val="auto"/>
        </w:rPr>
        <w:t xml:space="preserve">RATIOS OF EARNINGS TO FIXED CHARGES </w:t>
      </w:r>
      <w:r>
        <w:rPr>
          <w:rFonts w:ascii="Times New Roman" w:cs="Times New Roman" w:eastAsia="Times New Roman" w:hAnsi="Times New Roman"/>
          <w:sz w:val="17"/>
          <w:szCs w:val="17"/>
          <w:color w:val="auto"/>
        </w:rPr>
        <w:t>Our ratio of earnings to fixed charges was as follows for the respective periods indicated: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180" w:type="dxa"/>
            <w:vAlign w:val="bottom"/>
            <w:tcBorders>
              <w:top w:val="single" w:sz="8" w:color="auto"/>
            </w:tcBorders>
          </w:tcPr>
          <w:p>
            <w:pPr>
              <w:jc w:val="right"/>
              <w:ind w:right="861"/>
              <w:spacing w:after="0" w:line="152" w:lineRule="exact"/>
              <w:rPr>
                <w:sz w:val="20"/>
                <w:szCs w:val="20"/>
                <w:color w:val="auto"/>
              </w:rPr>
            </w:pPr>
            <w:r>
              <w:rPr>
                <w:rFonts w:ascii="Times New Roman" w:cs="Times New Roman" w:eastAsia="Times New Roman" w:hAnsi="Times New Roman"/>
                <w:sz w:val="14"/>
                <w:szCs w:val="14"/>
                <w:b w:val="1"/>
                <w:bCs w:val="1"/>
                <w:color w:val="auto"/>
              </w:rPr>
              <w:t>2005</w:t>
            </w:r>
          </w:p>
        </w:tc>
        <w:tc>
          <w:tcPr>
            <w:tcW w:w="2400" w:type="dxa"/>
            <w:vAlign w:val="bottom"/>
            <w:tcBorders>
              <w:top w:val="single" w:sz="8" w:color="auto"/>
            </w:tcBorders>
            <w:gridSpan w:val="2"/>
          </w:tcPr>
          <w:p>
            <w:pPr>
              <w:jc w:val="right"/>
              <w:ind w:right="792"/>
              <w:spacing w:after="0" w:line="152" w:lineRule="exact"/>
              <w:rPr>
                <w:sz w:val="20"/>
                <w:szCs w:val="20"/>
                <w:color w:val="auto"/>
              </w:rPr>
            </w:pPr>
            <w:r>
              <w:rPr>
                <w:rFonts w:ascii="Times New Roman" w:cs="Times New Roman" w:eastAsia="Times New Roman" w:hAnsi="Times New Roman"/>
                <w:sz w:val="14"/>
                <w:szCs w:val="14"/>
                <w:b w:val="1"/>
                <w:bCs w:val="1"/>
                <w:color w:val="auto"/>
              </w:rPr>
              <w:t>2004</w:t>
            </w:r>
          </w:p>
        </w:tc>
        <w:tc>
          <w:tcPr>
            <w:tcW w:w="2420" w:type="dxa"/>
            <w:vAlign w:val="bottom"/>
            <w:tcBorders>
              <w:top w:val="single" w:sz="8" w:color="auto"/>
            </w:tcBorders>
            <w:gridSpan w:val="2"/>
          </w:tcPr>
          <w:p>
            <w:pPr>
              <w:jc w:val="right"/>
              <w:ind w:right="812"/>
              <w:spacing w:after="0" w:line="152" w:lineRule="exact"/>
              <w:rPr>
                <w:sz w:val="20"/>
                <w:szCs w:val="20"/>
                <w:color w:val="auto"/>
              </w:rPr>
            </w:pPr>
            <w:r>
              <w:rPr>
                <w:rFonts w:ascii="Times New Roman" w:cs="Times New Roman" w:eastAsia="Times New Roman" w:hAnsi="Times New Roman"/>
                <w:sz w:val="14"/>
                <w:szCs w:val="14"/>
                <w:b w:val="1"/>
                <w:bCs w:val="1"/>
                <w:color w:val="auto"/>
              </w:rPr>
              <w:t>2003</w:t>
            </w:r>
          </w:p>
        </w:tc>
        <w:tc>
          <w:tcPr>
            <w:tcW w:w="2380" w:type="dxa"/>
            <w:vAlign w:val="bottom"/>
            <w:tcBorders>
              <w:top w:val="single" w:sz="8" w:color="auto"/>
            </w:tcBorders>
            <w:gridSpan w:val="2"/>
          </w:tcPr>
          <w:p>
            <w:pPr>
              <w:jc w:val="right"/>
              <w:ind w:right="792"/>
              <w:spacing w:after="0" w:line="152" w:lineRule="exact"/>
              <w:rPr>
                <w:sz w:val="20"/>
                <w:szCs w:val="20"/>
                <w:color w:val="auto"/>
              </w:rPr>
            </w:pPr>
            <w:r>
              <w:rPr>
                <w:rFonts w:ascii="Times New Roman" w:cs="Times New Roman" w:eastAsia="Times New Roman" w:hAnsi="Times New Roman"/>
                <w:sz w:val="14"/>
                <w:szCs w:val="14"/>
                <w:b w:val="1"/>
                <w:bCs w:val="1"/>
                <w:color w:val="auto"/>
              </w:rPr>
              <w:t>2002</w:t>
            </w:r>
          </w:p>
        </w:tc>
        <w:tc>
          <w:tcPr>
            <w:tcW w:w="2040" w:type="dxa"/>
            <w:vAlign w:val="bottom"/>
            <w:tcBorders>
              <w:top w:val="single" w:sz="8" w:color="auto"/>
            </w:tcBorders>
            <w:gridSpan w:val="2"/>
          </w:tcPr>
          <w:p>
            <w:pPr>
              <w:jc w:val="right"/>
              <w:ind w:right="612"/>
              <w:spacing w:after="0" w:line="152" w:lineRule="exact"/>
              <w:rPr>
                <w:sz w:val="20"/>
                <w:szCs w:val="20"/>
                <w:color w:val="auto"/>
              </w:rPr>
            </w:pPr>
            <w:r>
              <w:rPr>
                <w:rFonts w:ascii="Times New Roman" w:cs="Times New Roman" w:eastAsia="Times New Roman" w:hAnsi="Times New Roman"/>
                <w:sz w:val="14"/>
                <w:szCs w:val="14"/>
                <w:b w:val="1"/>
                <w:bCs w:val="1"/>
                <w:color w:val="auto"/>
              </w:rPr>
              <w:t>2001</w:t>
            </w:r>
          </w:p>
        </w:tc>
      </w:tr>
      <w:tr>
        <w:trPr>
          <w:trHeight w:val="222"/>
        </w:trPr>
        <w:tc>
          <w:tcPr>
            <w:tcW w:w="2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2.01x</w:t>
            </w:r>
          </w:p>
        </w:tc>
        <w:tc>
          <w:tcPr>
            <w:tcW w:w="340" w:type="dxa"/>
            <w:vAlign w:val="bottom"/>
          </w:tcPr>
          <w:p>
            <w:pPr>
              <w:spacing w:after="0"/>
              <w:rPr>
                <w:sz w:val="19"/>
                <w:szCs w:val="19"/>
                <w:color w:val="auto"/>
              </w:rPr>
            </w:pPr>
          </w:p>
        </w:tc>
        <w:tc>
          <w:tcPr>
            <w:tcW w:w="2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1.97x</w:t>
            </w:r>
          </w:p>
        </w:tc>
        <w:tc>
          <w:tcPr>
            <w:tcW w:w="340" w:type="dxa"/>
            <w:vAlign w:val="bottom"/>
          </w:tcPr>
          <w:p>
            <w:pPr>
              <w:spacing w:after="0"/>
              <w:rPr>
                <w:sz w:val="19"/>
                <w:szCs w:val="19"/>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w:t>
            </w:r>
          </w:p>
        </w:tc>
        <w:tc>
          <w:tcPr>
            <w:tcW w:w="340" w:type="dxa"/>
            <w:vAlign w:val="bottom"/>
          </w:tcPr>
          <w:p>
            <w:pPr>
              <w:spacing w:after="0"/>
              <w:rPr>
                <w:sz w:val="19"/>
                <w:szCs w:val="19"/>
                <w:color w:val="auto"/>
              </w:rPr>
            </w:pPr>
          </w:p>
        </w:tc>
        <w:tc>
          <w:tcPr>
            <w:tcW w:w="2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9"/>
                <w:szCs w:val="19"/>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1.33x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64770</wp:posOffset>
            </wp:positionV>
            <wp:extent cx="22510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51075" cy="8255"/>
                    </a:xfrm>
                    <a:prstGeom prst="rect">
                      <a:avLst/>
                    </a:prstGeom>
                    <a:noFill/>
                  </pic:spPr>
                </pic:pic>
              </a:graphicData>
            </a:graphic>
          </wp:anchor>
        </w:drawing>
      </w:r>
    </w:p>
    <w:p>
      <w:pPr>
        <w:spacing w:after="0" w:line="15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For the years ended December 31, 2003 and 2002, we had a $76 million and $490 million deficiency, respectively, of earnings to fixed charges.</w:t>
      </w:r>
    </w:p>
    <w:p>
      <w:pPr>
        <w:spacing w:after="0" w:line="111" w:lineRule="exact"/>
        <w:rPr>
          <w:sz w:val="20"/>
          <w:szCs w:val="20"/>
          <w:color w:val="auto"/>
        </w:rPr>
      </w:pPr>
    </w:p>
    <w:p>
      <w:pPr>
        <w:ind w:right="320" w:firstLine="264"/>
        <w:spacing w:after="0" w:line="301" w:lineRule="auto"/>
        <w:rPr>
          <w:sz w:val="20"/>
          <w:szCs w:val="20"/>
          <w:color w:val="auto"/>
        </w:rPr>
      </w:pPr>
      <w:r>
        <w:rPr>
          <w:rFonts w:ascii="Times New Roman" w:cs="Times New Roman" w:eastAsia="Times New Roman" w:hAnsi="Times New Roman"/>
          <w:sz w:val="17"/>
          <w:szCs w:val="17"/>
          <w:color w:val="auto"/>
        </w:rPr>
        <w:t>For purposes of calculating the ratio of earnings to fixed charges, earnings is the amount resulting from (1) adding (a) pretax income from continuing operations before adjustment for minority interests in consolidated subsidiaries or income or loss from equity investees, (b) fixed charges, (c) amortization of</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both"/>
        <w:ind w:right="240"/>
        <w:spacing w:after="0" w:line="267" w:lineRule="auto"/>
        <w:rPr>
          <w:sz w:val="20"/>
          <w:szCs w:val="20"/>
          <w:color w:val="auto"/>
        </w:rPr>
      </w:pPr>
      <w:r>
        <w:rPr>
          <w:rFonts w:ascii="Times New Roman" w:cs="Times New Roman" w:eastAsia="Times New Roman" w:hAnsi="Times New Roman"/>
          <w:sz w:val="17"/>
          <w:szCs w:val="17"/>
          <w:color w:val="auto"/>
        </w:rPr>
        <w:t>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minority interest in pre-tax income of subsidiaries that have not incurred fixed charges. Fixed charges is the sum of (w) interest expensed and capitalized,</w:t>
      </w:r>
    </w:p>
    <w:p>
      <w:pPr>
        <w:ind w:firstLine="6"/>
        <w:spacing w:after="0" w:line="248" w:lineRule="auto"/>
        <w:tabs>
          <w:tab w:leader="none" w:pos="25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RATIOS OF EARNINGS TO COMBINED FIXED CHARGES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PREFERRED DIVIDENDS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180" w:type="dxa"/>
            <w:vAlign w:val="bottom"/>
            <w:tcBorders>
              <w:top w:val="single" w:sz="8" w:color="auto"/>
            </w:tcBorders>
          </w:tcPr>
          <w:p>
            <w:pPr>
              <w:jc w:val="right"/>
              <w:ind w:right="861"/>
              <w:spacing w:after="0" w:line="152" w:lineRule="exact"/>
              <w:rPr>
                <w:sz w:val="20"/>
                <w:szCs w:val="20"/>
                <w:color w:val="auto"/>
              </w:rPr>
            </w:pPr>
            <w:r>
              <w:rPr>
                <w:rFonts w:ascii="Times New Roman" w:cs="Times New Roman" w:eastAsia="Times New Roman" w:hAnsi="Times New Roman"/>
                <w:sz w:val="14"/>
                <w:szCs w:val="14"/>
                <w:b w:val="1"/>
                <w:bCs w:val="1"/>
                <w:color w:val="auto"/>
              </w:rPr>
              <w:t>2005</w:t>
            </w:r>
          </w:p>
        </w:tc>
        <w:tc>
          <w:tcPr>
            <w:tcW w:w="2400" w:type="dxa"/>
            <w:vAlign w:val="bottom"/>
            <w:tcBorders>
              <w:top w:val="single" w:sz="8" w:color="auto"/>
            </w:tcBorders>
            <w:gridSpan w:val="2"/>
          </w:tcPr>
          <w:p>
            <w:pPr>
              <w:jc w:val="right"/>
              <w:ind w:right="792"/>
              <w:spacing w:after="0" w:line="152" w:lineRule="exact"/>
              <w:rPr>
                <w:sz w:val="20"/>
                <w:szCs w:val="20"/>
                <w:color w:val="auto"/>
              </w:rPr>
            </w:pPr>
            <w:r>
              <w:rPr>
                <w:rFonts w:ascii="Times New Roman" w:cs="Times New Roman" w:eastAsia="Times New Roman" w:hAnsi="Times New Roman"/>
                <w:sz w:val="14"/>
                <w:szCs w:val="14"/>
                <w:b w:val="1"/>
                <w:bCs w:val="1"/>
                <w:color w:val="auto"/>
              </w:rPr>
              <w:t>2004</w:t>
            </w:r>
          </w:p>
        </w:tc>
        <w:tc>
          <w:tcPr>
            <w:tcW w:w="2420" w:type="dxa"/>
            <w:vAlign w:val="bottom"/>
            <w:tcBorders>
              <w:top w:val="single" w:sz="8" w:color="auto"/>
            </w:tcBorders>
            <w:gridSpan w:val="2"/>
          </w:tcPr>
          <w:p>
            <w:pPr>
              <w:jc w:val="right"/>
              <w:ind w:right="812"/>
              <w:spacing w:after="0" w:line="152" w:lineRule="exact"/>
              <w:rPr>
                <w:sz w:val="20"/>
                <w:szCs w:val="20"/>
                <w:color w:val="auto"/>
              </w:rPr>
            </w:pPr>
            <w:r>
              <w:rPr>
                <w:rFonts w:ascii="Times New Roman" w:cs="Times New Roman" w:eastAsia="Times New Roman" w:hAnsi="Times New Roman"/>
                <w:sz w:val="14"/>
                <w:szCs w:val="14"/>
                <w:b w:val="1"/>
                <w:bCs w:val="1"/>
                <w:color w:val="auto"/>
              </w:rPr>
              <w:t>2003</w:t>
            </w:r>
          </w:p>
        </w:tc>
        <w:tc>
          <w:tcPr>
            <w:tcW w:w="2380" w:type="dxa"/>
            <w:vAlign w:val="bottom"/>
            <w:tcBorders>
              <w:top w:val="single" w:sz="8" w:color="auto"/>
            </w:tcBorders>
            <w:gridSpan w:val="2"/>
          </w:tcPr>
          <w:p>
            <w:pPr>
              <w:jc w:val="right"/>
              <w:ind w:right="792"/>
              <w:spacing w:after="0" w:line="152" w:lineRule="exact"/>
              <w:rPr>
                <w:sz w:val="20"/>
                <w:szCs w:val="20"/>
                <w:color w:val="auto"/>
              </w:rPr>
            </w:pPr>
            <w:r>
              <w:rPr>
                <w:rFonts w:ascii="Times New Roman" w:cs="Times New Roman" w:eastAsia="Times New Roman" w:hAnsi="Times New Roman"/>
                <w:sz w:val="14"/>
                <w:szCs w:val="14"/>
                <w:b w:val="1"/>
                <w:bCs w:val="1"/>
                <w:color w:val="auto"/>
              </w:rPr>
              <w:t>2002</w:t>
            </w:r>
          </w:p>
        </w:tc>
        <w:tc>
          <w:tcPr>
            <w:tcW w:w="2040" w:type="dxa"/>
            <w:vAlign w:val="bottom"/>
            <w:tcBorders>
              <w:top w:val="single" w:sz="8" w:color="auto"/>
            </w:tcBorders>
            <w:gridSpan w:val="2"/>
          </w:tcPr>
          <w:p>
            <w:pPr>
              <w:jc w:val="right"/>
              <w:ind w:right="612"/>
              <w:spacing w:after="0" w:line="152" w:lineRule="exact"/>
              <w:rPr>
                <w:sz w:val="20"/>
                <w:szCs w:val="20"/>
                <w:color w:val="auto"/>
              </w:rPr>
            </w:pPr>
            <w:r>
              <w:rPr>
                <w:rFonts w:ascii="Times New Roman" w:cs="Times New Roman" w:eastAsia="Times New Roman" w:hAnsi="Times New Roman"/>
                <w:sz w:val="14"/>
                <w:szCs w:val="14"/>
                <w:b w:val="1"/>
                <w:bCs w:val="1"/>
                <w:color w:val="auto"/>
              </w:rPr>
              <w:t>2001</w:t>
            </w:r>
          </w:p>
        </w:tc>
      </w:tr>
      <w:tr>
        <w:trPr>
          <w:trHeight w:val="222"/>
        </w:trPr>
        <w:tc>
          <w:tcPr>
            <w:tcW w:w="2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2.01x</w:t>
            </w:r>
          </w:p>
        </w:tc>
        <w:tc>
          <w:tcPr>
            <w:tcW w:w="340" w:type="dxa"/>
            <w:vAlign w:val="bottom"/>
          </w:tcPr>
          <w:p>
            <w:pPr>
              <w:spacing w:after="0"/>
              <w:rPr>
                <w:sz w:val="19"/>
                <w:szCs w:val="19"/>
                <w:color w:val="auto"/>
              </w:rPr>
            </w:pPr>
          </w:p>
        </w:tc>
        <w:tc>
          <w:tcPr>
            <w:tcW w:w="2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1.97x</w:t>
            </w:r>
          </w:p>
        </w:tc>
        <w:tc>
          <w:tcPr>
            <w:tcW w:w="340" w:type="dxa"/>
            <w:vAlign w:val="bottom"/>
          </w:tcPr>
          <w:p>
            <w:pPr>
              <w:spacing w:after="0"/>
              <w:rPr>
                <w:sz w:val="19"/>
                <w:szCs w:val="19"/>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w:t>
            </w:r>
          </w:p>
        </w:tc>
        <w:tc>
          <w:tcPr>
            <w:tcW w:w="340" w:type="dxa"/>
            <w:vAlign w:val="bottom"/>
          </w:tcPr>
          <w:p>
            <w:pPr>
              <w:spacing w:after="0"/>
              <w:rPr>
                <w:sz w:val="19"/>
                <w:szCs w:val="19"/>
                <w:color w:val="auto"/>
              </w:rPr>
            </w:pPr>
          </w:p>
        </w:tc>
        <w:tc>
          <w:tcPr>
            <w:tcW w:w="2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9"/>
                <w:szCs w:val="19"/>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1.33x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64770</wp:posOffset>
            </wp:positionV>
            <wp:extent cx="22510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51075" cy="8255"/>
                    </a:xfrm>
                    <a:prstGeom prst="rect">
                      <a:avLst/>
                    </a:prstGeom>
                    <a:noFill/>
                  </pic:spPr>
                </pic:pic>
              </a:graphicData>
            </a:graphic>
          </wp:anchor>
        </w:drawing>
      </w:r>
    </w:p>
    <w:p>
      <w:pPr>
        <w:spacing w:after="0" w:line="156" w:lineRule="exact"/>
        <w:rPr>
          <w:sz w:val="20"/>
          <w:szCs w:val="20"/>
          <w:color w:val="auto"/>
        </w:rPr>
      </w:pPr>
    </w:p>
    <w:p>
      <w:pPr>
        <w:ind w:left="340" w:right="260" w:hanging="334"/>
        <w:spacing w:after="0" w:line="271"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2003 and 2002, we had a $76 million and $490 million deficiency, respectively, of earnings to combined fixed charges and preferred dividends.</w:t>
      </w:r>
    </w:p>
    <w:p>
      <w:pPr>
        <w:spacing w:after="0" w:line="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For purposes of calculating the ratio of earnings to combined fixed charges and preferred dividends, earnings is the amount resulting from (1) adding</w:t>
      </w:r>
    </w:p>
    <w:p>
      <w:pPr>
        <w:spacing w:after="0" w:line="22" w:lineRule="exact"/>
        <w:rPr>
          <w:sz w:val="20"/>
          <w:szCs w:val="20"/>
          <w:color w:val="auto"/>
        </w:rPr>
      </w:pPr>
    </w:p>
    <w:p>
      <w:pPr>
        <w:ind w:left="240" w:hanging="234"/>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pretax income from continuing operations before adjustment for minority interests in consolidated subsidiaries or income or loss from equity investees,</w:t>
      </w:r>
    </w:p>
    <w:p>
      <w:pPr>
        <w:spacing w:after="0" w:line="4" w:lineRule="exact"/>
        <w:rPr>
          <w:rFonts w:ascii="Times New Roman" w:cs="Times New Roman" w:eastAsia="Times New Roman" w:hAnsi="Times New Roman"/>
          <w:sz w:val="18"/>
          <w:szCs w:val="18"/>
          <w:color w:val="auto"/>
        </w:rPr>
      </w:pPr>
    </w:p>
    <w:p>
      <w:pPr>
        <w:ind w:right="160" w:firstLine="6"/>
        <w:spacing w:after="0" w:line="259" w:lineRule="auto"/>
        <w:tabs>
          <w:tab w:leader="none" w:pos="25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minority interest in pre-tax income of subsidiaries that have not incurred fixed charges. Fixed charges is the sum of</w:t>
      </w:r>
    </w:p>
    <w:p>
      <w:pPr>
        <w:spacing w:after="0" w:line="2" w:lineRule="exact"/>
        <w:rPr>
          <w:rFonts w:ascii="Times New Roman" w:cs="Times New Roman" w:eastAsia="Times New Roman" w:hAnsi="Times New Roman"/>
          <w:sz w:val="17"/>
          <w:szCs w:val="17"/>
          <w:color w:val="auto"/>
        </w:rPr>
      </w:pPr>
    </w:p>
    <w:p>
      <w:pPr>
        <w:jc w:val="both"/>
        <w:ind w:right="160" w:firstLine="6"/>
        <w:spacing w:after="0" w:line="248" w:lineRule="auto"/>
        <w:tabs>
          <w:tab w:leader="none" w:pos="28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expensed and capitalized, (x) 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2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DESCRIPTION OF DEBT SECURITIES AND CABLE GUARANTEES</w:t>
      </w:r>
    </w:p>
    <w:p>
      <w:pPr>
        <w:spacing w:after="0" w:line="11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Our debt securities, consisting of notes, debentures or other evidences of indebtedness, may be issued from time to time in one or more series:</w:t>
      </w:r>
    </w:p>
    <w:p>
      <w:pPr>
        <w:spacing w:after="0" w:line="111" w:lineRule="exact"/>
        <w:rPr>
          <w:sz w:val="20"/>
          <w:szCs w:val="20"/>
          <w:color w:val="auto"/>
        </w:rPr>
      </w:pPr>
    </w:p>
    <w:p>
      <w:pPr>
        <w:ind w:left="820" w:right="160" w:hanging="470"/>
        <w:spacing w:after="0" w:line="271" w:lineRule="auto"/>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senior debt securities, under a senior indenture dated January 7, 2003, as amended by a supplemental indenture dated March 25, 2003, entered into among us, the cable guarantors and The Bank of New York, as trustee; and</w:t>
      </w:r>
    </w:p>
    <w:p>
      <w:pPr>
        <w:spacing w:after="0" w:line="74" w:lineRule="exact"/>
        <w:rPr>
          <w:rFonts w:ascii="Times New Roman" w:cs="Times New Roman" w:eastAsia="Times New Roman" w:hAnsi="Times New Roman"/>
          <w:sz w:val="18"/>
          <w:szCs w:val="18"/>
          <w:color w:val="auto"/>
        </w:rPr>
      </w:pPr>
    </w:p>
    <w:p>
      <w:pPr>
        <w:ind w:left="820" w:right="280" w:hanging="470"/>
        <w:spacing w:after="0" w:line="271" w:lineRule="auto"/>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subordinated debt securities, under a subordinated indenture to be entered into among us, the cable guarantors and The Bank of New York, as trustee.</w:t>
      </w:r>
    </w:p>
    <w:p>
      <w:pPr>
        <w:spacing w:after="0" w:line="62" w:lineRule="exact"/>
        <w:rPr>
          <w:sz w:val="20"/>
          <w:szCs w:val="20"/>
          <w:color w:val="auto"/>
        </w:rPr>
      </w:pPr>
    </w:p>
    <w:p>
      <w:pPr>
        <w:ind w:right="300" w:firstLine="261"/>
        <w:spacing w:after="0" w:line="271" w:lineRule="auto"/>
        <w:rPr>
          <w:sz w:val="20"/>
          <w:szCs w:val="20"/>
          <w:color w:val="auto"/>
        </w:rPr>
      </w:pPr>
      <w:r>
        <w:rPr>
          <w:rFonts w:ascii="Times New Roman" w:cs="Times New Roman" w:eastAsia="Times New Roman" w:hAnsi="Times New Roman"/>
          <w:sz w:val="18"/>
          <w:szCs w:val="18"/>
          <w:color w:val="auto"/>
        </w:rPr>
        <w:t>The senior indenture and supplemental indenture are included, and the subordinated indenture will be substantially in the form included, as exhibits to the registration statement of which this prospectus is a part.</w:t>
      </w:r>
    </w:p>
    <w:p>
      <w:pPr>
        <w:spacing w:after="0" w:line="62" w:lineRule="exact"/>
        <w:rPr>
          <w:sz w:val="20"/>
          <w:szCs w:val="20"/>
          <w:color w:val="auto"/>
        </w:rPr>
      </w:pPr>
    </w:p>
    <w:p>
      <w:pPr>
        <w:ind w:right="280" w:firstLine="264"/>
        <w:spacing w:after="0" w:line="253" w:lineRule="auto"/>
        <w:rPr>
          <w:sz w:val="20"/>
          <w:szCs w:val="20"/>
          <w:color w:val="auto"/>
        </w:rPr>
      </w:pPr>
      <w:r>
        <w:rPr>
          <w:rFonts w:ascii="Times New Roman" w:cs="Times New Roman" w:eastAsia="Times New Roman" w:hAnsi="Times New Roman"/>
          <w:sz w:val="18"/>
          <w:szCs w:val="18"/>
          <w:color w:val="auto"/>
        </w:rPr>
        <w:t>Because the following is only a summary of the indentures and the debt securities, it does not contain all information that you may find useful. For further information about the indentures and the debt securities, you should read the indentures. As used in this section of the prospectus and under the caption “Description of Common Stock,” the terms “we,” “us” and “our” refer solely to Comcast Corporation and such references do not include any subsidiaries of Comcast Corporation.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3" w:lineRule="exact"/>
        <w:rPr>
          <w:sz w:val="20"/>
          <w:szCs w:val="20"/>
          <w:color w:val="auto"/>
        </w:rPr>
      </w:pPr>
    </w:p>
    <w:p>
      <w:pPr>
        <w:ind w:right="40" w:firstLine="261"/>
        <w:spacing w:after="0" w:line="251" w:lineRule="auto"/>
        <w:rPr>
          <w:sz w:val="20"/>
          <w:szCs w:val="20"/>
          <w:color w:val="auto"/>
        </w:rPr>
      </w:pPr>
      <w:r>
        <w:rPr>
          <w:rFonts w:ascii="Times New Roman" w:cs="Times New Roman" w:eastAsia="Times New Roman" w:hAnsi="Times New Roman"/>
          <w:sz w:val="18"/>
          <w:szCs w:val="18"/>
          <w:color w:val="auto"/>
        </w:rPr>
        <w:t>The senior debt securities will constitute our unsecured and unsubordinated obligations and the subordinated debt securities will constitute our unsecured and subordinated obligations. A detailed description of the subordination provisions is provided below under the caption “—Certain Terms of the Subordinated Debt Securities—Subordination.” In general, however, if we declare bankruptcy, holders of the senior debt securities will be paid in full before the holders of subordinated debt securities will receive anything. The debt securities will be fully and unconditionally guaranteed by the cable guarantors, as described below. The debt securities will not be guaranteed by any of our other subsidiaries.</w:t>
      </w:r>
    </w:p>
    <w:p>
      <w:pPr>
        <w:spacing w:after="0" w:line="82" w:lineRule="exact"/>
        <w:rPr>
          <w:sz w:val="20"/>
          <w:szCs w:val="20"/>
          <w:color w:val="auto"/>
        </w:rPr>
      </w:pPr>
    </w:p>
    <w:p>
      <w:pPr>
        <w:ind w:firstLine="261"/>
        <w:spacing w:after="0" w:line="266" w:lineRule="auto"/>
        <w:rPr>
          <w:sz w:val="20"/>
          <w:szCs w:val="20"/>
          <w:color w:val="auto"/>
        </w:rPr>
      </w:pPr>
      <w:r>
        <w:rPr>
          <w:rFonts w:ascii="Times New Roman" w:cs="Times New Roman" w:eastAsia="Times New Roman" w:hAnsi="Times New Roman"/>
          <w:sz w:val="17"/>
          <w:szCs w:val="17"/>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cable guarantors with respect to the cable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You should look in the applicable prospectus supplement for the following terms of the debt securities being offered:</w:t>
      </w:r>
    </w:p>
    <w:p>
      <w:pPr>
        <w:spacing w:after="0" w:line="111" w:lineRule="exact"/>
        <w:rPr>
          <w:sz w:val="20"/>
          <w:szCs w:val="20"/>
          <w:color w:val="auto"/>
        </w:rPr>
      </w:pPr>
    </w:p>
    <w:p>
      <w:pPr>
        <w:ind w:left="820" w:hanging="470"/>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debt securities;</w:t>
      </w:r>
    </w:p>
    <w:p>
      <w:pPr>
        <w:spacing w:after="0" w:line="123"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debt securities;</w:t>
      </w:r>
    </w:p>
    <w:p>
      <w:pPr>
        <w:spacing w:after="0" w:line="121"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their principal amount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price) at which the debt securities will be issued;</w:t>
      </w:r>
    </w:p>
    <w:p>
      <w:pPr>
        <w:spacing w:after="0" w:line="125"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debt securities will mature and the right, if any, to extend such date or dates;</w:t>
      </w:r>
    </w:p>
    <w:p>
      <w:pPr>
        <w:spacing w:after="0" w:line="123"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if any, per year, at which the debt securities will bear interest, or the method of determining such rate or rates;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820" w:right="580" w:hanging="470"/>
        <w:spacing w:after="0" w:line="258" w:lineRule="auto"/>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86"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that extension;</w:t>
      </w:r>
    </w:p>
    <w:p>
      <w:pPr>
        <w:spacing w:after="0" w:line="123"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a sinking fund purchase or other analogous fund, if any;</w:t>
      </w:r>
    </w:p>
    <w:p>
      <w:pPr>
        <w:spacing w:after="0" w:line="123" w:lineRule="exact"/>
        <w:rPr>
          <w:rFonts w:ascii="Times New Roman" w:cs="Times New Roman" w:eastAsia="Times New Roman" w:hAnsi="Times New Roman"/>
          <w:sz w:val="18"/>
          <w:szCs w:val="18"/>
          <w:color w:val="auto"/>
        </w:rPr>
      </w:pPr>
    </w:p>
    <w:p>
      <w:pPr>
        <w:ind w:left="820" w:right="700" w:hanging="470"/>
        <w:spacing w:after="0" w:line="271" w:lineRule="auto"/>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74"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w:t>
      </w:r>
    </w:p>
    <w:p>
      <w:pPr>
        <w:spacing w:after="0" w:line="123" w:lineRule="exact"/>
        <w:rPr>
          <w:rFonts w:ascii="Times New Roman" w:cs="Times New Roman" w:eastAsia="Times New Roman" w:hAnsi="Times New Roman"/>
          <w:sz w:val="18"/>
          <w:szCs w:val="18"/>
          <w:color w:val="auto"/>
        </w:rPr>
      </w:pPr>
    </w:p>
    <w:p>
      <w:pPr>
        <w:ind w:left="820" w:right="160" w:hanging="470"/>
        <w:spacing w:after="0" w:line="271" w:lineRule="auto"/>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payment of additional amounts for taxes and any provision for redemption, if we must pay such additional amounts in respect of any debt security;</w:t>
      </w:r>
    </w:p>
    <w:p>
      <w:pPr>
        <w:spacing w:after="0" w:line="74" w:lineRule="exact"/>
        <w:rPr>
          <w:rFonts w:ascii="Times New Roman" w:cs="Times New Roman" w:eastAsia="Times New Roman" w:hAnsi="Times New Roman"/>
          <w:sz w:val="18"/>
          <w:szCs w:val="18"/>
          <w:color w:val="auto"/>
        </w:rPr>
      </w:pPr>
    </w:p>
    <w:p>
      <w:pPr>
        <w:ind w:left="820" w:right="180" w:hanging="470"/>
        <w:spacing w:after="0" w:line="271" w:lineRule="auto"/>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74" w:lineRule="exact"/>
        <w:rPr>
          <w:rFonts w:ascii="Times New Roman" w:cs="Times New Roman" w:eastAsia="Times New Roman" w:hAnsi="Times New Roman"/>
          <w:sz w:val="18"/>
          <w:szCs w:val="18"/>
          <w:color w:val="auto"/>
        </w:rPr>
      </w:pPr>
    </w:p>
    <w:p>
      <w:pPr>
        <w:ind w:left="820" w:right="340" w:hanging="470"/>
        <w:spacing w:after="0" w:line="271" w:lineRule="auto"/>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74" w:lineRule="exact"/>
        <w:rPr>
          <w:rFonts w:ascii="Times New Roman" w:cs="Times New Roman" w:eastAsia="Times New Roman" w:hAnsi="Times New Roman"/>
          <w:sz w:val="18"/>
          <w:szCs w:val="18"/>
          <w:color w:val="auto"/>
        </w:rPr>
      </w:pPr>
    </w:p>
    <w:p>
      <w:pPr>
        <w:ind w:left="820" w:right="80" w:hanging="470"/>
        <w:spacing w:after="0" w:line="271" w:lineRule="auto"/>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pursuant to which the debt securities may be converted or exchanged for the cash value of other securities issued by us or by a third party;</w:t>
      </w:r>
    </w:p>
    <w:p>
      <w:pPr>
        <w:spacing w:after="0" w:line="74"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“reopen” a series of the debt securities and issue additional debt securities of such series; and</w:t>
      </w:r>
    </w:p>
    <w:p>
      <w:pPr>
        <w:spacing w:after="0" w:line="123" w:lineRule="exact"/>
        <w:rPr>
          <w:rFonts w:ascii="Times New Roman" w:cs="Times New Roman" w:eastAsia="Times New Roman" w:hAnsi="Times New Roman"/>
          <w:sz w:val="18"/>
          <w:szCs w:val="18"/>
          <w:color w:val="auto"/>
        </w:rPr>
      </w:pPr>
    </w:p>
    <w:p>
      <w:pPr>
        <w:ind w:left="820" w:right="20" w:hanging="470"/>
        <w:spacing w:after="0" w:line="271" w:lineRule="auto"/>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62" w:lineRule="exact"/>
        <w:rPr>
          <w:sz w:val="20"/>
          <w:szCs w:val="20"/>
          <w:color w:val="auto"/>
        </w:rPr>
      </w:pPr>
    </w:p>
    <w:p>
      <w:pPr>
        <w:ind w:firstLine="258"/>
        <w:spacing w:after="0" w:line="258" w:lineRule="auto"/>
        <w:rPr>
          <w:sz w:val="20"/>
          <w:szCs w:val="20"/>
          <w:color w:val="auto"/>
        </w:rPr>
      </w:pPr>
      <w:r>
        <w:rPr>
          <w:rFonts w:ascii="Times New Roman" w:cs="Times New Roman" w:eastAsia="Times New Roman" w:hAnsi="Times New Roman"/>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73" w:lineRule="exact"/>
        <w:rPr>
          <w:sz w:val="20"/>
          <w:szCs w:val="20"/>
          <w:color w:val="auto"/>
        </w:rPr>
      </w:pPr>
    </w:p>
    <w:p>
      <w:pPr>
        <w:ind w:right="160" w:firstLine="264"/>
        <w:spacing w:after="0" w:line="253" w:lineRule="auto"/>
        <w:rPr>
          <w:sz w:val="20"/>
          <w:szCs w:val="20"/>
          <w:color w:val="auto"/>
        </w:rPr>
      </w:pPr>
      <w:r>
        <w:rPr>
          <w:rFonts w:ascii="Times New Roman" w:cs="Times New Roman" w:eastAsia="Times New Roman" w:hAnsi="Times New Roman"/>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United States federal income tax considerations applicable to any such discounted debt securities or to certain debt securities issued at par which are treated as having been issued at a discount for United States federal income tax purposes will be described in the relevant prospectus supplement.</w:t>
      </w:r>
    </w:p>
    <w:p>
      <w:pPr>
        <w:spacing w:after="0" w:line="80" w:lineRule="exact"/>
        <w:rPr>
          <w:sz w:val="20"/>
          <w:szCs w:val="20"/>
          <w:color w:val="auto"/>
        </w:rPr>
      </w:pPr>
    </w:p>
    <w:p>
      <w:pPr>
        <w:ind w:right="100" w:firstLine="261"/>
        <w:spacing w:after="0" w:line="249" w:lineRule="auto"/>
        <w:rPr>
          <w:sz w:val="20"/>
          <w:szCs w:val="20"/>
          <w:color w:val="auto"/>
        </w:rPr>
      </w:pPr>
      <w:r>
        <w:rPr>
          <w:rFonts w:ascii="Times New Roman" w:cs="Times New Roman" w:eastAsia="Times New Roman" w:hAnsi="Times New Roman"/>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1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1" w:right="29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Terms of the Senior Debt Securities</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Cable Guarantees</w:t>
      </w:r>
    </w:p>
    <w:p>
      <w:pPr>
        <w:spacing w:after="0" w:line="115" w:lineRule="exact"/>
        <w:rPr>
          <w:sz w:val="20"/>
          <w:szCs w:val="20"/>
          <w:color w:val="auto"/>
        </w:rPr>
      </w:pPr>
    </w:p>
    <w:p>
      <w:pPr>
        <w:ind w:right="140" w:firstLine="264"/>
        <w:spacing w:after="0" w:line="258" w:lineRule="auto"/>
        <w:rPr>
          <w:sz w:val="20"/>
          <w:szCs w:val="20"/>
          <w:color w:val="auto"/>
        </w:rPr>
      </w:pPr>
      <w:r>
        <w:rPr>
          <w:rFonts w:ascii="Times New Roman" w:cs="Times New Roman" w:eastAsia="Times New Roman" w:hAnsi="Times New Roman"/>
          <w:sz w:val="18"/>
          <w:szCs w:val="18"/>
          <w:color w:val="auto"/>
        </w:rPr>
        <w:t>Our obligations under the senior debt securities, including the payment of principal, premium, if any, and interest, will be fully and unconditionally guaranteed by each of the cable guarantors. The cable guarantees will rank equally with all other general unsecured and unsubordinated obligations of the cable guarantors.</w:t>
      </w:r>
    </w:p>
    <w:p>
      <w:pPr>
        <w:spacing w:after="0" w:line="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cable guarantees will not contain any restrictions on the ability of any cable guarantor to:</w:t>
      </w:r>
    </w:p>
    <w:p>
      <w:pPr>
        <w:spacing w:after="0" w:line="111" w:lineRule="exact"/>
        <w:rPr>
          <w:sz w:val="20"/>
          <w:szCs w:val="20"/>
          <w:color w:val="auto"/>
        </w:rPr>
      </w:pPr>
    </w:p>
    <w:p>
      <w:pPr>
        <w:ind w:left="820" w:right="200" w:hanging="470"/>
        <w:spacing w:after="0" w:line="271" w:lineRule="auto"/>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distributions on, or redeem, purchase, acquire, or make a liquidation payment with respect to, any of that cable guarantor’s capital stock or</w:t>
      </w:r>
    </w:p>
    <w:p>
      <w:pPr>
        <w:spacing w:after="0" w:line="74"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 of principal, interest or premium, if any, on or repay, repurchase or redeem any debt securities of that cable guarantor.</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Certain Covenants</w:t>
      </w:r>
    </w:p>
    <w:p>
      <w:pPr>
        <w:spacing w:after="0" w:line="115" w:lineRule="exact"/>
        <w:rPr>
          <w:sz w:val="20"/>
          <w:szCs w:val="20"/>
          <w:color w:val="auto"/>
        </w:rPr>
      </w:pPr>
    </w:p>
    <w:p>
      <w:pPr>
        <w:ind w:right="80" w:firstLine="261"/>
        <w:spacing w:after="0" w:line="258" w:lineRule="auto"/>
        <w:rPr>
          <w:sz w:val="20"/>
          <w:szCs w:val="20"/>
          <w:color w:val="auto"/>
        </w:rPr>
      </w:pPr>
      <w:r>
        <w:rPr>
          <w:rFonts w:ascii="Times New Roman" w:cs="Times New Roman" w:eastAsia="Times New Roman" w:hAnsi="Times New Roman"/>
          <w:sz w:val="18"/>
          <w:szCs w:val="18"/>
          <w:color w:val="auto"/>
        </w:rPr>
        <w:t>We and the cable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73" w:lineRule="exact"/>
        <w:rPr>
          <w:sz w:val="20"/>
          <w:szCs w:val="20"/>
          <w:color w:val="auto"/>
        </w:rPr>
      </w:pPr>
    </w:p>
    <w:p>
      <w:pPr>
        <w:ind w:right="280" w:firstLine="261"/>
        <w:spacing w:after="0" w:line="258" w:lineRule="auto"/>
        <w:rPr>
          <w:sz w:val="20"/>
          <w:szCs w:val="20"/>
          <w:color w:val="auto"/>
        </w:rPr>
      </w:pPr>
      <w:r>
        <w:rPr>
          <w:rFonts w:ascii="Times New Roman" w:cs="Times New Roman" w:eastAsia="Times New Roman" w:hAnsi="Times New Roman"/>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71" w:lineRule="exact"/>
        <w:rPr>
          <w:sz w:val="20"/>
          <w:szCs w:val="20"/>
          <w:color w:val="auto"/>
        </w:rPr>
      </w:pPr>
    </w:p>
    <w:p>
      <w:pPr>
        <w:jc w:val="both"/>
        <w:ind w:right="280" w:firstLine="26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Limitation on Liens Securing Indebtedness. </w:t>
      </w:r>
      <w:r>
        <w:rPr>
          <w:rFonts w:ascii="Times New Roman" w:cs="Times New Roman" w:eastAsia="Times New Roman" w:hAnsi="Times New Roman"/>
          <w:sz w:val="18"/>
          <w:szCs w:val="18"/>
          <w:color w:val="auto"/>
        </w:rPr>
        <w:t>Neither we nor any cable guarantor shall create, incur or assume any Lien (other than any Permitted Lien)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person’s assets, including the Capital Stock of such person’s wholly-owned subsidiaries, to secure the payment of our Indebtedness or that of any cable guarantor, unless we secure the outstanding senior debt securities equally and ratably with (or prior to) all Indebtedness secured by such Lien, so long as such Indebtedness shall be so secured.</w:t>
      </w:r>
    </w:p>
    <w:p>
      <w:pPr>
        <w:spacing w:after="0" w:line="76" w:lineRule="exact"/>
        <w:rPr>
          <w:sz w:val="20"/>
          <w:szCs w:val="20"/>
          <w:color w:val="auto"/>
        </w:rPr>
      </w:pPr>
    </w:p>
    <w:p>
      <w:pPr>
        <w:jc w:val="both"/>
        <w:ind w:right="300" w:firstLine="264"/>
        <w:spacing w:after="0" w:line="273" w:lineRule="auto"/>
        <w:rPr>
          <w:sz w:val="20"/>
          <w:szCs w:val="20"/>
          <w:color w:val="auto"/>
        </w:rPr>
      </w:pPr>
      <w:r>
        <w:rPr>
          <w:rFonts w:ascii="Times New Roman" w:cs="Times New Roman" w:eastAsia="Times New Roman" w:hAnsi="Times New Roman"/>
          <w:sz w:val="18"/>
          <w:szCs w:val="18"/>
          <w:i w:val="1"/>
          <w:iCs w:val="1"/>
          <w:color w:val="auto"/>
        </w:rPr>
        <w:t xml:space="preserve">Limitation on Sale and Leaseback Transactions. </w:t>
      </w:r>
      <w:r>
        <w:rPr>
          <w:rFonts w:ascii="Times New Roman" w:cs="Times New Roman" w:eastAsia="Times New Roman" w:hAnsi="Times New Roman"/>
          <w:sz w:val="18"/>
          <w:szCs w:val="18"/>
          <w:color w:val="auto"/>
        </w:rPr>
        <w:t>Neither we nor any cable guarantor shall enter into any Sale and Leaseback Transaction involving 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person’s assets, including the Capital Stock of such person’s wholly-owned subsidiaries.</w:t>
      </w:r>
    </w:p>
    <w:p>
      <w:pPr>
        <w:spacing w:after="0" w:line="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restriction in the foregoing paragraph shall not apply to any Sale and Leaseback Transaction if:</w:t>
      </w:r>
    </w:p>
    <w:p>
      <w:pPr>
        <w:spacing w:after="0" w:line="111" w:lineRule="exact"/>
        <w:rPr>
          <w:sz w:val="20"/>
          <w:szCs w:val="20"/>
          <w:color w:val="auto"/>
        </w:rPr>
      </w:pPr>
    </w:p>
    <w:p>
      <w:pPr>
        <w:ind w:left="820" w:hanging="470"/>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is for a period not in excess of three years, including renewal of rights;</w:t>
      </w:r>
    </w:p>
    <w:p>
      <w:pPr>
        <w:spacing w:after="0" w:line="123"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secures or relates to industrial revenue or similar financing;</w:t>
      </w:r>
    </w:p>
    <w:p>
      <w:pPr>
        <w:spacing w:after="0" w:line="123"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solely between us and a cable guarantor or between or among cable guarantors; or</w:t>
      </w:r>
    </w:p>
    <w:p>
      <w:pPr>
        <w:spacing w:after="0" w:line="123" w:lineRule="exact"/>
        <w:rPr>
          <w:rFonts w:ascii="Times New Roman" w:cs="Times New Roman" w:eastAsia="Times New Roman" w:hAnsi="Times New Roman"/>
          <w:sz w:val="18"/>
          <w:szCs w:val="18"/>
          <w:color w:val="auto"/>
        </w:rPr>
      </w:pPr>
    </w:p>
    <w:p>
      <w:pPr>
        <w:ind w:left="820" w:hanging="470"/>
        <w:spacing w:after="0" w:line="258" w:lineRule="auto"/>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the applicable cable guarantor, within 270 days after the sale is completed, applies an amount equal to or greater than (a) the net proceeds of the sale of the assets or part thereof leased or (b) the fair market value of the assets or part thereof leased (as determined in good faith by our Board of Directors) either to:</w:t>
      </w:r>
    </w:p>
    <w:p>
      <w:pPr>
        <w:spacing w:after="0" w:line="73" w:lineRule="exact"/>
        <w:rPr>
          <w:sz w:val="20"/>
          <w:szCs w:val="20"/>
          <w:color w:val="auto"/>
        </w:rPr>
      </w:pPr>
    </w:p>
    <w:p>
      <w:pPr>
        <w:ind w:left="1040" w:hanging="452"/>
        <w:spacing w:after="0" w:line="235" w:lineRule="auto"/>
        <w:tabs>
          <w:tab w:leader="none" w:pos="104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retirement (or open market purchase) of senior debt securities, our other long-term Indebtedness ranking on a parity with or senior to the senior debt securities or long-term Indebtedness of a cable guarantor; or</w:t>
      </w:r>
    </w:p>
    <w:p>
      <w:pPr>
        <w:spacing w:after="0" w:line="103" w:lineRule="exact"/>
        <w:rPr>
          <w:rFonts w:ascii="Times New Roman" w:cs="Times New Roman" w:eastAsia="Times New Roman" w:hAnsi="Times New Roman"/>
          <w:sz w:val="21"/>
          <w:szCs w:val="21"/>
          <w:color w:val="auto"/>
        </w:rPr>
      </w:pPr>
    </w:p>
    <w:p>
      <w:pPr>
        <w:ind w:left="1040" w:right="440" w:hanging="452"/>
        <w:spacing w:after="0" w:line="235" w:lineRule="auto"/>
        <w:tabs>
          <w:tab w:leader="none" w:pos="104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purchase by us or any cable guarantor of other property, plant or equipment related to our business or the business of any cable guarantor having a value at least equal to the value of the assets or part thereof leased.</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firstLine="261"/>
        <w:spacing w:after="0" w:line="271" w:lineRule="auto"/>
        <w:rPr>
          <w:sz w:val="20"/>
          <w:szCs w:val="20"/>
          <w:color w:val="auto"/>
        </w:rPr>
      </w:pPr>
      <w:r>
        <w:rPr>
          <w:rFonts w:ascii="Times New Roman" w:cs="Times New Roman" w:eastAsia="Times New Roman" w:hAnsi="Times New Roman"/>
          <w:sz w:val="18"/>
          <w:szCs w:val="18"/>
          <w:color w:val="auto"/>
        </w:rPr>
        <w:t>This provision and the provision described under “—Limitation on Liens Securing Indebtedness” do not apply to any of our subsidiaries other than the cable guarantors.</w:t>
      </w:r>
    </w:p>
    <w:p>
      <w:pPr>
        <w:spacing w:after="0" w:line="60" w:lineRule="exact"/>
        <w:rPr>
          <w:sz w:val="20"/>
          <w:szCs w:val="20"/>
          <w:color w:val="auto"/>
        </w:rPr>
      </w:pPr>
    </w:p>
    <w:p>
      <w:pPr>
        <w:ind w:right="40" w:firstLine="26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“Capitalized Lease” </w:t>
      </w:r>
      <w:r>
        <w:rPr>
          <w:rFonts w:ascii="Times New Roman" w:cs="Times New Roman" w:eastAsia="Times New Roman" w:hAnsi="Times New Roman"/>
          <w:sz w:val="18"/>
          <w:szCs w:val="18"/>
          <w:color w:val="auto"/>
        </w:rPr>
        <w:t>means, as applied to any person, any lease of any property (whether real, personal, or mixed) of which the discounted present value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rental obligations of such person as lessee, in conformity with GAAP, is required to be capitalized on the balance sheet of such person; and “Capitalized Lease Obligation” is defined to mean the rental obligations, as aforesaid, under such lease.</w:t>
      </w:r>
    </w:p>
    <w:p>
      <w:pPr>
        <w:spacing w:after="0" w:line="71" w:lineRule="exact"/>
        <w:rPr>
          <w:sz w:val="20"/>
          <w:szCs w:val="20"/>
          <w:color w:val="auto"/>
        </w:rPr>
      </w:pPr>
    </w:p>
    <w:p>
      <w:pPr>
        <w:ind w:firstLine="26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“Capital Stock” </w:t>
      </w:r>
      <w:r>
        <w:rPr>
          <w:rFonts w:ascii="Times New Roman" w:cs="Times New Roman" w:eastAsia="Times New Roman" w:hAnsi="Times New Roman"/>
          <w:sz w:val="18"/>
          <w:szCs w:val="18"/>
          <w:color w:val="auto"/>
        </w:rPr>
        <w:t>means, with respect to any person, any and all shares, interests, participations, or other equivalents (however designated, whether voting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nonvoting) of such person’s capital stock or other ownership interests, whether outstanding as of, or issued after, the date of the senior indenture, including, without limitation, all common stock and preferred stock.</w:t>
      </w:r>
    </w:p>
    <w:p>
      <w:pPr>
        <w:spacing w:after="0" w:line="71" w:lineRule="exact"/>
        <w:rPr>
          <w:sz w:val="20"/>
          <w:szCs w:val="20"/>
          <w:color w:val="auto"/>
        </w:rPr>
      </w:pPr>
    </w:p>
    <w:p>
      <w:pPr>
        <w:ind w:right="260" w:firstLine="264"/>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“Currency Agreement” </w:t>
      </w:r>
      <w:r>
        <w:rPr>
          <w:rFonts w:ascii="Times New Roman" w:cs="Times New Roman" w:eastAsia="Times New Roman" w:hAnsi="Times New Roman"/>
          <w:sz w:val="18"/>
          <w:szCs w:val="18"/>
          <w:color w:val="auto"/>
        </w:rPr>
        <w:t>means any foreign exchange contract, currency swap agreement, or other similar agreement or arrangement designed to protect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the fluctuation in currency values.</w:t>
      </w:r>
    </w:p>
    <w:p>
      <w:pPr>
        <w:spacing w:after="0" w:line="58" w:lineRule="exact"/>
        <w:rPr>
          <w:sz w:val="20"/>
          <w:szCs w:val="20"/>
          <w:color w:val="auto"/>
        </w:rPr>
      </w:pPr>
    </w:p>
    <w:p>
      <w:pPr>
        <w:ind w:right="20" w:firstLine="264"/>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“GAAP” </w:t>
      </w:r>
      <w:r>
        <w:rPr>
          <w:rFonts w:ascii="Times New Roman" w:cs="Times New Roman" w:eastAsia="Times New Roman" w:hAnsi="Times New Roman"/>
          <w:sz w:val="18"/>
          <w:szCs w:val="18"/>
          <w:color w:val="auto"/>
        </w:rPr>
        <w:t>means generally accepted accounting principles in the United States of America as in effect as of the date of determination, including,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the senior indenture shall be computed in conformity with GAAP applied on a consistent basis.</w:t>
      </w:r>
    </w:p>
    <w:p>
      <w:pPr>
        <w:spacing w:after="0" w:line="77" w:lineRule="exact"/>
        <w:rPr>
          <w:sz w:val="20"/>
          <w:szCs w:val="20"/>
          <w:color w:val="auto"/>
        </w:rPr>
      </w:pPr>
    </w:p>
    <w:p>
      <w:pPr>
        <w:ind w:right="160" w:firstLine="264"/>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“Guarantee” </w:t>
      </w:r>
      <w:r>
        <w:rPr>
          <w:rFonts w:ascii="Times New Roman" w:cs="Times New Roman" w:eastAsia="Times New Roman" w:hAnsi="Times New Roman"/>
          <w:sz w:val="18"/>
          <w:szCs w:val="18"/>
          <w:color w:val="auto"/>
        </w:rPr>
        <w:t>means any obligation, contingent or otherwise, of any person directly or indirectly guaranteeing any Indebtedness or other obligation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person and, without limiting the generality of the foregoing, any obligation, direct or indirect, contingent or otherwise, of such person:</w:t>
      </w:r>
    </w:p>
    <w:p>
      <w:pPr>
        <w:spacing w:after="0" w:line="60" w:lineRule="exact"/>
        <w:rPr>
          <w:sz w:val="20"/>
          <w:szCs w:val="20"/>
          <w:color w:val="auto"/>
        </w:rPr>
      </w:pPr>
    </w:p>
    <w:p>
      <w:pPr>
        <w:ind w:left="820" w:right="80" w:hanging="470"/>
        <w:spacing w:after="0" w:line="258" w:lineRule="auto"/>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86" w:lineRule="exact"/>
        <w:rPr>
          <w:rFonts w:ascii="Times New Roman" w:cs="Times New Roman" w:eastAsia="Times New Roman" w:hAnsi="Times New Roman"/>
          <w:sz w:val="18"/>
          <w:szCs w:val="18"/>
          <w:color w:val="auto"/>
        </w:rPr>
      </w:pPr>
    </w:p>
    <w:p>
      <w:pPr>
        <w:ind w:left="820" w:right="220" w:hanging="470"/>
        <w:spacing w:after="0" w:line="271" w:lineRule="auto"/>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for purposes of assuring in any other manner the obligee of such Indebtedness or other obligation of the payment thereof or to protect such obligee against loss in respect thereof (in whole or in part);</w:t>
      </w:r>
    </w:p>
    <w:p>
      <w:pPr>
        <w:spacing w:after="0" w:line="62"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color w:val="auto"/>
        </w:rPr>
        <w:t>provided that the term “Guarantee” shall not include endorsements for collection or deposit in the ordinary course of business. The term “Guarantee” used as a verb has a corresponding meaning.</w:t>
      </w:r>
    </w:p>
    <w:p>
      <w:pPr>
        <w:spacing w:after="0" w:line="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 xml:space="preserve">“Indebtedness” </w:t>
      </w:r>
      <w:r>
        <w:rPr>
          <w:rFonts w:ascii="Times New Roman" w:cs="Times New Roman" w:eastAsia="Times New Roman" w:hAnsi="Times New Roman"/>
          <w:sz w:val="18"/>
          <w:szCs w:val="18"/>
          <w:color w:val="auto"/>
        </w:rPr>
        <w:t>means, with respect to any person at any date of determination (without duplication):</w:t>
      </w:r>
    </w:p>
    <w:p>
      <w:pPr>
        <w:spacing w:after="0" w:line="113" w:lineRule="exact"/>
        <w:rPr>
          <w:sz w:val="20"/>
          <w:szCs w:val="20"/>
          <w:color w:val="auto"/>
        </w:rPr>
      </w:pPr>
    </w:p>
    <w:p>
      <w:pPr>
        <w:ind w:left="820" w:hanging="470"/>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of such person for borrowed money;</w:t>
      </w:r>
    </w:p>
    <w:p>
      <w:pPr>
        <w:spacing w:after="0" w:line="123"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evidenced by bonds, debentures, notes, or other similar instruments;</w:t>
      </w:r>
    </w:p>
    <w:p>
      <w:pPr>
        <w:spacing w:after="0" w:line="123"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obligations of such person in respect of letters of credit or other similar instruments (including reimbursement obligations with respect thereto);</w:t>
      </w:r>
    </w:p>
    <w:p>
      <w:pPr>
        <w:spacing w:after="0" w:line="135" w:lineRule="exact"/>
        <w:rPr>
          <w:rFonts w:ascii="Times New Roman" w:cs="Times New Roman" w:eastAsia="Times New Roman" w:hAnsi="Times New Roman"/>
          <w:sz w:val="17"/>
          <w:szCs w:val="17"/>
          <w:color w:val="auto"/>
        </w:rPr>
      </w:pPr>
    </w:p>
    <w:p>
      <w:pPr>
        <w:ind w:left="820" w:right="40" w:hanging="470"/>
        <w:spacing w:after="0" w:line="271" w:lineRule="auto"/>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to pay the deferred and unpaid purchase price of property or services (but excluding trade accounts payable or accrued liabilities arising in the ordinary course of business);</w:t>
      </w:r>
    </w:p>
    <w:p>
      <w:pPr>
        <w:spacing w:after="0" w:line="74"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as lessee under Capitalized Leases;</w:t>
      </w:r>
    </w:p>
    <w:p>
      <w:pPr>
        <w:spacing w:after="0" w:line="1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411" w:right="3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820" w:right="560" w:hanging="470"/>
        <w:spacing w:after="0" w:line="271" w:lineRule="auto"/>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of other persons secured by a Lien on any asset of such person, whether or not such Indebtedness is assumed by such person; provided that the amount of such Indebtedness shall be the lesser of:</w:t>
      </w:r>
    </w:p>
    <w:p>
      <w:pPr>
        <w:spacing w:after="0" w:line="49" w:lineRule="exact"/>
        <w:rPr>
          <w:sz w:val="20"/>
          <w:szCs w:val="20"/>
          <w:color w:val="auto"/>
        </w:rPr>
      </w:pPr>
    </w:p>
    <w:p>
      <w:pPr>
        <w:ind w:left="1040" w:hanging="452"/>
        <w:spacing w:after="0"/>
        <w:tabs>
          <w:tab w:leader="none" w:pos="1040"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fair market value of such asset at such date of determination; and</w:t>
      </w:r>
    </w:p>
    <w:p>
      <w:pPr>
        <w:spacing w:after="0" w:line="115" w:lineRule="exact"/>
        <w:rPr>
          <w:rFonts w:ascii="Times New Roman" w:cs="Times New Roman" w:eastAsia="Times New Roman" w:hAnsi="Times New Roman"/>
          <w:sz w:val="21"/>
          <w:szCs w:val="21"/>
          <w:color w:val="auto"/>
        </w:rPr>
      </w:pPr>
    </w:p>
    <w:p>
      <w:pPr>
        <w:ind w:left="1040" w:hanging="452"/>
        <w:spacing w:after="0"/>
        <w:tabs>
          <w:tab w:leader="none" w:pos="1040"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amount of such Indebtedness;</w:t>
      </w:r>
    </w:p>
    <w:p>
      <w:pPr>
        <w:spacing w:after="0" w:line="114" w:lineRule="exact"/>
        <w:rPr>
          <w:rFonts w:ascii="Times New Roman" w:cs="Times New Roman" w:eastAsia="Times New Roman" w:hAnsi="Times New Roman"/>
          <w:sz w:val="21"/>
          <w:szCs w:val="21"/>
          <w:color w:val="auto"/>
        </w:rPr>
      </w:pPr>
    </w:p>
    <w:p>
      <w:pPr>
        <w:ind w:left="820" w:hanging="470"/>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of other persons to the extent Guaranteed by such person;</w:t>
      </w:r>
    </w:p>
    <w:p>
      <w:pPr>
        <w:spacing w:after="0" w:line="123"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otherwise included in this definition, obligations under Currency Agreements and Interest Rate Agreements.</w:t>
      </w:r>
    </w:p>
    <w:p>
      <w:pPr>
        <w:spacing w:after="0" w:line="111" w:lineRule="exact"/>
        <w:rPr>
          <w:sz w:val="20"/>
          <w:szCs w:val="20"/>
          <w:color w:val="auto"/>
        </w:rPr>
      </w:pPr>
    </w:p>
    <w:p>
      <w:pPr>
        <w:ind w:right="280" w:firstLine="264"/>
        <w:spacing w:after="0" w:line="271" w:lineRule="auto"/>
        <w:rPr>
          <w:sz w:val="20"/>
          <w:szCs w:val="20"/>
          <w:color w:val="auto"/>
        </w:rPr>
      </w:pPr>
      <w:r>
        <w:rPr>
          <w:rFonts w:ascii="Times New Roman" w:cs="Times New Roman" w:eastAsia="Times New Roman" w:hAnsi="Times New Roman"/>
          <w:sz w:val="18"/>
          <w:szCs w:val="18"/>
          <w:color w:val="auto"/>
        </w:rPr>
        <w:t>Notwithstanding the foregoing, in no event will the term “Indebtedness” be deemed to include letters of credit or bonds that secure performance or surety bonds or similar instruments that are issued in the ordinary course of business.</w:t>
      </w:r>
    </w:p>
    <w:p>
      <w:pPr>
        <w:spacing w:after="0" w:line="62" w:lineRule="exact"/>
        <w:rPr>
          <w:sz w:val="20"/>
          <w:szCs w:val="20"/>
          <w:color w:val="auto"/>
        </w:rPr>
      </w:pPr>
    </w:p>
    <w:p>
      <w:pPr>
        <w:ind w:right="160" w:firstLine="261"/>
        <w:spacing w:after="0" w:line="271" w:lineRule="auto"/>
        <w:rPr>
          <w:sz w:val="20"/>
          <w:szCs w:val="20"/>
          <w:color w:val="auto"/>
        </w:rPr>
      </w:pPr>
      <w:r>
        <w:rPr>
          <w:rFonts w:ascii="Times New Roman" w:cs="Times New Roman" w:eastAsia="Times New Roman" w:hAnsi="Times New Roman"/>
          <w:sz w:val="18"/>
          <w:szCs w:val="18"/>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62" w:lineRule="exact"/>
        <w:rPr>
          <w:sz w:val="20"/>
          <w:szCs w:val="20"/>
          <w:color w:val="auto"/>
        </w:rPr>
      </w:pPr>
    </w:p>
    <w:p>
      <w:pPr>
        <w:ind w:left="820" w:right="420" w:hanging="470"/>
        <w:spacing w:after="0" w:line="301" w:lineRule="auto"/>
        <w:tabs>
          <w:tab w:leader="none" w:pos="8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spacing w:after="0" w:line="52" w:lineRule="exact"/>
        <w:rPr>
          <w:rFonts w:ascii="Times New Roman" w:cs="Times New Roman" w:eastAsia="Times New Roman" w:hAnsi="Times New Roman"/>
          <w:sz w:val="17"/>
          <w:szCs w:val="17"/>
          <w:color w:val="auto"/>
        </w:rPr>
      </w:pPr>
    </w:p>
    <w:p>
      <w:pPr>
        <w:ind w:left="820" w:hanging="470"/>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Indebtedness shall not include any liability for federal, state, local, or other taxes.</w:t>
      </w:r>
    </w:p>
    <w:p>
      <w:pPr>
        <w:spacing w:after="0" w:line="109" w:lineRule="exact"/>
        <w:rPr>
          <w:sz w:val="20"/>
          <w:szCs w:val="20"/>
          <w:color w:val="auto"/>
        </w:rPr>
      </w:pPr>
    </w:p>
    <w:p>
      <w:pPr>
        <w:ind w:firstLine="264"/>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“Interest Rate Agreements” </w:t>
      </w:r>
      <w:r>
        <w:rPr>
          <w:rFonts w:ascii="Times New Roman" w:cs="Times New Roman" w:eastAsia="Times New Roman" w:hAnsi="Times New Roman"/>
          <w:sz w:val="18"/>
          <w:szCs w:val="18"/>
          <w:color w:val="auto"/>
        </w:rPr>
        <w:t>means any obligations of any person pursuant to any interest rate swaps, caps, collars, and similar arrangements providing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protection against fluctuations in interest rates. For purposes of the senior indenture,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obligations shall be the net amount so determined, plus any premium due upon default by such person.</w:t>
      </w:r>
    </w:p>
    <w:p>
      <w:pPr>
        <w:spacing w:after="0" w:line="77" w:lineRule="exact"/>
        <w:rPr>
          <w:sz w:val="20"/>
          <w:szCs w:val="20"/>
          <w:color w:val="auto"/>
        </w:rPr>
      </w:pPr>
    </w:p>
    <w:p>
      <w:pPr>
        <w:ind w:right="140" w:firstLine="26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“Lien” </w:t>
      </w:r>
      <w:r>
        <w:rPr>
          <w:rFonts w:ascii="Times New Roman" w:cs="Times New Roman" w:eastAsia="Times New Roman" w:hAnsi="Times New Roman"/>
          <w:sz w:val="18"/>
          <w:szCs w:val="18"/>
          <w:color w:val="auto"/>
        </w:rPr>
        <w:t>means, with respect to any asset, any mortgage, lien, pledge, charge, security interest or encumbrance of any kind, or any other type of preferential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arrangement that has the practical effect of creating a security interest, in respect of such asset. For the purposes of the senior indenture, we or any cable guarantor shall be deemed to own subject to a Lien any asset acquired or held subject to the interest of a vendor or lessor under any conditional sale agreement, capital lease or other title retention agreement relating to such asset.</w:t>
      </w:r>
    </w:p>
    <w:p>
      <w:pPr>
        <w:spacing w:after="0" w:line="7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 xml:space="preserve">“Permitted Liens” </w:t>
      </w:r>
      <w:r>
        <w:rPr>
          <w:rFonts w:ascii="Times New Roman" w:cs="Times New Roman" w:eastAsia="Times New Roman" w:hAnsi="Times New Roman"/>
          <w:sz w:val="18"/>
          <w:szCs w:val="18"/>
          <w:color w:val="auto"/>
        </w:rPr>
        <w:t>means:</w:t>
      </w:r>
    </w:p>
    <w:p>
      <w:pPr>
        <w:spacing w:after="0" w:line="113" w:lineRule="exact"/>
        <w:rPr>
          <w:sz w:val="20"/>
          <w:szCs w:val="20"/>
          <w:color w:val="auto"/>
        </w:rPr>
      </w:pPr>
    </w:p>
    <w:p>
      <w:pPr>
        <w:ind w:left="820" w:hanging="470"/>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on any asset incurred prior to the date of the senior indenture;</w:t>
      </w:r>
    </w:p>
    <w:p>
      <w:pPr>
        <w:spacing w:after="0" w:line="123" w:lineRule="exact"/>
        <w:rPr>
          <w:rFonts w:ascii="Times New Roman" w:cs="Times New Roman" w:eastAsia="Times New Roman" w:hAnsi="Times New Roman"/>
          <w:sz w:val="18"/>
          <w:szCs w:val="18"/>
          <w:color w:val="auto"/>
        </w:rPr>
      </w:pPr>
    </w:p>
    <w:p>
      <w:pPr>
        <w:ind w:left="820" w:right="120" w:hanging="470"/>
        <w:spacing w:after="0" w:line="251" w:lineRule="auto"/>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on any assets acquired after the date of the senior indenture (including by way of merger or consolidation) by us or any cable guarantor, which Lien is created, incurred or assumed contemporaneously with such acquisition, or within 270 days thereafter, to secure or provide for the payment or financing of any part of the purchase price thereof, or any Lien upon any assets acquired after the date of the senior indenture existing at the time of such acquisition (whether or not assumed by us or any cable guarantor), provided that any such Lien shall attach only to the assets so acquired;</w:t>
      </w:r>
    </w:p>
    <w:p>
      <w:pPr>
        <w:spacing w:after="0" w:line="94"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on any assets in favor of us or any cable guarantor;</w:t>
      </w:r>
    </w:p>
    <w:p>
      <w:pPr>
        <w:spacing w:after="0" w:line="123" w:lineRule="exact"/>
        <w:rPr>
          <w:rFonts w:ascii="Times New Roman" w:cs="Times New Roman" w:eastAsia="Times New Roman" w:hAnsi="Times New Roman"/>
          <w:sz w:val="18"/>
          <w:szCs w:val="18"/>
          <w:color w:val="auto"/>
        </w:rPr>
      </w:pPr>
    </w:p>
    <w:p>
      <w:pPr>
        <w:ind w:left="820" w:right="40" w:hanging="470"/>
        <w:spacing w:after="0" w:line="271" w:lineRule="auto"/>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on assets incurred in connection with the issuance of tax-exempt governmental obligations (including, without limitation, industrial revenue bonds and similar financing);</w:t>
      </w:r>
    </w:p>
    <w:p>
      <w:pPr>
        <w:spacing w:after="0" w:line="1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820" w:right="100" w:hanging="470"/>
        <w:spacing w:after="0" w:line="271" w:lineRule="auto"/>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granted by any cable guarantor on assets to the extent limitations on the incurrence of such Liens are prohibited by any agreement to which such cable guarantor is subject as of the date of the senior indenture; and</w:t>
      </w:r>
    </w:p>
    <w:p>
      <w:pPr>
        <w:spacing w:after="0" w:line="74" w:lineRule="exact"/>
        <w:rPr>
          <w:rFonts w:ascii="Times New Roman" w:cs="Times New Roman" w:eastAsia="Times New Roman" w:hAnsi="Times New Roman"/>
          <w:sz w:val="18"/>
          <w:szCs w:val="18"/>
          <w:color w:val="auto"/>
        </w:rPr>
      </w:pPr>
    </w:p>
    <w:p>
      <w:pPr>
        <w:ind w:left="820" w:right="200" w:hanging="470"/>
        <w:spacing w:after="0" w:line="258" w:lineRule="auto"/>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renewal of or substitution for any Lien permitted by any of the preceding bullet points,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71" w:lineRule="exact"/>
        <w:rPr>
          <w:sz w:val="20"/>
          <w:szCs w:val="20"/>
          <w:color w:val="auto"/>
        </w:rPr>
      </w:pPr>
    </w:p>
    <w:p>
      <w:pPr>
        <w:ind w:right="20" w:firstLine="26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“Sale and Leaseback Transaction” </w:t>
      </w:r>
      <w:r>
        <w:rPr>
          <w:rFonts w:ascii="Times New Roman" w:cs="Times New Roman" w:eastAsia="Times New Roman" w:hAnsi="Times New Roman"/>
          <w:sz w:val="18"/>
          <w:szCs w:val="18"/>
          <w:color w:val="auto"/>
        </w:rPr>
        <w:t>means any direct or indirect arrangement with any person or to which any such person is a party, providing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leasing to us or a cable guarantor of any property, whether owned by us or such cable guarantor at the date of the original issuance of the debt securities or later acquired, which has been or is to be sold or transferred by us or such cable guarantor to such person or to any other person by whom funds have been or are to be advanced on the security of such property.</w:t>
      </w:r>
    </w:p>
    <w:p>
      <w:pPr>
        <w:spacing w:after="0" w:line="76" w:lineRule="exact"/>
        <w:rPr>
          <w:sz w:val="20"/>
          <w:szCs w:val="20"/>
          <w:color w:val="auto"/>
        </w:rPr>
      </w:pPr>
    </w:p>
    <w:p>
      <w:pPr>
        <w:ind w:firstLine="26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Financial Information. </w:t>
      </w:r>
      <w:r>
        <w:rPr>
          <w:rFonts w:ascii="Times New Roman" w:cs="Times New Roman" w:eastAsia="Times New Roman" w:hAnsi="Times New Roman"/>
          <w:sz w:val="18"/>
          <w:szCs w:val="18"/>
          <w:color w:val="auto"/>
        </w:rPr>
        <w:t>We will file, whether or not required to do so under applicable law, with the trustee, within 15 days after being required to file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under the Securities Exchange Act of 1934 (hereinafter, the “Exchange Act”), copies of the annual reports and the information, documents and other reports to be filed pursuant to Section 13 or 15(d) of the Exchange Act. We intend to file all such reports, information and documents with the SEC, whether or not required by Section 13 or 15(d), and will send copies to the trustee within such 15-day period.</w:t>
      </w:r>
    </w:p>
    <w:p>
      <w:pPr>
        <w:spacing w:after="0" w:line="76" w:lineRule="exact"/>
        <w:rPr>
          <w:sz w:val="20"/>
          <w:szCs w:val="20"/>
          <w:color w:val="auto"/>
        </w:rPr>
      </w:pPr>
    </w:p>
    <w:p>
      <w:pPr>
        <w:ind w:right="40" w:firstLine="26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Consolidation, Merger and Sale of Assets. </w:t>
      </w:r>
      <w:r>
        <w:rPr>
          <w:rFonts w:ascii="Times New Roman" w:cs="Times New Roman" w:eastAsia="Times New Roman" w:hAnsi="Times New Roman"/>
          <w:sz w:val="18"/>
          <w:szCs w:val="18"/>
          <w:color w:val="auto"/>
        </w:rPr>
        <w:t>The senior indenture restricts our ability to consolidate with, merge with or into, or sell, convey, transfer, lease,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dispose of all or substantially all of our property and assets to any person (other than a consolidation with or merger with or into or a sale, conveyance, transfer, lease or other disposition to a wholly-owned subsidiary with a positive net worth; provided that, in connection with any merger of us and a wholly-owned subsidiary, no consideration other than common stock in the surviving person shall be issued or distributed to our stockholders) unless:</w:t>
      </w:r>
    </w:p>
    <w:p>
      <w:pPr>
        <w:spacing w:after="0" w:line="78" w:lineRule="exact"/>
        <w:rPr>
          <w:sz w:val="20"/>
          <w:szCs w:val="20"/>
          <w:color w:val="auto"/>
        </w:rPr>
      </w:pPr>
    </w:p>
    <w:p>
      <w:pPr>
        <w:ind w:left="820" w:right="80" w:hanging="470"/>
        <w:spacing w:after="0" w:line="253" w:lineRule="auto"/>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continuing person or the person formed by such consolidation or into which we are merged or that acquired all or substantially all of our assets shall be a corporation or limited liability company organized and validly existing under the laws of the United States of America or any jurisdiction thereof and shall expressly assume, by a supplemental indenture, executed and delivered to the trustee, all of our obligations on all of the senior debt securities and under the senior indenture;</w:t>
      </w:r>
    </w:p>
    <w:p>
      <w:pPr>
        <w:spacing w:after="0" w:line="92"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default or event of default shall have occurred and be continuing; and</w:t>
      </w:r>
    </w:p>
    <w:p>
      <w:pPr>
        <w:spacing w:after="0" w:line="123" w:lineRule="exact"/>
        <w:rPr>
          <w:rFonts w:ascii="Times New Roman" w:cs="Times New Roman" w:eastAsia="Times New Roman" w:hAnsi="Times New Roman"/>
          <w:sz w:val="18"/>
          <w:szCs w:val="18"/>
          <w:color w:val="auto"/>
        </w:rPr>
      </w:pPr>
    </w:p>
    <w:p>
      <w:pPr>
        <w:ind w:left="820" w:right="160" w:hanging="470"/>
        <w:spacing w:after="0" w:line="258" w:lineRule="auto"/>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an officers’ certificate and opinion of counsel, in each case stating that such consolidation, merger, or transfer and such supplemental indenture complies with this provision and that all conditions precedent provided for in the senior indenture and notes relating to such transaction have been complied with;</w:t>
      </w:r>
    </w:p>
    <w:p>
      <w:pPr>
        <w:spacing w:after="0" w:line="71"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foregoing limitations will not apply if, in the good faith determination of our board of directors set forth in a board resolution,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purpose of such transaction is to change our state of incorporation; and provided further that any such transaction shall not have as one of its purposes the evasion of the foregoing limitations.</w:t>
      </w:r>
    </w:p>
    <w:p>
      <w:pPr>
        <w:spacing w:after="0" w:line="73" w:lineRule="exact"/>
        <w:rPr>
          <w:sz w:val="20"/>
          <w:szCs w:val="20"/>
          <w:color w:val="auto"/>
        </w:rPr>
      </w:pPr>
    </w:p>
    <w:p>
      <w:pPr>
        <w:ind w:right="140" w:firstLine="264"/>
        <w:spacing w:after="0" w:line="271" w:lineRule="auto"/>
        <w:rPr>
          <w:sz w:val="20"/>
          <w:szCs w:val="20"/>
          <w:color w:val="auto"/>
        </w:rPr>
      </w:pPr>
      <w:r>
        <w:rPr>
          <w:rFonts w:ascii="Times New Roman" w:cs="Times New Roman" w:eastAsia="Times New Roman" w:hAnsi="Times New Roman"/>
          <w:sz w:val="18"/>
          <w:szCs w:val="18"/>
          <w:color w:val="auto"/>
        </w:rPr>
        <w:t>Upon any express assumption of our obligations as described above, we will be released and discharged from all obligations and covenants under the senior indenture and all the senior debt securities.</w:t>
      </w:r>
    </w:p>
    <w:p>
      <w:pPr>
        <w:spacing w:after="0" w:line="62" w:lineRule="exact"/>
        <w:rPr>
          <w:sz w:val="20"/>
          <w:szCs w:val="20"/>
          <w:color w:val="auto"/>
        </w:rPr>
      </w:pPr>
    </w:p>
    <w:p>
      <w:pPr>
        <w:ind w:right="20" w:firstLine="261"/>
        <w:spacing w:after="0" w:line="280" w:lineRule="auto"/>
        <w:rPr>
          <w:sz w:val="20"/>
          <w:szCs w:val="20"/>
          <w:color w:val="auto"/>
        </w:rPr>
      </w:pPr>
      <w:r>
        <w:rPr>
          <w:rFonts w:ascii="Times New Roman" w:cs="Times New Roman" w:eastAsia="Times New Roman" w:hAnsi="Times New Roman"/>
          <w:sz w:val="17"/>
          <w:szCs w:val="17"/>
          <w:color w:val="auto"/>
        </w:rPr>
        <w:t>The senior indenture and the cable guarantees do not limit the ability of any cable guarantor to consolidate with or merge into or sell all or substantially all its assets. Upon the sale or disposition of any cable guarantor (whether by merger, consolidation, the sale of its capital stock or the sale of all or substantially all of its assets) to any person, that cable guarantor will be deemed released from all its obligations under the senior indenture and its cable guarantee.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w:t>
      </w:r>
    </w:p>
    <w:p>
      <w:pPr>
        <w:spacing w:after="0" w:line="115" w:lineRule="exact"/>
        <w:rPr>
          <w:sz w:val="20"/>
          <w:szCs w:val="20"/>
          <w:color w:val="auto"/>
        </w:rPr>
      </w:pPr>
    </w:p>
    <w:p>
      <w:pPr>
        <w:ind w:right="40" w:firstLine="264"/>
        <w:spacing w:after="0" w:line="271" w:lineRule="auto"/>
        <w:rPr>
          <w:sz w:val="20"/>
          <w:szCs w:val="20"/>
          <w:color w:val="auto"/>
        </w:rPr>
      </w:pPr>
      <w:r>
        <w:rPr>
          <w:rFonts w:ascii="Times New Roman" w:cs="Times New Roman" w:eastAsia="Times New Roman" w:hAnsi="Times New Roman"/>
          <w:sz w:val="18"/>
          <w:szCs w:val="18"/>
          <w:color w:val="auto"/>
        </w:rPr>
        <w:t>For purposes of this section, the term “Obligor” shall mean each of us, Comcast Cable, Comcast Cable Communications Holdings, Comcast Cable Holdings, Comcast MO Group and Comcast MO of Delaware, in each case excluding such entity’s subsidiaries.</w:t>
      </w:r>
    </w:p>
    <w:p>
      <w:pPr>
        <w:spacing w:after="0" w:line="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An event of default for a series of senior debt securities is defined under the senior indenture as being:</w:t>
      </w:r>
    </w:p>
    <w:p>
      <w:pPr>
        <w:spacing w:after="0" w:line="111" w:lineRule="exact"/>
        <w:rPr>
          <w:sz w:val="20"/>
          <w:szCs w:val="20"/>
          <w:color w:val="auto"/>
        </w:rPr>
      </w:pPr>
    </w:p>
    <w:p>
      <w:pPr>
        <w:ind w:right="440" w:firstLine="270"/>
        <w:spacing w:after="0" w:line="271" w:lineRule="auto"/>
        <w:tabs>
          <w:tab w:leader="none" w:pos="51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by any Obligor in the payment of principal or premium, if any, on the senior debt securities of such series when the same becomes due and payable, whether at maturity, upon redemption, by declaration or otherwise;</w:t>
      </w:r>
    </w:p>
    <w:p>
      <w:pPr>
        <w:spacing w:after="0" w:line="61" w:lineRule="exact"/>
        <w:rPr>
          <w:rFonts w:ascii="Times New Roman" w:cs="Times New Roman" w:eastAsia="Times New Roman" w:hAnsi="Times New Roman"/>
          <w:sz w:val="18"/>
          <w:szCs w:val="18"/>
          <w:color w:val="auto"/>
        </w:rPr>
      </w:pPr>
    </w:p>
    <w:p>
      <w:pPr>
        <w:ind w:right="320" w:firstLine="270"/>
        <w:spacing w:after="0" w:line="271" w:lineRule="auto"/>
        <w:tabs>
          <w:tab w:leader="none" w:pos="51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by any Obligor in the payment of interest on the senior debt securities of such series when the same becomes due and payable, if that default continues for a period of 30 days;</w:t>
      </w:r>
    </w:p>
    <w:p>
      <w:pPr>
        <w:spacing w:after="0" w:line="61" w:lineRule="exact"/>
        <w:rPr>
          <w:rFonts w:ascii="Times New Roman" w:cs="Times New Roman" w:eastAsia="Times New Roman" w:hAnsi="Times New Roman"/>
          <w:sz w:val="18"/>
          <w:szCs w:val="18"/>
          <w:color w:val="auto"/>
        </w:rPr>
      </w:pPr>
    </w:p>
    <w:p>
      <w:pPr>
        <w:ind w:right="20" w:firstLine="270"/>
        <w:spacing w:after="0" w:line="258" w:lineRule="auto"/>
        <w:tabs>
          <w:tab w:leader="none" w:pos="51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any Obligor in the performance of or breach by any Obligor of any of its other covenants or agreements in the senior indenture applicable to the senior debt securities of such series and that default or breach continues for a period of 30 consecutive days after written notice is received from the trustee or from the holders of 25% or more in aggregate principal amount of the senior debt securities of all affected series;</w:t>
      </w:r>
    </w:p>
    <w:p>
      <w:pPr>
        <w:spacing w:after="0" w:line="73" w:lineRule="exact"/>
        <w:rPr>
          <w:rFonts w:ascii="Times New Roman" w:cs="Times New Roman" w:eastAsia="Times New Roman" w:hAnsi="Times New Roman"/>
          <w:sz w:val="18"/>
          <w:szCs w:val="18"/>
          <w:color w:val="auto"/>
        </w:rPr>
      </w:pPr>
    </w:p>
    <w:p>
      <w:pPr>
        <w:ind w:left="520" w:hanging="250"/>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cable guarantee is not (or is claimed by any cable guarantor not to be) in full force and effect;</w:t>
      </w:r>
    </w:p>
    <w:p>
      <w:pPr>
        <w:spacing w:after="0" w:line="110" w:lineRule="exact"/>
        <w:rPr>
          <w:rFonts w:ascii="Times New Roman" w:cs="Times New Roman" w:eastAsia="Times New Roman" w:hAnsi="Times New Roman"/>
          <w:sz w:val="18"/>
          <w:szCs w:val="18"/>
          <w:color w:val="auto"/>
        </w:rPr>
      </w:pPr>
    </w:p>
    <w:p>
      <w:pPr>
        <w:ind w:left="520" w:hanging="250"/>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having jurisdiction enters a decree or order for:</w:t>
      </w:r>
    </w:p>
    <w:p>
      <w:pPr>
        <w:spacing w:after="0" w:line="110" w:lineRule="exact"/>
        <w:rPr>
          <w:rFonts w:ascii="Times New Roman" w:cs="Times New Roman" w:eastAsia="Times New Roman" w:hAnsi="Times New Roman"/>
          <w:sz w:val="18"/>
          <w:szCs w:val="18"/>
          <w:color w:val="auto"/>
        </w:rPr>
      </w:pPr>
    </w:p>
    <w:p>
      <w:pPr>
        <w:ind w:left="1160" w:right="420" w:hanging="466"/>
        <w:spacing w:after="0" w:line="271" w:lineRule="auto"/>
        <w:tabs>
          <w:tab w:leader="none" w:pos="11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relief in respect of any Obligor in an involuntary case under any applicable bankruptcy, insolvency, or other similar law now or hereafter in effect;</w:t>
      </w:r>
    </w:p>
    <w:p>
      <w:pPr>
        <w:spacing w:after="0" w:line="74" w:lineRule="exact"/>
        <w:rPr>
          <w:rFonts w:ascii="Times New Roman" w:cs="Times New Roman" w:eastAsia="Times New Roman" w:hAnsi="Times New Roman"/>
          <w:sz w:val="18"/>
          <w:szCs w:val="18"/>
          <w:color w:val="auto"/>
        </w:rPr>
      </w:pPr>
    </w:p>
    <w:p>
      <w:pPr>
        <w:ind w:left="1160" w:right="260" w:hanging="466"/>
        <w:spacing w:after="0" w:line="271" w:lineRule="auto"/>
        <w:tabs>
          <w:tab w:leader="none" w:pos="11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a receiver, liquidator, assignee, custodian, trustee, sequestrator or similar official of any Obligor for any substantial part of such party’s property and assets; or</w:t>
      </w:r>
    </w:p>
    <w:p>
      <w:pPr>
        <w:spacing w:after="0" w:line="74" w:lineRule="exact"/>
        <w:rPr>
          <w:rFonts w:ascii="Times New Roman" w:cs="Times New Roman" w:eastAsia="Times New Roman" w:hAnsi="Times New Roman"/>
          <w:sz w:val="18"/>
          <w:szCs w:val="18"/>
          <w:color w:val="auto"/>
        </w:rPr>
      </w:pPr>
    </w:p>
    <w:p>
      <w:pPr>
        <w:ind w:left="1160" w:right="840" w:hanging="466"/>
        <w:spacing w:after="0" w:line="271" w:lineRule="auto"/>
        <w:tabs>
          <w:tab w:leader="none" w:pos="11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winding up or liquidation of any Obligor’s affairs and such decree or order shall remain unstayed and in effect for a period of 180 consecutive days; or</w:t>
      </w:r>
    </w:p>
    <w:p>
      <w:pPr>
        <w:spacing w:after="0" w:line="61" w:lineRule="exact"/>
        <w:rPr>
          <w:rFonts w:ascii="Times New Roman" w:cs="Times New Roman" w:eastAsia="Times New Roman" w:hAnsi="Times New Roman"/>
          <w:sz w:val="18"/>
          <w:szCs w:val="18"/>
          <w:color w:val="auto"/>
        </w:rPr>
      </w:pPr>
    </w:p>
    <w:p>
      <w:pPr>
        <w:ind w:left="520" w:hanging="250"/>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Obligor:</w:t>
      </w:r>
    </w:p>
    <w:p>
      <w:pPr>
        <w:spacing w:after="0" w:line="110" w:lineRule="exact"/>
        <w:rPr>
          <w:rFonts w:ascii="Times New Roman" w:cs="Times New Roman" w:eastAsia="Times New Roman" w:hAnsi="Times New Roman"/>
          <w:sz w:val="18"/>
          <w:szCs w:val="18"/>
          <w:color w:val="auto"/>
        </w:rPr>
      </w:pPr>
    </w:p>
    <w:p>
      <w:pPr>
        <w:ind w:left="1160" w:hanging="466"/>
        <w:spacing w:after="0" w:line="271" w:lineRule="auto"/>
        <w:tabs>
          <w:tab w:leader="none" w:pos="11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 under any applicable bankruptcy, insolvency, or other similar law now or hereafter in effect, or consents to the entry of an order for relief in an involuntary case under any such law;</w:t>
      </w:r>
    </w:p>
    <w:p>
      <w:pPr>
        <w:spacing w:after="0" w:line="74" w:lineRule="exact"/>
        <w:rPr>
          <w:rFonts w:ascii="Times New Roman" w:cs="Times New Roman" w:eastAsia="Times New Roman" w:hAnsi="Times New Roman"/>
          <w:sz w:val="18"/>
          <w:szCs w:val="18"/>
          <w:color w:val="auto"/>
        </w:rPr>
      </w:pPr>
    </w:p>
    <w:p>
      <w:pPr>
        <w:ind w:left="1160" w:right="80" w:hanging="466"/>
        <w:spacing w:after="0" w:line="271" w:lineRule="auto"/>
        <w:tabs>
          <w:tab w:leader="none" w:pos="11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or taking possession by a receiver, liquidator, assignee, custodian, trustee, sequestrator, or similar official of such party or for any substantial part of such party’s property; or</w:t>
      </w:r>
    </w:p>
    <w:p>
      <w:pPr>
        <w:spacing w:after="0" w:line="74" w:lineRule="exact"/>
        <w:rPr>
          <w:rFonts w:ascii="Times New Roman" w:cs="Times New Roman" w:eastAsia="Times New Roman" w:hAnsi="Times New Roman"/>
          <w:sz w:val="18"/>
          <w:szCs w:val="18"/>
          <w:color w:val="auto"/>
        </w:rPr>
      </w:pPr>
    </w:p>
    <w:p>
      <w:pPr>
        <w:ind w:left="1160" w:hanging="466"/>
        <w:spacing w:after="0"/>
        <w:tabs>
          <w:tab w:leader="none" w:pos="11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any general assignment for the benefit of creditors.</w:t>
      </w:r>
    </w:p>
    <w:p>
      <w:pPr>
        <w:spacing w:after="0" w:line="1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 default under any Obligor’s other indebtedness is not a default under the senior indenture.</w:t>
      </w:r>
    </w:p>
    <w:p>
      <w:pPr>
        <w:spacing w:after="0" w:line="111" w:lineRule="exact"/>
        <w:rPr>
          <w:sz w:val="20"/>
          <w:szCs w:val="20"/>
          <w:color w:val="auto"/>
        </w:rPr>
      </w:pPr>
    </w:p>
    <w:p>
      <w:pPr>
        <w:ind w:right="100" w:firstLine="264"/>
        <w:spacing w:after="0" w:line="250" w:lineRule="auto"/>
        <w:rPr>
          <w:sz w:val="20"/>
          <w:szCs w:val="20"/>
          <w:color w:val="auto"/>
        </w:rPr>
      </w:pPr>
      <w:r>
        <w:rPr>
          <w:rFonts w:ascii="Times New Roman" w:cs="Times New Roman" w:eastAsia="Times New Roman" w:hAnsi="Times New Roman"/>
          <w:sz w:val="18"/>
          <w:szCs w:val="18"/>
          <w:color w:val="auto"/>
        </w:rPr>
        <w:t>If an event of default other than an event of default specified in clauses (5) and (6) above occurs with respect to an issue of senior debt securities and is continuing under the senior indenture, then, and in each and every such case, either the trustee or the holders of not less than 25% in aggregate principal amount of such senior debt securities then outstanding under the senior indenture by written notice to us (and to the trustee, if such notice is given by the holders), may declare the principal amount of and accrued interest, if any, on such senior debt securities to be immediately due and payable and upon any such declaration, the same shall become immediately due and payable. The amount due upon acceleration shall include only the original issue price of the senior debt securities and accrued interest to the date of acceleration, if any.</w:t>
      </w:r>
    </w:p>
    <w:p>
      <w:pPr>
        <w:spacing w:after="0" w:line="82" w:lineRule="exact"/>
        <w:rPr>
          <w:sz w:val="20"/>
          <w:szCs w:val="20"/>
          <w:color w:val="auto"/>
        </w:rPr>
      </w:pPr>
    </w:p>
    <w:p>
      <w:pPr>
        <w:ind w:right="200" w:firstLine="264"/>
        <w:spacing w:after="0" w:line="271" w:lineRule="auto"/>
        <w:rPr>
          <w:sz w:val="20"/>
          <w:szCs w:val="20"/>
          <w:color w:val="auto"/>
        </w:rPr>
      </w:pPr>
      <w:r>
        <w:rPr>
          <w:rFonts w:ascii="Times New Roman" w:cs="Times New Roman" w:eastAsia="Times New Roman" w:hAnsi="Times New Roman"/>
          <w:sz w:val="18"/>
          <w:szCs w:val="18"/>
          <w:color w:val="auto"/>
        </w:rPr>
        <w:t>If an event of default specified in clauses (5) and (6) above occurs with respect to any Obligor, the principal amount of and accrued interest, if any, on each issue of senior debt securities then outstanding</w:t>
      </w:r>
    </w:p>
    <w:p>
      <w:pPr>
        <w:spacing w:after="0" w:line="1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shall be and become immediately due and payable without any notice or other action on the part of the trustee or any holder. Upon certain conditions declarations of acceleration may be rescinded and annulled and past defaults may be waived by the holders of a majority in aggregate principal amount of an issue of senior debt securities that has been accelerated. Furthermore, subject to various provisions in the senior indenture, the holders of at least a majority in aggregate principal amount of an issue of senior debt securities by notice to the trustee may waive an existing default or event of default with respect to such senior debt securities and its consequences, except a default in the payment of principal of or interest on such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 For information as to the waiver of defaults, see “—Modification and Waiver.”</w:t>
      </w:r>
    </w:p>
    <w:p>
      <w:pPr>
        <w:spacing w:after="0" w:line="86" w:lineRule="exact"/>
        <w:rPr>
          <w:sz w:val="20"/>
          <w:szCs w:val="20"/>
          <w:color w:val="auto"/>
        </w:rPr>
      </w:pPr>
    </w:p>
    <w:p>
      <w:pPr>
        <w:ind w:right="40" w:firstLine="261"/>
        <w:spacing w:after="0" w:line="250" w:lineRule="auto"/>
        <w:rPr>
          <w:sz w:val="20"/>
          <w:szCs w:val="20"/>
          <w:color w:val="auto"/>
        </w:rPr>
      </w:pPr>
      <w:r>
        <w:rPr>
          <w:rFonts w:ascii="Times New Roman" w:cs="Times New Roman" w:eastAsia="Times New Roman" w:hAnsi="Times New Roman"/>
          <w:sz w:val="18"/>
          <w:szCs w:val="18"/>
          <w:color w:val="auto"/>
        </w:rPr>
        <w:t>The holders of at least a majority in aggregate principal amount of an issue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would be unduly prejudicial to the rights of holders of such issue of senior debt securities not joining in the giving of such direction and may take any other action it deems proper that is not inconsistent with any such direction received from holders of such issue of senior debt securities. A holder may not pursue any remedy with respect to the senior indenture or any series of senior debt securities unless:</w:t>
      </w:r>
    </w:p>
    <w:p>
      <w:pPr>
        <w:spacing w:after="0" w:line="82" w:lineRule="exact"/>
        <w:rPr>
          <w:sz w:val="20"/>
          <w:szCs w:val="20"/>
          <w:color w:val="auto"/>
        </w:rPr>
      </w:pPr>
    </w:p>
    <w:p>
      <w:pPr>
        <w:ind w:left="820" w:hanging="470"/>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w:t>
      </w:r>
    </w:p>
    <w:p>
      <w:pPr>
        <w:spacing w:after="0" w:line="123" w:lineRule="exact"/>
        <w:rPr>
          <w:rFonts w:ascii="Times New Roman" w:cs="Times New Roman" w:eastAsia="Times New Roman" w:hAnsi="Times New Roman"/>
          <w:sz w:val="18"/>
          <w:szCs w:val="18"/>
          <w:color w:val="auto"/>
        </w:rPr>
      </w:pPr>
    </w:p>
    <w:p>
      <w:pPr>
        <w:ind w:left="820" w:right="300" w:hanging="470"/>
        <w:spacing w:after="0" w:line="271" w:lineRule="auto"/>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such series of senior debt securities make a written request to the trustee to pursue the remedy in respect of such event of default;</w:t>
      </w:r>
    </w:p>
    <w:p>
      <w:pPr>
        <w:spacing w:after="0" w:line="74"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holder or holders offer the trustee indemnity satisfactory to the trustee against any costs, liability, or expense; and</w:t>
      </w:r>
    </w:p>
    <w:p>
      <w:pPr>
        <w:spacing w:after="0" w:line="123"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the offer of indemnity.</w:t>
      </w:r>
    </w:p>
    <w:p>
      <w:pPr>
        <w:spacing w:after="0" w:line="111" w:lineRule="exact"/>
        <w:rPr>
          <w:sz w:val="20"/>
          <w:szCs w:val="20"/>
          <w:color w:val="auto"/>
        </w:rPr>
      </w:pPr>
    </w:p>
    <w:p>
      <w:pPr>
        <w:jc w:val="both"/>
        <w:ind w:right="40" w:firstLine="261"/>
        <w:spacing w:after="0" w:line="267" w:lineRule="auto"/>
        <w:rPr>
          <w:sz w:val="20"/>
          <w:szCs w:val="20"/>
          <w:color w:val="auto"/>
        </w:rPr>
      </w:pPr>
      <w:r>
        <w:rPr>
          <w:rFonts w:ascii="Times New Roman" w:cs="Times New Roman" w:eastAsia="Times New Roman" w:hAnsi="Times New Roman"/>
          <w:sz w:val="17"/>
          <w:szCs w:val="17"/>
          <w:color w:val="auto"/>
        </w:rPr>
        <w:t>These limitations, however, do not apply to the right of any holder of a senior debt security to receive payment of the principal of, premium, if any, or interest on such senior debt security, or to bring suit for the enforcement of any such payment, on or after the due date for the senior debt securities, which right shall not be impaired or affected without the consent of the holder. The senior indenture requires certain of our officers to certify, on or before a date not more than</w:t>
      </w: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120 days after the end of each fiscal year, as to their knowledge of our compliance with all conditions and covenants under the senior indenture, such compliance to be determined without regard to any period of grace or requirement of notice provided under the senior indenture.</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Discharge and Defeasance</w:t>
      </w:r>
    </w:p>
    <w:p>
      <w:pPr>
        <w:spacing w:after="0" w:line="115" w:lineRule="exact"/>
        <w:rPr>
          <w:sz w:val="20"/>
          <w:szCs w:val="20"/>
          <w:color w:val="auto"/>
        </w:rPr>
      </w:pPr>
    </w:p>
    <w:p>
      <w:pPr>
        <w:ind w:right="200" w:firstLine="261"/>
        <w:spacing w:after="0" w:line="271" w:lineRule="auto"/>
        <w:rPr>
          <w:sz w:val="20"/>
          <w:szCs w:val="20"/>
          <w:color w:val="auto"/>
        </w:rPr>
      </w:pPr>
      <w:r>
        <w:rPr>
          <w:rFonts w:ascii="Times New Roman" w:cs="Times New Roman" w:eastAsia="Times New Roman" w:hAnsi="Times New Roman"/>
          <w:sz w:val="18"/>
          <w:szCs w:val="18"/>
          <w:color w:val="auto"/>
        </w:rPr>
        <w:t>The senior indenture provides that, except as otherwise provided in this paragraph, we may discharge our obligations with respect to an issue of senior debt securities and the senior indenture with respect to that series of senior debt securities if:</w:t>
      </w:r>
    </w:p>
    <w:p>
      <w:pPr>
        <w:spacing w:after="0" w:line="62" w:lineRule="exact"/>
        <w:rPr>
          <w:sz w:val="20"/>
          <w:szCs w:val="20"/>
          <w:color w:val="auto"/>
        </w:rPr>
      </w:pPr>
    </w:p>
    <w:p>
      <w:pPr>
        <w:ind w:left="820" w:right="200" w:hanging="470"/>
        <w:spacing w:after="0" w:line="271" w:lineRule="auto"/>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senior debt securities of the affected series previously authenticated and delivered with certain exceptions, have been delivered to the trustee for cancellation and we have paid all sums payable under the senior indenture; or</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820" w:right="880" w:hanging="470"/>
        <w:spacing w:after="0" w:line="271" w:lineRule="auto"/>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senior debt securities of the affected series mature within one year or all of them are to be called for redemption within one year under arrangements satisfactory to the trustee for giving the notice of redemption and:</w:t>
      </w:r>
    </w:p>
    <w:p>
      <w:pPr>
        <w:spacing w:after="0" w:line="62" w:lineRule="exact"/>
        <w:rPr>
          <w:sz w:val="20"/>
          <w:szCs w:val="20"/>
          <w:color w:val="auto"/>
        </w:rPr>
      </w:pPr>
    </w:p>
    <w:p>
      <w:pPr>
        <w:ind w:left="1040" w:hanging="452"/>
        <w:spacing w:after="0" w:line="242" w:lineRule="auto"/>
        <w:tabs>
          <w:tab w:leader="none" w:pos="104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we irrevocably deposit in trust with the trustee, as trust funds solely for the benefit of the holders of the senior debt securities of the affected series, for that purpose, money or U.S. government obligations or a combination thereof sufficient (unless such funds consist solely of money, in the opinion of a nationally recognized form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senior debt securities of the affected series to maturity or redemption, as the case may be, and to pay all other sums payable by it under the senior indenture; and</w:t>
      </w:r>
    </w:p>
    <w:p>
      <w:pPr>
        <w:spacing w:after="0" w:line="101" w:lineRule="exact"/>
        <w:rPr>
          <w:rFonts w:ascii="Times New Roman" w:cs="Times New Roman" w:eastAsia="Times New Roman" w:hAnsi="Times New Roman"/>
          <w:sz w:val="21"/>
          <w:szCs w:val="21"/>
          <w:color w:val="auto"/>
        </w:rPr>
      </w:pPr>
    </w:p>
    <w:p>
      <w:pPr>
        <w:jc w:val="both"/>
        <w:ind w:left="1040" w:right="340" w:hanging="452"/>
        <w:spacing w:after="0" w:line="238" w:lineRule="auto"/>
        <w:tabs>
          <w:tab w:leader="none" w:pos="104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we deliver to the trustee an officers’ certificate and an opinion of counsel, in each case stating that all conditions precedent provided for in the senior indenture relating to the satisfaction and discharge of the senior indenture with respect to the senior debt securities of the affected series have been complied with.</w:t>
      </w:r>
    </w:p>
    <w:p>
      <w:pPr>
        <w:spacing w:after="0" w:line="91" w:lineRule="exact"/>
        <w:rPr>
          <w:sz w:val="20"/>
          <w:szCs w:val="20"/>
          <w:color w:val="auto"/>
        </w:rPr>
      </w:pPr>
    </w:p>
    <w:p>
      <w:pPr>
        <w:ind w:right="100" w:firstLine="261"/>
        <w:spacing w:after="0" w:line="248" w:lineRule="auto"/>
        <w:rPr>
          <w:sz w:val="20"/>
          <w:szCs w:val="20"/>
          <w:color w:val="auto"/>
        </w:rPr>
      </w:pPr>
      <w:r>
        <w:rPr>
          <w:rFonts w:ascii="Times New Roman" w:cs="Times New Roman" w:eastAsia="Times New Roman" w:hAnsi="Times New Roman"/>
          <w:sz w:val="18"/>
          <w:szCs w:val="18"/>
          <w:color w:val="auto"/>
        </w:rPr>
        <w:t>With respect to all senior debt securities which have been delivered to the trustee for cancellation and for which have been paid all sums payable by us under the senior indenture, only our obligations to compensate and indemnify the trustee and our right to recover excess money held by the trustee under the senior indenture shall survive. With respect to senior debt securities which mature within one year or are to be called for redemption within one year under redemption arrangements satisfactory to the trustee, only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Thereafter, only our obligations to compensate and indemnify the trustee, and our right to recover excess money held by the trustee shall survive.</w:t>
      </w:r>
    </w:p>
    <w:p>
      <w:pPr>
        <w:spacing w:after="0" w:line="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senior indenture also provides that, except as otherwise provided in this paragraph, we:</w:t>
      </w:r>
    </w:p>
    <w:p>
      <w:pPr>
        <w:spacing w:after="0" w:line="111" w:lineRule="exact"/>
        <w:rPr>
          <w:sz w:val="20"/>
          <w:szCs w:val="20"/>
          <w:color w:val="auto"/>
        </w:rPr>
      </w:pPr>
    </w:p>
    <w:p>
      <w:pPr>
        <w:ind w:left="820" w:right="180" w:hanging="470"/>
        <w:spacing w:after="0" w:line="301" w:lineRule="auto"/>
        <w:tabs>
          <w:tab w:leader="none" w:pos="8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will be deemed to have paid and will be discharged from any and all obligations in respect of a series of senior debt securities, and the provisions of the senior indenture and the cable guarantees will no longer be in effect with respect to those senior debt securities (“legal defeasance”); and</w:t>
      </w:r>
    </w:p>
    <w:p>
      <w:pPr>
        <w:spacing w:after="0" w:line="52" w:lineRule="exact"/>
        <w:rPr>
          <w:rFonts w:ascii="Times New Roman" w:cs="Times New Roman" w:eastAsia="Times New Roman" w:hAnsi="Times New Roman"/>
          <w:sz w:val="17"/>
          <w:szCs w:val="17"/>
          <w:color w:val="auto"/>
        </w:rPr>
      </w:pPr>
    </w:p>
    <w:p>
      <w:pPr>
        <w:ind w:left="820" w:right="40" w:hanging="470"/>
        <w:spacing w:after="0" w:line="258" w:lineRule="auto"/>
        <w:tabs>
          <w:tab w:leader="none" w:pos="8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omit to comply with any term, provision or condition of the senior indenture described above under “—Certain Covenants” and such omission shall be deemed not to be an event of default under the third clause of the first paragraph of “—Events of Default” with respect to that series of senior debt securities (“covenant defeasance”);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following conditions shall have been satisfied:</w:t>
      </w:r>
    </w:p>
    <w:p>
      <w:pPr>
        <w:spacing w:after="0" w:line="113" w:lineRule="exact"/>
        <w:rPr>
          <w:sz w:val="20"/>
          <w:szCs w:val="20"/>
          <w:color w:val="auto"/>
        </w:rPr>
      </w:pPr>
    </w:p>
    <w:p>
      <w:pPr>
        <w:ind w:left="820" w:hanging="470"/>
        <w:spacing w:after="0" w:line="268" w:lineRule="auto"/>
        <w:tabs>
          <w:tab w:leader="none" w:pos="8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irrevocably deposited in trust with the trustee as trust funds solely for the benefit of the holders of the senior debt securities of such series, for payment of the principal of and interest on the senior debt securities of such series, money or U.S. government obligations or a combination thereof sufficient (unless such funds consist solely of money, in the opinion of a nationally recognized form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senior debt securities of such series to maturity or earlier redemption (irrevocably provided for under arrangements satisfactory to the trustee), as the case may be;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820" w:right="200" w:hanging="470"/>
        <w:spacing w:after="0" w:line="271" w:lineRule="auto"/>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the senior indenture, the cable guarantees or any other material agreement or instrument to which we are a party or by which we are bound;</w:t>
      </w:r>
    </w:p>
    <w:p>
      <w:pPr>
        <w:spacing w:after="0" w:line="74" w:lineRule="exact"/>
        <w:rPr>
          <w:rFonts w:ascii="Times New Roman" w:cs="Times New Roman" w:eastAsia="Times New Roman" w:hAnsi="Times New Roman"/>
          <w:sz w:val="18"/>
          <w:szCs w:val="18"/>
          <w:color w:val="auto"/>
        </w:rPr>
      </w:pPr>
    </w:p>
    <w:p>
      <w:pPr>
        <w:ind w:left="820" w:right="520" w:hanging="470"/>
        <w:spacing w:after="0" w:line="271" w:lineRule="auto"/>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senior debt securities of such series shall have occurred and be continuing on the date of such deposit;</w:t>
      </w:r>
    </w:p>
    <w:p>
      <w:pPr>
        <w:spacing w:after="0" w:line="74"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have delivered to the trustee:</w:t>
      </w:r>
    </w:p>
    <w:p>
      <w:pPr>
        <w:spacing w:after="0" w:line="111" w:lineRule="exact"/>
        <w:rPr>
          <w:sz w:val="20"/>
          <w:szCs w:val="20"/>
          <w:color w:val="auto"/>
        </w:rPr>
      </w:pPr>
    </w:p>
    <w:p>
      <w:pPr>
        <w:ind w:left="1040" w:right="100" w:hanging="452"/>
        <w:spacing w:after="0" w:line="241" w:lineRule="auto"/>
        <w:tabs>
          <w:tab w:leader="none" w:pos="1040"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either an opinion of counsel that the holders of the senior debt securities of such series will not recognize income, gain or loss for federal income tax purposes as a result of our exercising our option under this provision of the senior indenture and will be subject to federal income tax on the same amount and in the same manner and at the same times as would have been the case if such deposit and defeasance had not occurred (which opinion, in the case of a legal defeasance, shall be based upon a change in law) or a ruling directed to the trustee received from the Internal Revenue Service to the same effect; and</w:t>
      </w:r>
    </w:p>
    <w:p>
      <w:pPr>
        <w:spacing w:after="0" w:line="103" w:lineRule="exact"/>
        <w:rPr>
          <w:rFonts w:ascii="Times New Roman" w:cs="Times New Roman" w:eastAsia="Times New Roman" w:hAnsi="Times New Roman"/>
          <w:sz w:val="21"/>
          <w:szCs w:val="21"/>
          <w:color w:val="auto"/>
        </w:rPr>
      </w:pPr>
    </w:p>
    <w:p>
      <w:pPr>
        <w:ind w:left="1040" w:right="60" w:hanging="452"/>
        <w:spacing w:after="0" w:line="235" w:lineRule="auto"/>
        <w:tabs>
          <w:tab w:leader="none" w:pos="1040"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an opinion of counsel that the holders of the senior debt securities of such series have a valid security interest in the trust funds subject to no prior liens under the Uniform Commercial Code; and</w:t>
      </w:r>
    </w:p>
    <w:p>
      <w:pPr>
        <w:spacing w:after="0" w:line="90" w:lineRule="exact"/>
        <w:rPr>
          <w:rFonts w:ascii="Times New Roman" w:cs="Times New Roman" w:eastAsia="Times New Roman" w:hAnsi="Times New Roman"/>
          <w:sz w:val="21"/>
          <w:szCs w:val="21"/>
          <w:color w:val="auto"/>
        </w:rPr>
      </w:pPr>
    </w:p>
    <w:p>
      <w:pPr>
        <w:ind w:left="820" w:hanging="470"/>
        <w:spacing w:after="0" w:line="271" w:lineRule="auto"/>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in each case stating that all conditions precedent provided for in the senior indenture relating to the defeasance contemplated of the senior debt securities of such series have been complied with.</w:t>
      </w:r>
    </w:p>
    <w:p>
      <w:pPr>
        <w:spacing w:after="0" w:line="62" w:lineRule="exact"/>
        <w:rPr>
          <w:sz w:val="20"/>
          <w:szCs w:val="20"/>
          <w:color w:val="auto"/>
        </w:rPr>
      </w:pPr>
    </w:p>
    <w:p>
      <w:pPr>
        <w:ind w:right="40" w:firstLine="264"/>
        <w:spacing w:after="0" w:line="249" w:lineRule="auto"/>
        <w:rPr>
          <w:sz w:val="20"/>
          <w:szCs w:val="20"/>
          <w:color w:val="auto"/>
        </w:rPr>
      </w:pPr>
      <w:r>
        <w:rPr>
          <w:rFonts w:ascii="Times New Roman" w:cs="Times New Roman" w:eastAsia="Times New Roman" w:hAnsi="Times New Roman"/>
          <w:sz w:val="18"/>
          <w:szCs w:val="18"/>
          <w:color w:val="auto"/>
        </w:rPr>
        <w:t>Subsequent to legal defeasance under the first bullet point above,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After such senior debt securities are no longer outstanding, in the case of legal defeasance under the first bullet point above, only our obligations to compensate and indemnify the trustee and our right to recover excess money held by the trustee shall survive.</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Modification and Waiver</w:t>
      </w:r>
    </w:p>
    <w:p>
      <w:pPr>
        <w:spacing w:after="0" w:line="1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and the trustee may amend or supplement the senior indenture or the senior debt securities without notice to or the consent of any holder:</w:t>
      </w:r>
    </w:p>
    <w:p>
      <w:pPr>
        <w:spacing w:after="0" w:line="111" w:lineRule="exact"/>
        <w:rPr>
          <w:sz w:val="20"/>
          <w:szCs w:val="20"/>
          <w:color w:val="auto"/>
        </w:rPr>
      </w:pPr>
    </w:p>
    <w:p>
      <w:pPr>
        <w:ind w:left="820" w:right="120" w:hanging="470"/>
        <w:spacing w:after="0" w:line="271" w:lineRule="auto"/>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senior indenture; provided that such amendments or supplements shall not adversely affect the interests of the holders in any material respect;</w:t>
      </w:r>
    </w:p>
    <w:p>
      <w:pPr>
        <w:spacing w:after="0" w:line="74"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under “—Certain Covenants—Consolidation, Merger and Sale of Assets;”</w:t>
      </w:r>
    </w:p>
    <w:p>
      <w:pPr>
        <w:spacing w:after="0" w:line="123"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the senior indenture under the Trust Indenture Act;</w:t>
      </w:r>
    </w:p>
    <w:p>
      <w:pPr>
        <w:spacing w:after="0" w:line="123"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by a successor trustee;</w:t>
      </w:r>
    </w:p>
    <w:p>
      <w:pPr>
        <w:spacing w:after="0" w:line="123"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forms or terms of the senior debt securities as permitted by the senior indenture;</w:t>
      </w:r>
    </w:p>
    <w:p>
      <w:pPr>
        <w:spacing w:after="0" w:line="123"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notes and to make all appropriate changes for such purpose;</w:t>
      </w:r>
    </w:p>
    <w:p>
      <w:pPr>
        <w:spacing w:after="0" w:line="123"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1" w:right="29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820" w:right="60" w:hanging="470"/>
        <w:spacing w:after="0" w:line="271" w:lineRule="auto"/>
        <w:tabs>
          <w:tab w:leader="none" w:pos="8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its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74"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so long as no senior debt securities are outstanding.</w:t>
      </w:r>
    </w:p>
    <w:p>
      <w:pPr>
        <w:spacing w:after="0" w:line="111" w:lineRule="exact"/>
        <w:rPr>
          <w:sz w:val="20"/>
          <w:szCs w:val="20"/>
          <w:color w:val="auto"/>
        </w:rPr>
      </w:pPr>
    </w:p>
    <w:p>
      <w:pPr>
        <w:ind w:firstLine="264"/>
        <w:spacing w:after="0" w:line="251" w:lineRule="auto"/>
        <w:rPr>
          <w:sz w:val="20"/>
          <w:szCs w:val="20"/>
          <w:color w:val="auto"/>
        </w:rPr>
      </w:pPr>
      <w:r>
        <w:rPr>
          <w:rFonts w:ascii="Times New Roman" w:cs="Times New Roman" w:eastAsia="Times New Roman" w:hAnsi="Times New Roman"/>
          <w:sz w:val="18"/>
          <w:szCs w:val="18"/>
          <w:color w:val="auto"/>
        </w:rPr>
        <w:t>Subject to certain conditions, without prior notice to any holder of senior debt securities, modifications and amendments of the senior indenture may be made by us and the trustee with respect to any series of senior debt securities with the written consent of the holders of a majority in principal amount of the affected series of senior debt securities, and our compliance with any provision of the senior indenture with respect to any series of senior debt securities may be waived by written notice to the trustee by the holders of a majority in principal amount of the affected series of senior debt securities outstanding; provided, however, that each affected holder must consent to any modification, amendment or waiver that:</w:t>
      </w:r>
    </w:p>
    <w:p>
      <w:pPr>
        <w:spacing w:after="0" w:line="82" w:lineRule="exact"/>
        <w:rPr>
          <w:sz w:val="20"/>
          <w:szCs w:val="20"/>
          <w:color w:val="auto"/>
        </w:rPr>
      </w:pPr>
    </w:p>
    <w:p>
      <w:pPr>
        <w:ind w:left="820" w:right="520" w:hanging="470"/>
        <w:spacing w:after="0" w:line="271" w:lineRule="auto"/>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stated maturity of the principal of, or any sinking fund obligation or any installment of interest on, the senior debt securities of the affected series;</w:t>
      </w:r>
    </w:p>
    <w:p>
      <w:pPr>
        <w:spacing w:after="0" w:line="74"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principal amount of, or premium, if any, or interest on, the senior debt securities of the affected series;</w:t>
      </w:r>
    </w:p>
    <w:p>
      <w:pPr>
        <w:spacing w:after="0" w:line="123"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place or currency of payment of principal of, or premium, if any, or interest on, the senior debt securities of the affected series;</w:t>
      </w:r>
    </w:p>
    <w:p>
      <w:pPr>
        <w:spacing w:after="0" w:line="123"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provisions for calculating the optional redemption price, including the definitions relating thereto;</w:t>
      </w:r>
    </w:p>
    <w:p>
      <w:pPr>
        <w:spacing w:after="0" w:line="123" w:lineRule="exact"/>
        <w:rPr>
          <w:rFonts w:ascii="Times New Roman" w:cs="Times New Roman" w:eastAsia="Times New Roman" w:hAnsi="Times New Roman"/>
          <w:sz w:val="18"/>
          <w:szCs w:val="18"/>
          <w:color w:val="auto"/>
        </w:rPr>
      </w:pPr>
    </w:p>
    <w:p>
      <w:pPr>
        <w:ind w:left="820" w:right="160" w:hanging="470"/>
        <w:spacing w:after="0" w:line="271" w:lineRule="auto"/>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provisions relating to the waiver of past defaults or changes or impairs the right of holders to receive payment or to institute suit for the enforcement of any payment of the senior debt securities of the affected series on or after the due date therefor;</w:t>
      </w:r>
    </w:p>
    <w:p>
      <w:pPr>
        <w:spacing w:after="0" w:line="74" w:lineRule="exact"/>
        <w:rPr>
          <w:rFonts w:ascii="Times New Roman" w:cs="Times New Roman" w:eastAsia="Times New Roman" w:hAnsi="Times New Roman"/>
          <w:sz w:val="18"/>
          <w:szCs w:val="18"/>
          <w:color w:val="auto"/>
        </w:rPr>
      </w:pPr>
    </w:p>
    <w:p>
      <w:pPr>
        <w:ind w:left="820" w:right="20" w:hanging="470"/>
        <w:spacing w:after="0" w:line="271" w:lineRule="auto"/>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above-stated percentage of outstanding senior debt securities of the affected series the consent of whose holders is necessary to modify or amend or to waive certain provisions of or defaults under the senior indenture;</w:t>
      </w:r>
    </w:p>
    <w:p>
      <w:pPr>
        <w:spacing w:after="0" w:line="74" w:lineRule="exact"/>
        <w:rPr>
          <w:rFonts w:ascii="Times New Roman" w:cs="Times New Roman" w:eastAsia="Times New Roman" w:hAnsi="Times New Roman"/>
          <w:sz w:val="18"/>
          <w:szCs w:val="18"/>
          <w:color w:val="auto"/>
        </w:rPr>
      </w:pPr>
    </w:p>
    <w:p>
      <w:pPr>
        <w:ind w:left="820" w:right="260" w:hanging="470"/>
        <w:spacing w:after="0" w:line="271" w:lineRule="auto"/>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alters or impairs the right of holders to convert the senior debt securities of the affected series at the rate and upon the terms provided in the senior indenture;</w:t>
      </w:r>
    </w:p>
    <w:p>
      <w:pPr>
        <w:spacing w:after="0" w:line="74"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a default in the payment of principal of, premium, if any, or interest on the senior debt securities;</w:t>
      </w:r>
    </w:p>
    <w:p>
      <w:pPr>
        <w:spacing w:after="0" w:line="123" w:lineRule="exact"/>
        <w:rPr>
          <w:rFonts w:ascii="Times New Roman" w:cs="Times New Roman" w:eastAsia="Times New Roman" w:hAnsi="Times New Roman"/>
          <w:sz w:val="18"/>
          <w:szCs w:val="18"/>
          <w:color w:val="auto"/>
        </w:rPr>
      </w:pPr>
    </w:p>
    <w:p>
      <w:pPr>
        <w:ind w:left="820" w:right="320" w:hanging="470"/>
        <w:spacing w:after="0" w:line="271" w:lineRule="auto"/>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affects the rights of such holder under any mandatory redemption or repurchase provision or any right of redemption or repurchase that such holder has;</w:t>
      </w:r>
    </w:p>
    <w:p>
      <w:pPr>
        <w:spacing w:after="0" w:line="74" w:lineRule="exact"/>
        <w:rPr>
          <w:rFonts w:ascii="Times New Roman" w:cs="Times New Roman" w:eastAsia="Times New Roman" w:hAnsi="Times New Roman"/>
          <w:sz w:val="18"/>
          <w:szCs w:val="18"/>
          <w:color w:val="auto"/>
        </w:rPr>
      </w:pPr>
    </w:p>
    <w:p>
      <w:pPr>
        <w:ind w:left="820" w:right="400" w:hanging="470"/>
        <w:spacing w:after="0" w:line="271" w:lineRule="auto"/>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modifies any of the provisions of this paragraph, except to increase any required percentage or to provide that certain other provisions cannot be modified or waived without the consent of the holder of each senior debt security of the series affected by the modification; or</w:t>
      </w:r>
    </w:p>
    <w:p>
      <w:pPr>
        <w:spacing w:after="0" w:line="74" w:lineRule="exact"/>
        <w:rPr>
          <w:rFonts w:ascii="Times New Roman" w:cs="Times New Roman" w:eastAsia="Times New Roman" w:hAnsi="Times New Roman"/>
          <w:sz w:val="18"/>
          <w:szCs w:val="18"/>
          <w:color w:val="auto"/>
        </w:rPr>
      </w:pPr>
    </w:p>
    <w:p>
      <w:pPr>
        <w:ind w:left="820" w:hanging="470"/>
        <w:spacing w:after="0" w:line="271" w:lineRule="auto"/>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waives any provision in the senior indenture that, pursuant to a board resolution or supplemental indenture establishing the terms of one or more series of senior debt securities, is prohibited from being so changed or waived.</w:t>
      </w:r>
    </w:p>
    <w:p>
      <w:pPr>
        <w:spacing w:after="0" w:line="62" w:lineRule="exact"/>
        <w:rPr>
          <w:sz w:val="20"/>
          <w:szCs w:val="20"/>
          <w:color w:val="auto"/>
        </w:rPr>
      </w:pPr>
    </w:p>
    <w:p>
      <w:pPr>
        <w:ind w:right="20" w:firstLine="264"/>
        <w:spacing w:after="0" w:line="251" w:lineRule="auto"/>
        <w:rPr>
          <w:sz w:val="20"/>
          <w:szCs w:val="20"/>
          <w:color w:val="auto"/>
        </w:rPr>
      </w:pPr>
      <w:r>
        <w:rPr>
          <w:rFonts w:ascii="Times New Roman" w:cs="Times New Roman" w:eastAsia="Times New Roman" w:hAnsi="Times New Roman"/>
          <w:sz w:val="18"/>
          <w:szCs w:val="18"/>
          <w:color w:val="auto"/>
        </w:rPr>
        <w:t>It is not necessary for the consent of the holders under the senior indenture to approve the particular form of any note amendment, supplement or waiver, but it shall be sufficient if such consent approves the substance thereof. After an amendment, supplement or waiver under the senior indenture becomes effective, notice must be given to the holders affected thereby briefly describing the amendment, supplement, or waiver. Supplemental indentures will be mailed to holders upon request. Any failure to mail such notice, or any defect therein, shall not, however, in any way impair or affect the validity of any such supplemental indenture or waiver.</w:t>
      </w:r>
    </w:p>
    <w:p>
      <w:pPr>
        <w:spacing w:after="0" w:line="1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No Personal Liability of Incorporators, Stockholders, Officers, Directors, or Employees</w:t>
      </w:r>
    </w:p>
    <w:p>
      <w:pPr>
        <w:spacing w:after="0" w:line="115" w:lineRule="exact"/>
        <w:rPr>
          <w:sz w:val="20"/>
          <w:szCs w:val="20"/>
          <w:color w:val="auto"/>
        </w:rPr>
      </w:pPr>
    </w:p>
    <w:p>
      <w:pPr>
        <w:ind w:firstLine="261"/>
        <w:spacing w:after="0" w:line="251" w:lineRule="auto"/>
        <w:rPr>
          <w:sz w:val="20"/>
          <w:szCs w:val="20"/>
          <w:color w:val="auto"/>
        </w:rPr>
      </w:pPr>
      <w:r>
        <w:rPr>
          <w:rFonts w:ascii="Times New Roman" w:cs="Times New Roman" w:eastAsia="Times New Roman" w:hAnsi="Times New Roman"/>
          <w:sz w:val="18"/>
          <w:szCs w:val="18"/>
          <w:color w:val="auto"/>
        </w:rPr>
        <w:t>The senior indenture provides that no recourse shall be had under or upon any obligation, covenant, or agreement of ours or the cable guarantors in the senior indenture or any supplemental indenture, or in any of the senior debt securities or because of the creation of any indebtedness represented thereby, against any incorporator, stockholder, officer, director, employee of ours or any cable guarantor or of any successor person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1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Concerning the Trustee</w:t>
      </w:r>
    </w:p>
    <w:p>
      <w:pPr>
        <w:spacing w:after="0" w:line="115" w:lineRule="exact"/>
        <w:rPr>
          <w:sz w:val="20"/>
          <w:szCs w:val="20"/>
          <w:color w:val="auto"/>
        </w:rPr>
      </w:pPr>
    </w:p>
    <w:p>
      <w:pPr>
        <w:ind w:right="120" w:firstLine="261"/>
        <w:spacing w:after="0" w:line="253" w:lineRule="auto"/>
        <w:rPr>
          <w:sz w:val="20"/>
          <w:szCs w:val="20"/>
          <w:color w:val="auto"/>
        </w:rPr>
      </w:pPr>
      <w:r>
        <w:rPr>
          <w:rFonts w:ascii="Times New Roman" w:cs="Times New Roman" w:eastAsia="Times New Roman" w:hAnsi="Times New Roman"/>
          <w:sz w:val="18"/>
          <w:szCs w:val="18"/>
          <w:color w:val="auto"/>
        </w:rPr>
        <w:t>The senior indenture provides that, except during the continuance of a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1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senior indenture and the debt securities will be governed by, and construed in accordance with, the internal laws of the State of New York.</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The Trustees</w:t>
      </w:r>
    </w:p>
    <w:p>
      <w:pPr>
        <w:spacing w:after="0" w:line="1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may have normal banking relationships with the trustee under the senior indenture in the ordinary course of business.</w:t>
      </w:r>
    </w:p>
    <w:p>
      <w:pPr>
        <w:spacing w:after="0" w:line="111" w:lineRule="exact"/>
        <w:rPr>
          <w:sz w:val="20"/>
          <w:szCs w:val="20"/>
          <w:color w:val="auto"/>
        </w:rPr>
      </w:pPr>
    </w:p>
    <w:p>
      <w:pPr>
        <w:ind w:right="540" w:firstLine="264"/>
        <w:spacing w:after="0" w:line="271" w:lineRule="auto"/>
        <w:rPr>
          <w:sz w:val="20"/>
          <w:szCs w:val="20"/>
          <w:color w:val="auto"/>
        </w:rPr>
      </w:pPr>
      <w:r>
        <w:rPr>
          <w:rFonts w:ascii="Times New Roman" w:cs="Times New Roman" w:eastAsia="Times New Roman" w:hAnsi="Times New Roman"/>
          <w:sz w:val="18"/>
          <w:szCs w:val="18"/>
          <w:color w:val="auto"/>
        </w:rPr>
        <w:t>Brian L. Roberts, our director, President and Chief Executive Officer and a director of Comcast Holdings, is a member of the board of directors of the Trustee.</w:t>
      </w:r>
    </w:p>
    <w:p>
      <w:pPr>
        <w:spacing w:after="0" w:line="62" w:lineRule="exact"/>
        <w:rPr>
          <w:sz w:val="20"/>
          <w:szCs w:val="20"/>
          <w:color w:val="auto"/>
        </w:rPr>
      </w:pPr>
    </w:p>
    <w:p>
      <w:pPr>
        <w:ind w:right="20" w:firstLine="264"/>
        <w:spacing w:after="0" w:line="271" w:lineRule="auto"/>
        <w:rPr>
          <w:sz w:val="20"/>
          <w:szCs w:val="20"/>
          <w:color w:val="auto"/>
        </w:rPr>
      </w:pPr>
      <w:r>
        <w:rPr>
          <w:rFonts w:ascii="Times New Roman" w:cs="Times New Roman" w:eastAsia="Times New Roman" w:hAnsi="Times New Roman"/>
          <w:sz w:val="18"/>
          <w:szCs w:val="18"/>
          <w:color w:val="auto"/>
        </w:rPr>
        <w:t>John R. Alchin, our Executive Vice President, Co-Chief Financial Officer and Treasurer, is a member of the board of directors of BNY Hamilton Funds, Inc., an affiliate of the Trustee.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Terms of the Subordinated Debt Securities</w:t>
      </w:r>
    </w:p>
    <w:p>
      <w:pPr>
        <w:spacing w:after="0" w:line="113" w:lineRule="exact"/>
        <w:rPr>
          <w:sz w:val="20"/>
          <w:szCs w:val="20"/>
          <w:color w:val="auto"/>
        </w:rPr>
      </w:pPr>
    </w:p>
    <w:p>
      <w:pPr>
        <w:ind w:right="40" w:firstLine="264"/>
        <w:spacing w:after="0" w:line="258" w:lineRule="auto"/>
        <w:rPr>
          <w:sz w:val="20"/>
          <w:szCs w:val="20"/>
          <w:color w:val="auto"/>
        </w:rPr>
      </w:pPr>
      <w:r>
        <w:rPr>
          <w:rFonts w:ascii="Times New Roman" w:cs="Times New Roman" w:eastAsia="Times New Roman" w:hAnsi="Times New Roman"/>
          <w:sz w:val="18"/>
          <w:szCs w:val="18"/>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Subordination</w:t>
      </w:r>
    </w:p>
    <w:p>
      <w:pPr>
        <w:spacing w:after="0" w:line="115" w:lineRule="exact"/>
        <w:rPr>
          <w:sz w:val="20"/>
          <w:szCs w:val="20"/>
          <w:color w:val="auto"/>
        </w:rPr>
      </w:pPr>
    </w:p>
    <w:p>
      <w:pPr>
        <w:ind w:right="20" w:firstLine="261"/>
        <w:spacing w:after="0" w:line="249" w:lineRule="auto"/>
        <w:rPr>
          <w:sz w:val="20"/>
          <w:szCs w:val="20"/>
          <w:color w:val="auto"/>
        </w:rPr>
      </w:pPr>
      <w:r>
        <w:rPr>
          <w:rFonts w:ascii="Times New Roman" w:cs="Times New Roman" w:eastAsia="Times New Roman" w:hAnsi="Times New Roman"/>
          <w:sz w:val="18"/>
          <w:szCs w:val="18"/>
          <w:color w:val="auto"/>
        </w:rPr>
        <w:t>The indebtedness evidenced by the subordinated debt securities is subordinate to the prior payment in full of all our Senior Indebtedness, as defined in the subordinated indenture. During the continuance beyond any applicable grace period of any default in the payment of principal, premium, interest or any other payment due on any of our Senior Indebtedness, we may not make any payment of principal of, or premium, if any, or interest on the subordinated debt securities. In addition, upon any payment or distribution of our assets upon any dissolution, winding up, liquidation or reorganization, the payment of the principal of, or premium, if any,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subordination provisions also apply in the same way to each cable guarantor with respect to the Senior Indebtedness of such cable guarantor.</w:t>
      </w:r>
    </w:p>
    <w:p>
      <w:pPr>
        <w:spacing w:after="0" w:line="111" w:lineRule="exact"/>
        <w:rPr>
          <w:sz w:val="20"/>
          <w:szCs w:val="20"/>
          <w:color w:val="auto"/>
        </w:rPr>
      </w:pPr>
    </w:p>
    <w:p>
      <w:pPr>
        <w:ind w:right="440" w:firstLine="261"/>
        <w:spacing w:after="0" w:line="271" w:lineRule="auto"/>
        <w:rPr>
          <w:sz w:val="20"/>
          <w:szCs w:val="20"/>
          <w:color w:val="auto"/>
        </w:rPr>
      </w:pPr>
      <w:r>
        <w:rPr>
          <w:rFonts w:ascii="Times New Roman" w:cs="Times New Roman" w:eastAsia="Times New Roman" w:hAnsi="Times New Roman"/>
          <w:sz w:val="18"/>
          <w:szCs w:val="18"/>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62" w:lineRule="exact"/>
        <w:rPr>
          <w:sz w:val="20"/>
          <w:szCs w:val="20"/>
          <w:color w:val="auto"/>
        </w:rPr>
      </w:pPr>
    </w:p>
    <w:p>
      <w:pPr>
        <w:ind w:left="820" w:right="20" w:hanging="470"/>
        <w:spacing w:after="0" w:line="270" w:lineRule="auto"/>
        <w:tabs>
          <w:tab w:leader="none" w:pos="8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indebtedness of that person for money borrowed, including any indebtedness secured by a mortgage or other lien which is (1) given to secure all or part of the purchase price of property subject to the mortgage or lien, whether given to the vendor of that property or to another lender, or</w:t>
      </w: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existing on property at the time that person acquires it;</w:t>
      </w:r>
    </w:p>
    <w:p>
      <w:pPr>
        <w:spacing w:after="0" w:line="106" w:lineRule="exact"/>
        <w:rPr>
          <w:rFonts w:ascii="Times New Roman" w:cs="Times New Roman" w:eastAsia="Times New Roman" w:hAnsi="Times New Roman"/>
          <w:sz w:val="17"/>
          <w:szCs w:val="17"/>
          <w:color w:val="auto"/>
        </w:rPr>
      </w:pPr>
    </w:p>
    <w:p>
      <w:pPr>
        <w:ind w:left="820" w:hanging="470"/>
        <w:spacing w:after="0"/>
        <w:tabs>
          <w:tab w:leader="none" w:pos="8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indebtedness of that person evidenced by notes, debentures, bonds or other securities sold by that person for money;</w:t>
      </w:r>
    </w:p>
    <w:p>
      <w:pPr>
        <w:spacing w:after="0" w:line="123"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lease obligations which are capitalized on the books of that person in accordance with generally accepted accounting principles;</w:t>
      </w:r>
    </w:p>
    <w:p>
      <w:pPr>
        <w:spacing w:after="0" w:line="123" w:lineRule="exact"/>
        <w:rPr>
          <w:rFonts w:ascii="Times New Roman" w:cs="Times New Roman" w:eastAsia="Times New Roman" w:hAnsi="Times New Roman"/>
          <w:sz w:val="18"/>
          <w:szCs w:val="18"/>
          <w:color w:val="auto"/>
        </w:rPr>
      </w:pPr>
    </w:p>
    <w:p>
      <w:pPr>
        <w:ind w:left="820" w:right="380" w:hanging="470"/>
        <w:spacing w:after="0" w:line="258" w:lineRule="auto"/>
        <w:tabs>
          <w:tab w:leader="none" w:pos="8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86" w:lineRule="exact"/>
        <w:rPr>
          <w:rFonts w:ascii="Times New Roman" w:cs="Times New Roman" w:eastAsia="Times New Roman" w:hAnsi="Times New Roman"/>
          <w:sz w:val="18"/>
          <w:szCs w:val="18"/>
          <w:color w:val="auto"/>
        </w:rPr>
      </w:pPr>
    </w:p>
    <w:p>
      <w:pPr>
        <w:ind w:left="820" w:right="480" w:hanging="470"/>
        <w:spacing w:after="0" w:line="271" w:lineRule="auto"/>
        <w:tabs>
          <w:tab w:leader="none" w:pos="8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60"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i w:val="1"/>
          <w:iCs w:val="1"/>
          <w:color w:val="auto"/>
        </w:rPr>
        <w:t>unless</w:t>
      </w:r>
      <w:r>
        <w:rPr>
          <w:rFonts w:ascii="Times New Roman" w:cs="Times New Roman" w:eastAsia="Times New Roman" w:hAnsi="Times New Roman"/>
          <w:sz w:val="18"/>
          <w:szCs w:val="18"/>
          <w:color w:val="auto"/>
        </w:rPr>
        <w:t>, in the case of any particular indebtedness, lease, renewal, extension or refunding, the instrument or lease creating or evidencing it or the assumption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guarantee relating to it expressly provides that such indebtedness, lease, renewal, extension or refunding is not superior in right of payment to the subordinated debt securities. Our senior debt securities, and any unsubordinated guarantee obligations of ours or any cable guarantor to which we and the cable guarantors are a party, including our and the cable guarantors’, guarantees of each others’ debt securities and other indebtedness for borrowed money, constitute Senior Indebtedness for purposes of the subordinated debt indenture.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Debt Securities</w:t>
      </w:r>
    </w:p>
    <w:p>
      <w:pPr>
        <w:spacing w:after="0" w:line="113" w:lineRule="exact"/>
        <w:rPr>
          <w:sz w:val="20"/>
          <w:szCs w:val="20"/>
          <w:color w:val="auto"/>
        </w:rPr>
      </w:pPr>
    </w:p>
    <w:p>
      <w:pPr>
        <w:ind w:right="260" w:firstLine="261"/>
        <w:spacing w:after="0" w:line="253" w:lineRule="auto"/>
        <w:rPr>
          <w:sz w:val="20"/>
          <w:szCs w:val="20"/>
          <w:color w:val="auto"/>
        </w:rPr>
      </w:pPr>
      <w:r>
        <w:rPr>
          <w:rFonts w:ascii="Times New Roman" w:cs="Times New Roman" w:eastAsia="Times New Roman" w:hAnsi="Times New Roman"/>
          <w:sz w:val="18"/>
          <w:szCs w:val="18"/>
          <w:color w:val="auto"/>
        </w:rPr>
        <w:t>The terms, if any, on which debt securities being offered may be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80" w:lineRule="exact"/>
        <w:rPr>
          <w:sz w:val="20"/>
          <w:szCs w:val="20"/>
          <w:color w:val="auto"/>
        </w:rPr>
      </w:pPr>
    </w:p>
    <w:p>
      <w:pPr>
        <w:ind w:right="260" w:firstLine="264"/>
        <w:spacing w:after="0" w:line="271" w:lineRule="auto"/>
        <w:rPr>
          <w:sz w:val="20"/>
          <w:szCs w:val="20"/>
          <w:color w:val="auto"/>
        </w:rPr>
      </w:pPr>
      <w:r>
        <w:rPr>
          <w:rFonts w:ascii="Times New Roman" w:cs="Times New Roman" w:eastAsia="Times New Roman" w:hAnsi="Times New Roman"/>
          <w:sz w:val="18"/>
          <w:szCs w:val="18"/>
          <w:color w:val="auto"/>
        </w:rPr>
        <w:t>Unless otherwise indicated in the prospectus supplement, the following provisions will apply to debt securities being offered that may be exchanged for or converted into capital stock:</w:t>
      </w:r>
    </w:p>
    <w:p>
      <w:pPr>
        <w:spacing w:after="0" w:line="62" w:lineRule="exact"/>
        <w:rPr>
          <w:sz w:val="20"/>
          <w:szCs w:val="20"/>
          <w:color w:val="auto"/>
        </w:rPr>
      </w:pPr>
    </w:p>
    <w:p>
      <w:pPr>
        <w:ind w:right="40" w:firstLine="261"/>
        <w:spacing w:after="0" w:line="253" w:lineRule="auto"/>
        <w:rPr>
          <w:sz w:val="20"/>
          <w:szCs w:val="20"/>
          <w:color w:val="auto"/>
        </w:rPr>
      </w:pPr>
      <w:r>
        <w:rPr>
          <w:rFonts w:ascii="Times New Roman" w:cs="Times New Roman" w:eastAsia="Times New Roman" w:hAnsi="Times New Roman"/>
          <w:sz w:val="18"/>
          <w:szCs w:val="18"/>
          <w:color w:val="auto"/>
        </w:rPr>
        <w:t>The holder of any debt securities convertible into capital stock will have the right exercisable at any time during the time period specified in the prospectus supplement, unless previously redeemed by us, to convert such debt securities into shares of capital stock, which may include preferred stock, Class A Common Stock or Class A Special Common Stock, as specified in the prospectus supplement, at the conversion rate for each $1,000 principal amount of debt securities set forth in the prospectus supplement, subject to adjustment.</w:t>
      </w:r>
    </w:p>
    <w:p>
      <w:pPr>
        <w:spacing w:after="0" w:line="80" w:lineRule="exact"/>
        <w:rPr>
          <w:sz w:val="20"/>
          <w:szCs w:val="20"/>
          <w:color w:val="auto"/>
        </w:rPr>
      </w:pPr>
    </w:p>
    <w:p>
      <w:pPr>
        <w:ind w:firstLine="261"/>
        <w:spacing w:after="0" w:line="258" w:lineRule="auto"/>
        <w:rPr>
          <w:sz w:val="20"/>
          <w:szCs w:val="20"/>
          <w:color w:val="auto"/>
        </w:rPr>
      </w:pPr>
      <w:r>
        <w:rPr>
          <w:rFonts w:ascii="Times New Roman" w:cs="Times New Roman" w:eastAsia="Times New Roman" w:hAnsi="Times New Roman"/>
          <w:sz w:val="18"/>
          <w:szCs w:val="18"/>
          <w:color w:val="auto"/>
        </w:rPr>
        <w:t>The holder of a convertible debt security may convert a portion thereof which is $1,000 or any integral multiple of $1,000. In the case of debt securities called for redemption, conversion rights will expire at the close of business on the business day prior to the date fixed for the redemption as may be specified in the prospectus supplement, except that in the case of redemption at the option of the debt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holder, if applicable, such right will terminate upon receipt of written notice of the exercise of such option.</w:t>
      </w:r>
    </w:p>
    <w:p>
      <w:pPr>
        <w:spacing w:after="0" w:line="111" w:lineRule="exact"/>
        <w:rPr>
          <w:sz w:val="20"/>
          <w:szCs w:val="20"/>
          <w:color w:val="auto"/>
        </w:rPr>
      </w:pPr>
    </w:p>
    <w:p>
      <w:pPr>
        <w:ind w:right="20" w:firstLine="264"/>
        <w:spacing w:after="0" w:line="271" w:lineRule="auto"/>
        <w:rPr>
          <w:sz w:val="20"/>
          <w:szCs w:val="20"/>
          <w:color w:val="auto"/>
        </w:rPr>
      </w:pPr>
      <w:r>
        <w:rPr>
          <w:rFonts w:ascii="Times New Roman" w:cs="Times New Roman" w:eastAsia="Times New Roman" w:hAnsi="Times New Roman"/>
          <w:sz w:val="18"/>
          <w:szCs w:val="18"/>
          <w:color w:val="auto"/>
        </w:rPr>
        <w:t>Unless the terms of the specific debt securities being offered provide otherwise, in certain events, the conversion rate will be subject to adjustment as set forth in the indentures. Such events include:</w:t>
      </w:r>
    </w:p>
    <w:p>
      <w:pPr>
        <w:spacing w:after="0" w:line="62" w:lineRule="exact"/>
        <w:rPr>
          <w:sz w:val="20"/>
          <w:szCs w:val="20"/>
          <w:color w:val="auto"/>
        </w:rPr>
      </w:pPr>
    </w:p>
    <w:p>
      <w:pPr>
        <w:ind w:left="820" w:right="200" w:hanging="470"/>
        <w:spacing w:after="0" w:line="271" w:lineRule="auto"/>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of any class of capital stock of ours as a dividend on the class of capital stock into which the debt securities of such series are convertible;</w:t>
      </w:r>
    </w:p>
    <w:p>
      <w:pPr>
        <w:spacing w:after="0" w:line="74"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subdivisions, combinations and reclassifications of the class of capital stock into which debt securities of such series are convertible;</w:t>
      </w:r>
    </w:p>
    <w:p>
      <w:pPr>
        <w:spacing w:after="0" w:line="123" w:lineRule="exact"/>
        <w:rPr>
          <w:rFonts w:ascii="Times New Roman" w:cs="Times New Roman" w:eastAsia="Times New Roman" w:hAnsi="Times New Roman"/>
          <w:sz w:val="18"/>
          <w:szCs w:val="18"/>
          <w:color w:val="auto"/>
        </w:rPr>
      </w:pPr>
    </w:p>
    <w:p>
      <w:pPr>
        <w:ind w:left="820" w:right="40" w:hanging="470"/>
        <w:spacing w:after="0" w:line="258" w:lineRule="auto"/>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to all holders of the class of capital stock into which debt securities of such series are convertible or rights or warrants entitling the debt security holders (for a period not exceeding 45 days) to subscribe for or purchase shares of such class of capital stock at a price per share less than the current market price per share of such class of capital stock;</w:t>
      </w:r>
    </w:p>
    <w:p>
      <w:pPr>
        <w:spacing w:after="0" w:line="86" w:lineRule="exact"/>
        <w:rPr>
          <w:rFonts w:ascii="Times New Roman" w:cs="Times New Roman" w:eastAsia="Times New Roman" w:hAnsi="Times New Roman"/>
          <w:sz w:val="18"/>
          <w:szCs w:val="18"/>
          <w:color w:val="auto"/>
        </w:rPr>
      </w:pPr>
    </w:p>
    <w:p>
      <w:pPr>
        <w:ind w:left="820" w:right="40" w:hanging="470"/>
        <w:spacing w:after="0" w:line="271" w:lineRule="auto"/>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to all holders of the class of capital stock into which debt securities of such series are convertible of evidences of indebtedness of ours or of assets or subscription rights or warrants (other than those referred to above); and</w:t>
      </w:r>
    </w:p>
    <w:p>
      <w:pPr>
        <w:spacing w:after="0" w:line="74"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cash in excess of certain threshold amounts.</w:t>
      </w:r>
    </w:p>
    <w:p>
      <w:pPr>
        <w:spacing w:after="0" w:line="111" w:lineRule="exact"/>
        <w:rPr>
          <w:sz w:val="20"/>
          <w:szCs w:val="20"/>
          <w:color w:val="auto"/>
        </w:rPr>
      </w:pPr>
    </w:p>
    <w:p>
      <w:pPr>
        <w:ind w:right="840" w:firstLine="264"/>
        <w:spacing w:after="0" w:line="271" w:lineRule="auto"/>
        <w:rPr>
          <w:sz w:val="20"/>
          <w:szCs w:val="20"/>
          <w:color w:val="auto"/>
        </w:rPr>
      </w:pPr>
      <w:r>
        <w:rPr>
          <w:rFonts w:ascii="Times New Roman" w:cs="Times New Roman" w:eastAsia="Times New Roman" w:hAnsi="Times New Roman"/>
          <w:sz w:val="18"/>
          <w:szCs w:val="18"/>
          <w:color w:val="auto"/>
        </w:rPr>
        <w:t>In the case of cash dividends in excess of threshold amounts, we may, at our option, choose to set aside the amount of such distribution in cash for distribution to the holder upon conversion rather than adjust the conversion rate; we do not intend to pay interest on the cash set aside.</w:t>
      </w:r>
    </w:p>
    <w:p>
      <w:pPr>
        <w:spacing w:after="0" w:line="62" w:lineRule="exact"/>
        <w:rPr>
          <w:sz w:val="20"/>
          <w:szCs w:val="20"/>
          <w:color w:val="auto"/>
        </w:rPr>
      </w:pPr>
    </w:p>
    <w:p>
      <w:pPr>
        <w:ind w:firstLine="264"/>
        <w:spacing w:after="0" w:line="273" w:lineRule="auto"/>
        <w:rPr>
          <w:sz w:val="20"/>
          <w:szCs w:val="20"/>
          <w:color w:val="auto"/>
        </w:rPr>
      </w:pPr>
      <w:r>
        <w:rPr>
          <w:rFonts w:ascii="Times New Roman" w:cs="Times New Roman" w:eastAsia="Times New Roman" w:hAnsi="Times New Roman"/>
          <w:sz w:val="17"/>
          <w:szCs w:val="17"/>
          <w:color w:val="auto"/>
        </w:rPr>
        <w:t>No adjustment of the conversion rate will be required unless an adjustment would require a cumulative increase or decrease of at least 1% in such rate. Fractional shares of capital stock will not be issued upon conversion but, in lieu thereof, we will pay a cash adjustment. Convertible debt securities surrendered for conversion between the record date for an interest payment, if any, and the interest payment date, except convertible debt securities called for redemption on a redemption date during such period, must be accompanied by payment of an amount equal to the interest thereon which the registered holder is to receive.</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13" w:lineRule="exact"/>
        <w:rPr>
          <w:sz w:val="20"/>
          <w:szCs w:val="20"/>
          <w:color w:val="auto"/>
        </w:rPr>
      </w:pPr>
    </w:p>
    <w:p>
      <w:pPr>
        <w:ind w:right="80" w:firstLine="261"/>
        <w:spacing w:after="0" w:line="249" w:lineRule="auto"/>
        <w:rPr>
          <w:sz w:val="20"/>
          <w:szCs w:val="20"/>
          <w:color w:val="auto"/>
        </w:rPr>
      </w:pPr>
      <w:r>
        <w:rPr>
          <w:rFonts w:ascii="Times New Roman" w:cs="Times New Roman" w:eastAsia="Times New Roman" w:hAnsi="Times New Roman"/>
          <w:sz w:val="18"/>
          <w:szCs w:val="18"/>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84" w:lineRule="exact"/>
        <w:rPr>
          <w:sz w:val="20"/>
          <w:szCs w:val="20"/>
          <w:color w:val="auto"/>
        </w:rPr>
      </w:pPr>
    </w:p>
    <w:p>
      <w:pPr>
        <w:ind w:right="180" w:firstLine="261"/>
        <w:spacing w:after="0" w:line="271" w:lineRule="auto"/>
        <w:rPr>
          <w:sz w:val="20"/>
          <w:szCs w:val="20"/>
          <w:color w:val="auto"/>
        </w:rPr>
      </w:pPr>
      <w:r>
        <w:rPr>
          <w:rFonts w:ascii="Times New Roman" w:cs="Times New Roman" w:eastAsia="Times New Roman" w:hAnsi="Times New Roman"/>
          <w:sz w:val="18"/>
          <w:szCs w:val="18"/>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62" w:lineRule="exact"/>
        <w:rPr>
          <w:sz w:val="20"/>
          <w:szCs w:val="20"/>
          <w:color w:val="auto"/>
        </w:rPr>
      </w:pPr>
    </w:p>
    <w:p>
      <w:pPr>
        <w:ind w:firstLine="264"/>
        <w:spacing w:after="0" w:line="265" w:lineRule="auto"/>
        <w:rPr>
          <w:sz w:val="20"/>
          <w:szCs w:val="20"/>
          <w:color w:val="auto"/>
        </w:rPr>
      </w:pPr>
      <w:r>
        <w:rPr>
          <w:rFonts w:ascii="Times New Roman" w:cs="Times New Roman" w:eastAsia="Times New Roman" w:hAnsi="Times New Roman"/>
          <w:sz w:val="17"/>
          <w:szCs w:val="17"/>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72" w:lineRule="exact"/>
        <w:rPr>
          <w:sz w:val="20"/>
          <w:szCs w:val="20"/>
          <w:color w:val="auto"/>
        </w:rPr>
      </w:pPr>
    </w:p>
    <w:p>
      <w:pPr>
        <w:ind w:right="120" w:firstLine="264"/>
        <w:spacing w:after="0" w:line="247" w:lineRule="auto"/>
        <w:rPr>
          <w:sz w:val="20"/>
          <w:szCs w:val="20"/>
          <w:color w:val="auto"/>
        </w:rPr>
      </w:pPr>
      <w:r>
        <w:rPr>
          <w:rFonts w:ascii="Times New Roman" w:cs="Times New Roman" w:eastAsia="Times New Roman" w:hAnsi="Times New Roman"/>
          <w:sz w:val="18"/>
          <w:szCs w:val="18"/>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89" w:lineRule="exact"/>
        <w:rPr>
          <w:sz w:val="20"/>
          <w:szCs w:val="20"/>
          <w:color w:val="auto"/>
        </w:rPr>
      </w:pPr>
    </w:p>
    <w:p>
      <w:pPr>
        <w:ind w:right="180" w:firstLine="264"/>
        <w:spacing w:after="0" w:line="253" w:lineRule="auto"/>
        <w:rPr>
          <w:sz w:val="20"/>
          <w:szCs w:val="20"/>
          <w:color w:val="auto"/>
        </w:rPr>
      </w:pPr>
      <w:r>
        <w:rPr>
          <w:rFonts w:ascii="Times New Roman" w:cs="Times New Roman" w:eastAsia="Times New Roman" w:hAnsi="Times New Roman"/>
          <w:sz w:val="18"/>
          <w:szCs w:val="18"/>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 agents, agent of the trustees or agent of the warrant agents or unit agents will</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62" w:lineRule="exact"/>
        <w:rPr>
          <w:sz w:val="20"/>
          <w:szCs w:val="20"/>
          <w:color w:val="auto"/>
        </w:rPr>
      </w:pPr>
    </w:p>
    <w:p>
      <w:pPr>
        <w:ind w:right="440" w:firstLine="261"/>
        <w:spacing w:after="0" w:line="250" w:lineRule="auto"/>
        <w:rPr>
          <w:sz w:val="20"/>
          <w:szCs w:val="20"/>
          <w:color w:val="auto"/>
        </w:rPr>
      </w:pPr>
      <w:r>
        <w:rPr>
          <w:rFonts w:ascii="Times New Roman" w:cs="Times New Roman" w:eastAsia="Times New Roman" w:hAnsi="Times New Roman"/>
          <w:sz w:val="18"/>
          <w:szCs w:val="18"/>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82" w:lineRule="exact"/>
        <w:rPr>
          <w:sz w:val="20"/>
          <w:szCs w:val="20"/>
          <w:color w:val="auto"/>
        </w:rPr>
      </w:pPr>
    </w:p>
    <w:p>
      <w:pPr>
        <w:ind w:right="20" w:firstLine="264"/>
        <w:spacing w:after="0" w:line="266" w:lineRule="auto"/>
        <w:rPr>
          <w:sz w:val="20"/>
          <w:szCs w:val="20"/>
          <w:color w:val="auto"/>
        </w:rPr>
      </w:pPr>
      <w:r>
        <w:rPr>
          <w:rFonts w:ascii="Times New Roman" w:cs="Times New Roman" w:eastAsia="Times New Roman" w:hAnsi="Times New Roman"/>
          <w:sz w:val="17"/>
          <w:szCs w:val="17"/>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1" w:right="29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13" w:lineRule="exact"/>
        <w:rPr>
          <w:sz w:val="20"/>
          <w:szCs w:val="20"/>
          <w:color w:val="auto"/>
        </w:rPr>
      </w:pPr>
    </w:p>
    <w:p>
      <w:pPr>
        <w:ind w:right="120" w:firstLine="261"/>
        <w:spacing w:after="0" w:line="271" w:lineRule="auto"/>
        <w:rPr>
          <w:sz w:val="20"/>
          <w:szCs w:val="20"/>
          <w:color w:val="auto"/>
        </w:rPr>
      </w:pPr>
      <w:r>
        <w:rPr>
          <w:rFonts w:ascii="Times New Roman" w:cs="Times New Roman" w:eastAsia="Times New Roman" w:hAnsi="Times New Roman"/>
          <w:sz w:val="18"/>
          <w:szCs w:val="18"/>
          <w:color w:val="auto"/>
        </w:rPr>
        <w:t>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62" w:lineRule="exact"/>
        <w:rPr>
          <w:sz w:val="20"/>
          <w:szCs w:val="20"/>
          <w:color w:val="auto"/>
        </w:rPr>
      </w:pPr>
    </w:p>
    <w:p>
      <w:pPr>
        <w:ind w:right="40" w:firstLine="261"/>
        <w:spacing w:after="0" w:line="258" w:lineRule="auto"/>
        <w:rPr>
          <w:sz w:val="20"/>
          <w:szCs w:val="20"/>
          <w:color w:val="auto"/>
        </w:rPr>
      </w:pPr>
      <w:r>
        <w:rPr>
          <w:rFonts w:ascii="Times New Roman" w:cs="Times New Roman" w:eastAsia="Times New Roman" w:hAnsi="Times New Roman"/>
          <w:sz w:val="18"/>
          <w:szCs w:val="18"/>
          <w:color w:val="auto"/>
        </w:rPr>
        <w:t>We have three classes of common stock outstanding: Class A Common Stock, $0.01 par value per share; Class A Special Common Stock, $0.01 par value per share; and Class B Common Stock, $0.01 par value per share. There are currently authorized 7.5 billion shares of Class A Common Stock, 7.5 billion shares of Class A Special Common Stock and 75 million shares of Class B Common Stock.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13" w:lineRule="exact"/>
        <w:rPr>
          <w:sz w:val="20"/>
          <w:szCs w:val="20"/>
          <w:color w:val="auto"/>
        </w:rPr>
      </w:pPr>
    </w:p>
    <w:p>
      <w:pPr>
        <w:ind w:right="60" w:firstLine="264"/>
        <w:spacing w:after="0" w:line="253" w:lineRule="auto"/>
        <w:rPr>
          <w:sz w:val="20"/>
          <w:szCs w:val="20"/>
          <w:color w:val="auto"/>
        </w:rPr>
      </w:pPr>
      <w:r>
        <w:rPr>
          <w:rFonts w:ascii="Times New Roman" w:cs="Times New Roman" w:eastAsia="Times New Roman" w:hAnsi="Times New Roman"/>
          <w:sz w:val="18"/>
          <w:szCs w:val="18"/>
          <w:color w:val="auto"/>
        </w:rPr>
        <w:t>Subject to the preferential rights of any preferred stock then outstanding, Holders of our Class A Common Stock, Class A Special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80" w:lineRule="exact"/>
        <w:rPr>
          <w:sz w:val="20"/>
          <w:szCs w:val="20"/>
          <w:color w:val="auto"/>
        </w:rPr>
      </w:pPr>
    </w:p>
    <w:p>
      <w:pPr>
        <w:ind w:right="20" w:firstLine="264"/>
        <w:spacing w:after="0" w:line="251" w:lineRule="auto"/>
        <w:rPr>
          <w:sz w:val="20"/>
          <w:szCs w:val="20"/>
          <w:color w:val="auto"/>
        </w:rPr>
      </w:pPr>
      <w:r>
        <w:rPr>
          <w:rFonts w:ascii="Times New Roman" w:cs="Times New Roman" w:eastAsia="Times New Roman" w:hAnsi="Times New Roman"/>
          <w:sz w:val="18"/>
          <w:szCs w:val="18"/>
          <w:color w:val="auto"/>
        </w:rPr>
        <w:t>Holders of our Class A Common Stock, Class A Special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Special Common Stock.</w:t>
      </w:r>
    </w:p>
    <w:p>
      <w:pPr>
        <w:spacing w:after="0" w:line="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do not intend to pay dividends on our common stock for the foreseeable future.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13" w:lineRule="exact"/>
        <w:rPr>
          <w:sz w:val="20"/>
          <w:szCs w:val="20"/>
          <w:color w:val="auto"/>
        </w:rPr>
      </w:pPr>
    </w:p>
    <w:p>
      <w:pPr>
        <w:ind w:right="100" w:firstLine="264"/>
        <w:spacing w:after="0" w:line="301" w:lineRule="auto"/>
        <w:rPr>
          <w:sz w:val="20"/>
          <w:szCs w:val="20"/>
          <w:color w:val="auto"/>
        </w:rPr>
      </w:pPr>
      <w:r>
        <w:rPr>
          <w:rFonts w:ascii="Times New Roman" w:cs="Times New Roman" w:eastAsia="Times New Roman" w:hAnsi="Times New Roman"/>
          <w:sz w:val="17"/>
          <w:szCs w:val="17"/>
          <w:color w:val="auto"/>
        </w:rPr>
        <w:t>Except as required by law, holders of our Class A Special Common Stock are not entitled to vote. When holders of our Class A Special Common Stock are entitled to vote by applicable law, each share of our Class A Special Common Stock has the same number of votes as each share of our Class A Common Stock.</w:t>
      </w:r>
    </w:p>
    <w:p>
      <w:pPr>
        <w:spacing w:after="0" w:line="39" w:lineRule="exact"/>
        <w:rPr>
          <w:sz w:val="20"/>
          <w:szCs w:val="20"/>
          <w:color w:val="auto"/>
        </w:rPr>
      </w:pPr>
    </w:p>
    <w:p>
      <w:pPr>
        <w:ind w:right="280" w:firstLine="264"/>
        <w:spacing w:after="0" w:line="271" w:lineRule="auto"/>
        <w:rPr>
          <w:sz w:val="20"/>
          <w:szCs w:val="20"/>
          <w:color w:val="auto"/>
        </w:rPr>
      </w:pPr>
      <w:r>
        <w:rPr>
          <w:rFonts w:ascii="Times New Roman" w:cs="Times New Roman" w:eastAsia="Times New Roman" w:hAnsi="Times New Roman"/>
          <w:sz w:val="18"/>
          <w:szCs w:val="18"/>
          <w:color w:val="auto"/>
        </w:rPr>
        <w:t>On all matters submitted for a vote of holders of all classes of our voting stock, holders of our Class A Common Stock in the aggregate hold 66</w:t>
      </w:r>
      <w:r>
        <w:rPr>
          <w:rFonts w:ascii="Times New Roman" w:cs="Times New Roman" w:eastAsia="Times New Roman" w:hAnsi="Times New Roman"/>
          <w:sz w:val="10"/>
          <w:szCs w:val="10"/>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3</w:t>
      </w:r>
      <w:r>
        <w:rPr>
          <w:rFonts w:ascii="Times New Roman" w:cs="Times New Roman" w:eastAsia="Times New Roman" w:hAnsi="Times New Roman"/>
          <w:sz w:val="18"/>
          <w:szCs w:val="18"/>
          <w:color w:val="auto"/>
        </w:rPr>
        <w:t>% of the aggregate voting power of our capital stock as of February 28, 2006.</w:t>
      </w:r>
    </w:p>
    <w:p>
      <w:pPr>
        <w:spacing w:after="0" w:line="62" w:lineRule="exact"/>
        <w:rPr>
          <w:sz w:val="20"/>
          <w:szCs w:val="20"/>
          <w:color w:val="auto"/>
        </w:rPr>
      </w:pPr>
    </w:p>
    <w:p>
      <w:pPr>
        <w:ind w:firstLine="264"/>
        <w:spacing w:after="0" w:line="264" w:lineRule="auto"/>
        <w:rPr>
          <w:sz w:val="20"/>
          <w:szCs w:val="20"/>
          <w:color w:val="auto"/>
        </w:rPr>
      </w:pPr>
      <w:r>
        <w:rPr>
          <w:rFonts w:ascii="Times New Roman" w:cs="Times New Roman" w:eastAsia="Times New Roman" w:hAnsi="Times New Roman"/>
          <w:sz w:val="17"/>
          <w:szCs w:val="17"/>
          <w:color w:val="auto"/>
        </w:rPr>
        <w:t>Each share of our Class A Common Stock has the number of votes equal to a quotient the numerator of which is the excess of (1) the Total Number of Votes (as defined below in this paragraph) over (2) the sum of (A) the Total Number of B Votes (as defined below in this paragraph) and (B) the Total Number of Other Votes (as defined below in this paragraph) and the denominator of which is the number of outstanding shares of our Class A Common Stock. “Total Number of Votes” on any record date is equal to a quotient the numerator of which is the Total Number of B Votes on such record date and the denominator of which is the B Voting Percentage (as defined below in this paragraph) on such record date. “Total Number of B Votes” on any record date is equal to the product of (1) 15 and</w:t>
      </w:r>
    </w:p>
    <w:p>
      <w:pPr>
        <w:spacing w:after="0" w:line="1" w:lineRule="exact"/>
        <w:rPr>
          <w:sz w:val="20"/>
          <w:szCs w:val="20"/>
          <w:color w:val="auto"/>
        </w:rPr>
      </w:pPr>
    </w:p>
    <w:p>
      <w:pPr>
        <w:ind w:right="20" w:firstLine="6"/>
        <w:spacing w:after="0" w:line="246" w:lineRule="auto"/>
        <w:tabs>
          <w:tab w:leader="none" w:pos="25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outstanding shares of our Class B Common Stock on such record date. “Total Number of Other Votes” on any record date means the aggregate number of votes to which holders of all classes of our capital stock other than holders of our Class A Common Stock and our Class B Common Stock are entitled to cast on such record date in an election of directors. “B Voting Percentage” on any record date means the portion (expressed as a percentage) of the total number of votes to which all holders of our Class B Common Stock are entitled to cast on such record date in an election of directors. Initially, the B Voting Percentage will be 33</w:t>
      </w:r>
      <w:r>
        <w:rPr>
          <w:rFonts w:ascii="Times New Roman" w:cs="Times New Roman" w:eastAsia="Times New Roman" w:hAnsi="Times New Roman"/>
          <w:sz w:val="10"/>
          <w:szCs w:val="10"/>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3</w:t>
      </w:r>
      <w:r>
        <w:rPr>
          <w:rFonts w:ascii="Times New Roman" w:cs="Times New Roman" w:eastAsia="Times New Roman" w:hAnsi="Times New Roman"/>
          <w:sz w:val="18"/>
          <w:szCs w:val="18"/>
          <w:color w:val="auto"/>
        </w:rPr>
        <w:t>%, subject to reduction as described below.</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80" w:firstLine="264"/>
        <w:spacing w:after="0" w:line="253" w:lineRule="auto"/>
        <w:rPr>
          <w:sz w:val="20"/>
          <w:szCs w:val="20"/>
          <w:color w:val="auto"/>
        </w:rPr>
      </w:pPr>
      <w:r>
        <w:rPr>
          <w:rFonts w:ascii="Times New Roman" w:cs="Times New Roman" w:eastAsia="Times New Roman" w:hAnsi="Times New Roman"/>
          <w:sz w:val="18"/>
          <w:szCs w:val="18"/>
          <w:color w:val="auto"/>
        </w:rPr>
        <w:t>Subject to the next sentence, on all matters submitted for a vote of holders of one or more classes of our voting stock, holders of our Class B Common Stock in the aggregate will hold 33</w:t>
      </w:r>
      <w:r>
        <w:rPr>
          <w:rFonts w:ascii="Times New Roman" w:cs="Times New Roman" w:eastAsia="Times New Roman" w:hAnsi="Times New Roman"/>
          <w:sz w:val="10"/>
          <w:szCs w:val="10"/>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3</w:t>
      </w:r>
      <w:r>
        <w:rPr>
          <w:rFonts w:ascii="Times New Roman" w:cs="Times New Roman" w:eastAsia="Times New Roman" w:hAnsi="Times New Roman"/>
          <w:sz w:val="18"/>
          <w:szCs w:val="18"/>
          <w:color w:val="auto"/>
        </w:rPr>
        <w:t>% of the aggregate voting power of our capital stock, regardless of the number of shares of our Class A Common Stock or any other class of our capital stock outstanding at any time. If the number of shares of our Class B Common Stock outstanding is reduced for any reason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by repurchase or conversion), the aggregate voting power of our Class B Common Stock will be proportionately reduced.</w:t>
      </w:r>
    </w:p>
    <w:p>
      <w:pPr>
        <w:spacing w:after="0" w:line="8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Each share of our Class B Common Stock has 15 votes.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Approval Rights</w:t>
      </w:r>
    </w:p>
    <w:p>
      <w:pPr>
        <w:spacing w:after="0" w:line="113" w:lineRule="exact"/>
        <w:rPr>
          <w:sz w:val="20"/>
          <w:szCs w:val="20"/>
          <w:color w:val="auto"/>
        </w:rPr>
      </w:pPr>
    </w:p>
    <w:p>
      <w:pPr>
        <w:ind w:firstLine="264"/>
        <w:spacing w:after="0" w:line="248" w:lineRule="auto"/>
        <w:rPr>
          <w:sz w:val="20"/>
          <w:szCs w:val="20"/>
          <w:color w:val="auto"/>
        </w:rPr>
      </w:pPr>
      <w:r>
        <w:rPr>
          <w:rFonts w:ascii="Times New Roman" w:cs="Times New Roman" w:eastAsia="Times New Roman" w:hAnsi="Times New Roman"/>
          <w:sz w:val="18"/>
          <w:szCs w:val="18"/>
          <w:color w:val="auto"/>
        </w:rPr>
        <w:t>Except as required by law, holders of Class A Special Common Stock and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 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Shareholder</w:t>
      </w:r>
    </w:p>
    <w:p>
      <w:pPr>
        <w:spacing w:after="0" w:line="113" w:lineRule="exact"/>
        <w:rPr>
          <w:sz w:val="20"/>
          <w:szCs w:val="20"/>
          <w:color w:val="auto"/>
        </w:rPr>
      </w:pPr>
    </w:p>
    <w:p>
      <w:pPr>
        <w:ind w:right="120" w:firstLine="264"/>
        <w:spacing w:after="0" w:line="250" w:lineRule="auto"/>
        <w:rPr>
          <w:sz w:val="20"/>
          <w:szCs w:val="20"/>
          <w:color w:val="auto"/>
        </w:rPr>
      </w:pPr>
      <w:r>
        <w:rPr>
          <w:rFonts w:ascii="Times New Roman" w:cs="Times New Roman" w:eastAsia="Times New Roman" w:hAnsi="Times New Roman"/>
          <w:sz w:val="18"/>
          <w:szCs w:val="18"/>
          <w:color w:val="auto"/>
        </w:rPr>
        <w:t>Brian L. Roberts, our President and CEO, through his control of BRCC Holdings LLC and certain trusts, which own all outstanding shares of our Class B Common Stock, holds a nondilutable 33</w:t>
      </w:r>
      <w:r>
        <w:rPr>
          <w:rFonts w:ascii="Times New Roman" w:cs="Times New Roman" w:eastAsia="Times New Roman" w:hAnsi="Times New Roman"/>
          <w:sz w:val="10"/>
          <w:szCs w:val="10"/>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3</w:t>
      </w:r>
      <w:r>
        <w:rPr>
          <w:rFonts w:ascii="Times New Roman" w:cs="Times New Roman" w:eastAsia="Times New Roman" w:hAnsi="Times New Roman"/>
          <w:sz w:val="18"/>
          <w:szCs w:val="18"/>
          <w:color w:val="auto"/>
        </w:rPr>
        <w:t>% of the combined voting power of our stock and also has separate approval rights over certain material transactions involving us, as described above under “—Approval Rights.” The Class B Common Stock is convertible on a share-for-share basis into Class A Common Stock or Class A Special Common Stock. As of February 28, 2006, if BRCC Holdings LLC, the trusts and Mr. Roberts were to convert the Class B Common Stock which they are deemed to beneficially own into Class A Common Stock, Mr. Roberts would beneficially own 10,170,995 shares of Class A Common Stock, which is less than 1% of the Class A Common Stock that would be outstanding after the conversion.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of Class B Common Stock</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Class B Common Stock is convertible share for share into either the Class A Common Stock or the Class A Special Common Stock.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Preference on Liquidation</w:t>
      </w:r>
    </w:p>
    <w:p>
      <w:pPr>
        <w:spacing w:after="0" w:line="113" w:lineRule="exact"/>
        <w:rPr>
          <w:sz w:val="20"/>
          <w:szCs w:val="20"/>
          <w:color w:val="auto"/>
        </w:rPr>
      </w:pPr>
    </w:p>
    <w:p>
      <w:pPr>
        <w:jc w:val="both"/>
        <w:ind w:right="180" w:firstLine="264"/>
        <w:spacing w:after="0" w:line="258" w:lineRule="auto"/>
        <w:rPr>
          <w:sz w:val="20"/>
          <w:szCs w:val="20"/>
          <w:color w:val="auto"/>
        </w:rPr>
      </w:pPr>
      <w:r>
        <w:rPr>
          <w:rFonts w:ascii="Times New Roman" w:cs="Times New Roman" w:eastAsia="Times New Roman" w:hAnsi="Times New Roman"/>
          <w:sz w:val="18"/>
          <w:szCs w:val="18"/>
          <w:color w:val="auto"/>
        </w:rPr>
        <w:t>In the event of our liquidation, dissolution or winding up, either voluntary or involuntary,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Mergers, Consolidations, Etc.</w:t>
      </w:r>
    </w:p>
    <w:p>
      <w:pPr>
        <w:spacing w:after="0" w:line="113" w:lineRule="exact"/>
        <w:rPr>
          <w:sz w:val="20"/>
          <w:szCs w:val="20"/>
          <w:color w:val="auto"/>
        </w:rPr>
      </w:pPr>
    </w:p>
    <w:p>
      <w:pPr>
        <w:ind w:right="200" w:firstLine="264"/>
        <w:spacing w:after="0" w:line="253" w:lineRule="auto"/>
        <w:rPr>
          <w:sz w:val="20"/>
          <w:szCs w:val="20"/>
          <w:color w:val="auto"/>
        </w:rPr>
      </w:pPr>
      <w:r>
        <w:rPr>
          <w:rFonts w:ascii="Times New Roman" w:cs="Times New Roman" w:eastAsia="Times New Roman" w:hAnsi="Times New Roman"/>
          <w:sz w:val="18"/>
          <w:szCs w:val="18"/>
          <w:color w:val="auto"/>
        </w:rPr>
        <w:t>Our charter provides that if in a transaction such as a merger, consolidation, share exchange or recapitalization holders of each class of our common stock outstanding do not receive the same consideration for each of their shares of our common stock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same amount of cash or the same number of shares of each class of stock issued in the transaction in proportion to the number of shares of our common stock held by them, respectively, without regard to class), holders of each such class of our</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common stock will receive “mirror” securities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shares of a class of stock having substantially equivalent rights as the applicable class of our common stock).</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holders of Class A Common Stock, Class A Special Common Stock and Class B Common Stock do not have any preemptive rights. All shares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Class A Common Stock, Class A Special Common Stock and Class B Common Stock presently outstanding are, and all shares of the Class A Common Stock and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Class A Special Common Stock offered hereby, or issuable upon conversion, exchange or exercise of securities offered hereby, will, when issued, be, fully paid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non-assessable. We have been advised that the Class A Common Stock and Class A Special Common Stock are exempt from existing Pennsylvania personal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tax.</w:t>
      </w:r>
    </w:p>
    <w:p>
      <w:pPr>
        <w:spacing w:after="0" w:line="93" w:lineRule="exact"/>
        <w:rPr>
          <w:sz w:val="20"/>
          <w:szCs w:val="20"/>
          <w:color w:val="auto"/>
        </w:rPr>
      </w:pPr>
    </w:p>
    <w:p>
      <w:pPr>
        <w:ind w:right="820" w:firstLine="261"/>
        <w:spacing w:after="0" w:line="271" w:lineRule="auto"/>
        <w:rPr>
          <w:sz w:val="20"/>
          <w:szCs w:val="20"/>
          <w:color w:val="auto"/>
        </w:rPr>
      </w:pPr>
      <w:r>
        <w:rPr>
          <w:rFonts w:ascii="Times New Roman" w:cs="Times New Roman" w:eastAsia="Times New Roman" w:hAnsi="Times New Roman"/>
          <w:sz w:val="18"/>
          <w:szCs w:val="18"/>
          <w:color w:val="auto"/>
        </w:rPr>
        <w:t>The transfer agent and registrar for our Class A Special Common Stock and Class A Common Stock is Computershare, 250 Royall Street, Canton, Massachusetts 02021. Their telephone number is (888) 883-8903.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Rights Plan</w:t>
      </w:r>
    </w:p>
    <w:p>
      <w:pPr>
        <w:spacing w:after="0" w:line="113" w:lineRule="exact"/>
        <w:rPr>
          <w:sz w:val="20"/>
          <w:szCs w:val="20"/>
          <w:color w:val="auto"/>
        </w:rPr>
      </w:pPr>
    </w:p>
    <w:p>
      <w:pPr>
        <w:ind w:right="320" w:firstLine="261"/>
        <w:spacing w:after="0" w:line="271" w:lineRule="auto"/>
        <w:rPr>
          <w:sz w:val="20"/>
          <w:szCs w:val="20"/>
          <w:color w:val="auto"/>
        </w:rPr>
      </w:pPr>
      <w:r>
        <w:rPr>
          <w:rFonts w:ascii="Times New Roman" w:cs="Times New Roman" w:eastAsia="Times New Roman" w:hAnsi="Times New Roman"/>
          <w:sz w:val="18"/>
          <w:szCs w:val="18"/>
          <w:color w:val="auto"/>
        </w:rPr>
        <w:t>The following description of the material terms of a rights agreement with respect to a shareholder rights plan is qualified by reference to the terms of the rights agreement, which is included as an exhibit to the registration statement of which this prospectus is a part.</w:t>
      </w:r>
    </w:p>
    <w:p>
      <w:pPr>
        <w:spacing w:after="0" w:line="58" w:lineRule="exact"/>
        <w:rPr>
          <w:sz w:val="20"/>
          <w:szCs w:val="20"/>
          <w:color w:val="auto"/>
        </w:rPr>
      </w:pPr>
    </w:p>
    <w:p>
      <w:pPr>
        <w:ind w:right="160" w:firstLine="26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Rights. </w:t>
      </w:r>
      <w:r>
        <w:rPr>
          <w:rFonts w:ascii="Times New Roman" w:cs="Times New Roman" w:eastAsia="Times New Roman" w:hAnsi="Times New Roman"/>
          <w:sz w:val="18"/>
          <w:szCs w:val="18"/>
          <w:color w:val="auto"/>
        </w:rPr>
        <w:t>Pursuant to the rights agreement, our board declared on November 18, 2002 a dividend of one preferred stock purchase right (the “Rights”)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outstanding share of our Class A Common Stock, Class A Special Common Stock and Class B Common Stock payable to holders of record on November 18, 2002. Shares of Common Stock issued after the record date and prior to the Distribution Date will be issued with a Right attached so that all shares of Common Stock outstanding prior to the Distribution Date will have Rights attached. 2.5 million shares of Preferred Stock have been reserved for issuance upon exercise of the Rights.</w:t>
      </w:r>
    </w:p>
    <w:p>
      <w:pPr>
        <w:spacing w:after="0" w:line="8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Rights holders have no rights as a shareholder of the Company, including the right to vote or to receive dividends.</w:t>
      </w:r>
    </w:p>
    <w:p>
      <w:pPr>
        <w:spacing w:after="0" w:line="1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rights agreement includes antidilution provisions designed to prevent efforts to diminish the effectiveness of the Rights.</w:t>
      </w:r>
    </w:p>
    <w:p>
      <w:pPr>
        <w:spacing w:after="0" w:line="111" w:lineRule="exact"/>
        <w:rPr>
          <w:sz w:val="20"/>
          <w:szCs w:val="20"/>
          <w:color w:val="auto"/>
        </w:rPr>
      </w:pPr>
    </w:p>
    <w:p>
      <w:pPr>
        <w:ind w:right="40" w:firstLine="261"/>
        <w:spacing w:after="0" w:line="250" w:lineRule="auto"/>
        <w:rPr>
          <w:sz w:val="20"/>
          <w:szCs w:val="20"/>
          <w:color w:val="auto"/>
        </w:rPr>
      </w:pPr>
      <w:r>
        <w:rPr>
          <w:rFonts w:ascii="Times New Roman" w:cs="Times New Roman" w:eastAsia="Times New Roman" w:hAnsi="Times New Roman"/>
          <w:sz w:val="18"/>
          <w:szCs w:val="18"/>
          <w:color w:val="auto"/>
        </w:rPr>
        <w:t>The transferability and exercisability of the Rights will depend on whether a “Distribution Date” has occurred. A Distribution Date generally means the earlier of (1) the close of business on the tenth day after a public announcement that any person or group has become an “Acquiring Person” and (2) the close of business on the tenth business day after the date of the commencement of a tender or exchange offer by any person that could result in such person becoming an Acquiring Person. An Acquiring Person generally means any person or group (other than any holder of our Class B common stock or any of such holder’s affiliates) who becomes the beneficial owner of our voting capital stock that represents 10% or more of the total number of votes that holders of our capital stock are entitled to cast with respect to any matter presented for a shareholder vote.</w:t>
      </w:r>
    </w:p>
    <w:p>
      <w:pPr>
        <w:spacing w:after="0" w:line="78" w:lineRule="exact"/>
        <w:rPr>
          <w:sz w:val="20"/>
          <w:szCs w:val="20"/>
          <w:color w:val="auto"/>
        </w:rPr>
      </w:pPr>
    </w:p>
    <w:p>
      <w:pPr>
        <w:ind w:right="20" w:firstLine="26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Transferability. </w:t>
      </w:r>
      <w:r>
        <w:rPr>
          <w:rFonts w:ascii="Times New Roman" w:cs="Times New Roman" w:eastAsia="Times New Roman" w:hAnsi="Times New Roman"/>
          <w:sz w:val="18"/>
          <w:szCs w:val="18"/>
          <w:color w:val="auto"/>
        </w:rPr>
        <w:t>Prior to the Distribution Date, (1) the Rights will be evidenced by the certificates of the relevant underlying common stock and the registered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the common stock shall be deemed the registered holders of the associated Rights and (2) the Rights will be transferable only in connection with transfers of shares of the underlying common stock. After the Distribution Date, the rights agent will mail separate certificates evidencing the Rights to each holder of the relevant underlying common stock as of the close of business on the Distribution Date. Thereafter, the Rights will be transferable separately from the common stock.</w:t>
      </w:r>
    </w:p>
    <w:p>
      <w:pPr>
        <w:spacing w:after="0" w:line="77" w:lineRule="exact"/>
        <w:rPr>
          <w:sz w:val="20"/>
          <w:szCs w:val="20"/>
          <w:color w:val="auto"/>
        </w:rPr>
      </w:pPr>
    </w:p>
    <w:p>
      <w:pPr>
        <w:ind w:right="40" w:firstLine="264"/>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Exercisability. </w:t>
      </w:r>
      <w:r>
        <w:rPr>
          <w:rFonts w:ascii="Times New Roman" w:cs="Times New Roman" w:eastAsia="Times New Roman" w:hAnsi="Times New Roman"/>
          <w:sz w:val="18"/>
          <w:szCs w:val="18"/>
          <w:color w:val="auto"/>
        </w:rPr>
        <w:t>The Rights will not be exercisable prior to the Distribution Date. After the Distribution Date, but prior to the occurrence of an event described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below under “—‘Flip In’ Feature” or</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color w:val="auto"/>
        </w:rPr>
        <w:t>“—‘Flip Over’ Feature,” each Right will be exercisable to purchase for $125 one one-thousandth of a share of our Series A Participating Cumulative Preferred Stock.</w:t>
      </w:r>
    </w:p>
    <w:p>
      <w:pPr>
        <w:spacing w:after="0" w:line="58" w:lineRule="exact"/>
        <w:rPr>
          <w:sz w:val="20"/>
          <w:szCs w:val="20"/>
          <w:color w:val="auto"/>
        </w:rPr>
      </w:pPr>
    </w:p>
    <w:p>
      <w:pPr>
        <w:ind w:right="140" w:firstLine="264"/>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“Flip In” Feature. </w:t>
      </w:r>
      <w:r>
        <w:rPr>
          <w:rFonts w:ascii="Times New Roman" w:cs="Times New Roman" w:eastAsia="Times New Roman" w:hAnsi="Times New Roman"/>
          <w:sz w:val="17"/>
          <w:szCs w:val="17"/>
          <w:color w:val="auto"/>
        </w:rPr>
        <w:t>If any person becomes an Acquiring Person, each holder of a Right, except for the Acquiring Person or certain affiliated persons, will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have the right to acquire, instead of one one-thousandth of a share of our Series A Participating Cumulative Preferred Stock, a number of shares of our Class A common stock, in each case having a market value equal to twice the exercise price of the Right. For example, if an initial purchase price of $125 was in effect on the date that the flip in feature of the Rights was exercised, any holder of a Right, except for the person that has become an Acquiring Person or certain affiliated persons, could exercise his or her Right by paying to us $125 in order to receive shares of our Class A common stock having a value equal to $250.</w:t>
      </w:r>
    </w:p>
    <w:p>
      <w:pPr>
        <w:spacing w:after="0" w:line="60" w:lineRule="exact"/>
        <w:rPr>
          <w:sz w:val="20"/>
          <w:szCs w:val="20"/>
          <w:color w:val="auto"/>
        </w:rPr>
      </w:pPr>
    </w:p>
    <w:p>
      <w:pPr>
        <w:ind w:firstLine="26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“Exchange” Feature. </w:t>
      </w:r>
      <w:r>
        <w:rPr>
          <w:rFonts w:ascii="Times New Roman" w:cs="Times New Roman" w:eastAsia="Times New Roman" w:hAnsi="Times New Roman"/>
          <w:sz w:val="18"/>
          <w:szCs w:val="18"/>
          <w:color w:val="auto"/>
        </w:rPr>
        <w:t>At any time after a person becomes an Acquiring Person (but before any person becomes the beneficial owner of our voting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representing 50% or more of the total number of votes which holders of our capital stock are entitled to cast with respect to any matter presented for a shareholder vote), our Board may exchange all or some of the Rights, except for those held by any Acquiring Person or certain affiliated persons, for our Class A common stock at an exchange ratio of one share of our Class A common stock for each Right. Use of this exchange feature means that eligible Rights holders would not have to pay cash before receiving shares of our Class A common stock.</w:t>
      </w:r>
    </w:p>
    <w:p>
      <w:pPr>
        <w:spacing w:after="0" w:line="77" w:lineRule="exact"/>
        <w:rPr>
          <w:sz w:val="20"/>
          <w:szCs w:val="20"/>
          <w:color w:val="auto"/>
        </w:rPr>
      </w:pPr>
    </w:p>
    <w:p>
      <w:pPr>
        <w:ind w:right="20" w:firstLine="26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“Flip Over” Feature. </w:t>
      </w:r>
      <w:r>
        <w:rPr>
          <w:rFonts w:ascii="Times New Roman" w:cs="Times New Roman" w:eastAsia="Times New Roman" w:hAnsi="Times New Roman"/>
          <w:sz w:val="18"/>
          <w:szCs w:val="18"/>
          <w:color w:val="auto"/>
        </w:rPr>
        <w:t>If, after a person becomes an Acquiring Person, (1) we are involved in a merger or other business combination in which we are not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surviving corporation or any of our common stock is exchanged for other securities or assets or (2) we and/or one or more of our subsidiaries sell or transfer assets or earning power aggregating 50% or more of the assets or earning power of us and/or our subsidiaries, then each Right will entitle the holder, except for any Acquiring Person or certain affiliated persons, to purchase a number of shares of common stock of the other party to the transaction having a value equal to twice the exercise price of the Right.</w:t>
      </w:r>
    </w:p>
    <w:p>
      <w:pPr>
        <w:spacing w:after="0" w:line="77" w:lineRule="exact"/>
        <w:rPr>
          <w:sz w:val="20"/>
          <w:szCs w:val="20"/>
          <w:color w:val="auto"/>
        </w:rPr>
      </w:pPr>
    </w:p>
    <w:p>
      <w:pPr>
        <w:ind w:right="20" w:firstLine="264"/>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of Rights. </w:t>
      </w:r>
      <w:r>
        <w:rPr>
          <w:rFonts w:ascii="Times New Roman" w:cs="Times New Roman" w:eastAsia="Times New Roman" w:hAnsi="Times New Roman"/>
          <w:sz w:val="18"/>
          <w:szCs w:val="18"/>
          <w:color w:val="auto"/>
        </w:rPr>
        <w:t>Our Board may redeem all of the Rights at a price of $0.001 per Right at any time prior to the time that any person becomes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Acquiring Person. The right to exercise will terminate upon redemption, and at that time, holders of the Rights will have the right to receive only the redemption price for each Right they hold.</w:t>
      </w:r>
    </w:p>
    <w:p>
      <w:pPr>
        <w:spacing w:after="0" w:line="68" w:lineRule="exact"/>
        <w:rPr>
          <w:sz w:val="20"/>
          <w:szCs w:val="20"/>
          <w:color w:val="auto"/>
        </w:rPr>
      </w:pPr>
    </w:p>
    <w:p>
      <w:pPr>
        <w:ind w:right="60" w:firstLine="264"/>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Amendment of Rights. </w:t>
      </w:r>
      <w:r>
        <w:rPr>
          <w:rFonts w:ascii="Times New Roman" w:cs="Times New Roman" w:eastAsia="Times New Roman" w:hAnsi="Times New Roman"/>
          <w:sz w:val="17"/>
          <w:szCs w:val="17"/>
          <w:color w:val="auto"/>
        </w:rPr>
        <w:t>For so long as the Rights are redeemable, the rights agreement may be amended in any respect. At any time when the Rights are no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longer redeemable, the rights agreement may be amended in any respect that does not adversely affect Rights holders (other than any Acquiring Person and certain affiliated persons), cause the rights agreement to become amendable except as set forth in this sentence or cause the Rights again to become redeemable.</w:t>
      </w:r>
    </w:p>
    <w:p>
      <w:pPr>
        <w:spacing w:after="0" w:line="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Expiration of Rights. </w:t>
      </w:r>
      <w:r>
        <w:rPr>
          <w:rFonts w:ascii="Times New Roman" w:cs="Times New Roman" w:eastAsia="Times New Roman" w:hAnsi="Times New Roman"/>
          <w:sz w:val="18"/>
          <w:szCs w:val="18"/>
          <w:color w:val="auto"/>
        </w:rPr>
        <w:t>If not previously exercised or redeemed, the Rights will expire on November 18, 2012, unless earlier exchanged.</w:t>
      </w:r>
    </w:p>
    <w:p>
      <w:pPr>
        <w:spacing w:after="0" w:line="111" w:lineRule="exact"/>
        <w:rPr>
          <w:sz w:val="20"/>
          <w:szCs w:val="20"/>
          <w:color w:val="auto"/>
        </w:rPr>
      </w:pPr>
    </w:p>
    <w:p>
      <w:pPr>
        <w:ind w:firstLine="264"/>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Anti-Takeover Effects. </w:t>
      </w:r>
      <w:r>
        <w:rPr>
          <w:rFonts w:ascii="Times New Roman" w:cs="Times New Roman" w:eastAsia="Times New Roman" w:hAnsi="Times New Roman"/>
          <w:sz w:val="18"/>
          <w:szCs w:val="18"/>
          <w:color w:val="auto"/>
        </w:rPr>
        <w:t>The Rights have certain anti-takeover effects. The Rights may cause substantial dilution to a person that attempts to acquire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without a condition to such an offer that a substantial number of the Rights be acquired or that the Rights be redeemed or declared invalid. The Rights should not interfere with any merger or other business combination approved by our Board since the Rights may be redeemed by us as described above.</w:t>
      </w:r>
    </w:p>
    <w:p>
      <w:pPr>
        <w:spacing w:after="0" w:line="68" w:lineRule="exact"/>
        <w:rPr>
          <w:sz w:val="20"/>
          <w:szCs w:val="20"/>
          <w:color w:val="auto"/>
        </w:rPr>
      </w:pPr>
    </w:p>
    <w:p>
      <w:pPr>
        <w:ind w:right="180" w:firstLine="264"/>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Taxation. </w:t>
      </w:r>
      <w:r>
        <w:rPr>
          <w:rFonts w:ascii="Times New Roman" w:cs="Times New Roman" w:eastAsia="Times New Roman" w:hAnsi="Times New Roman"/>
          <w:sz w:val="18"/>
          <w:szCs w:val="18"/>
          <w:color w:val="auto"/>
        </w:rPr>
        <w:t>While the dividend of the Rights was not taxable to stockholders or to us, stockholders or we may, depending upon the circumstances, recognize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taxable income in the event that the Rights become exercisable as set forth above.</w:t>
      </w:r>
    </w:p>
    <w:p>
      <w:pPr>
        <w:spacing w:after="0" w:line="55" w:lineRule="exact"/>
        <w:rPr>
          <w:sz w:val="20"/>
          <w:szCs w:val="20"/>
          <w:color w:val="auto"/>
        </w:rPr>
      </w:pPr>
    </w:p>
    <w:p>
      <w:pPr>
        <w:jc w:val="both"/>
        <w:ind w:right="40" w:firstLine="26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Series A Preferred Stock. </w:t>
      </w:r>
      <w:r>
        <w:rPr>
          <w:rFonts w:ascii="Times New Roman" w:cs="Times New Roman" w:eastAsia="Times New Roman" w:hAnsi="Times New Roman"/>
          <w:sz w:val="18"/>
          <w:szCs w:val="18"/>
          <w:color w:val="auto"/>
        </w:rPr>
        <w:t>In connection with the creation of the Rights, our Board authorized the issuance of shares of our preferred stock designated as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Series A Participating Cumulative Preferred Stock. The dividend, liquidation, voting and redemption features of our Series A Participating Cumulative Preferred Stock have been designed so that the value of one-thousandth of a share of our Series A Participating Cumulative Preferred Stock approximates the value of one share of our Class A common</w:t>
      </w:r>
    </w:p>
    <w:p>
      <w:pPr>
        <w:spacing w:after="0" w:line="1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1" w:right="29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stock. Shares of our Series A Participating Cumulative Preferred Stock will be purchasable only after the Rights have become exercisable. The rights of our Series A Participating Cumulative Preferred Stock as to dividends, liquidation and voting, and in the event of mergers or consolidations, are protected by customary antidilution provisions.</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may sell the securities being offered hereby in four ways:</w:t>
      </w:r>
    </w:p>
    <w:p>
      <w:pPr>
        <w:spacing w:after="0" w:line="111" w:lineRule="exact"/>
        <w:rPr>
          <w:sz w:val="20"/>
          <w:szCs w:val="20"/>
          <w:color w:val="auto"/>
        </w:rPr>
      </w:pPr>
    </w:p>
    <w:p>
      <w:pPr>
        <w:ind w:left="820" w:hanging="470"/>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w:t>
      </w:r>
    </w:p>
    <w:p>
      <w:pPr>
        <w:spacing w:after="0" w:line="123"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23"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and</w:t>
      </w:r>
    </w:p>
    <w:p>
      <w:pPr>
        <w:spacing w:after="0" w:line="123"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111" w:lineRule="exact"/>
        <w:rPr>
          <w:sz w:val="20"/>
          <w:szCs w:val="20"/>
          <w:color w:val="auto"/>
        </w:rPr>
      </w:pPr>
    </w:p>
    <w:p>
      <w:pPr>
        <w:ind w:right="20" w:firstLine="261"/>
        <w:spacing w:after="0" w:line="251" w:lineRule="auto"/>
        <w:rPr>
          <w:sz w:val="20"/>
          <w:szCs w:val="20"/>
          <w:color w:val="auto"/>
        </w:rPr>
      </w:pPr>
      <w:r>
        <w:rPr>
          <w:rFonts w:ascii="Times New Roman" w:cs="Times New Roman" w:eastAsia="Times New Roman" w:hAnsi="Times New Roman"/>
          <w:sz w:val="18"/>
          <w:szCs w:val="18"/>
          <w:color w:val="auto"/>
        </w:rPr>
        <w:t>We may directly solicit offers to purchase securities, or we may designate agents to solicit such offers. We will, in the prospectus supplement relating to such offering, name any agent that could be viewed as an underwriter under the Securities Act of 1933 (hereinafter, the “Securities Act”) and describe any commissions we or our trust subsidiaries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82" w:lineRule="exact"/>
        <w:rPr>
          <w:sz w:val="20"/>
          <w:szCs w:val="20"/>
          <w:color w:val="auto"/>
        </w:rPr>
      </w:pPr>
    </w:p>
    <w:p>
      <w:pPr>
        <w:ind w:firstLine="264"/>
        <w:spacing w:after="0" w:line="258" w:lineRule="auto"/>
        <w:rPr>
          <w:sz w:val="20"/>
          <w:szCs w:val="20"/>
          <w:color w:val="auto"/>
        </w:rPr>
      </w:pPr>
      <w:r>
        <w:rPr>
          <w:rFonts w:ascii="Times New Roman" w:cs="Times New Roman" w:eastAsia="Times New Roman" w:hAnsi="Times New Roman"/>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our agreement with them.</w:t>
      </w:r>
    </w:p>
    <w:p>
      <w:pPr>
        <w:spacing w:after="0" w:line="73" w:lineRule="exact"/>
        <w:rPr>
          <w:sz w:val="20"/>
          <w:szCs w:val="20"/>
          <w:color w:val="auto"/>
        </w:rPr>
      </w:pPr>
    </w:p>
    <w:p>
      <w:pPr>
        <w:ind w:right="260" w:firstLine="264"/>
        <w:spacing w:after="0" w:line="271"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62" w:lineRule="exact"/>
        <w:rPr>
          <w:sz w:val="20"/>
          <w:szCs w:val="20"/>
          <w:color w:val="auto"/>
        </w:rPr>
      </w:pPr>
    </w:p>
    <w:p>
      <w:pPr>
        <w:ind w:right="220" w:firstLine="264"/>
        <w:spacing w:after="0" w:line="258" w:lineRule="auto"/>
        <w:rPr>
          <w:sz w:val="20"/>
          <w:szCs w:val="20"/>
          <w:color w:val="auto"/>
        </w:rPr>
      </w:pPr>
      <w:r>
        <w:rPr>
          <w:rFonts w:ascii="Times New Roman" w:cs="Times New Roman" w:eastAsia="Times New Roman" w:hAnsi="Times New Roman"/>
          <w:sz w:val="18"/>
          <w:szCs w:val="18"/>
          <w:color w:val="auto"/>
        </w:rPr>
        <w:t>Remarketing firms, agents, underwriters and dealers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73" w:lineRule="exact"/>
        <w:rPr>
          <w:sz w:val="20"/>
          <w:szCs w:val="20"/>
          <w:color w:val="auto"/>
        </w:rPr>
      </w:pPr>
    </w:p>
    <w:p>
      <w:pPr>
        <w:ind w:firstLine="264"/>
        <w:spacing w:after="0" w:line="249" w:lineRule="auto"/>
        <w:rPr>
          <w:sz w:val="20"/>
          <w:szCs w:val="20"/>
          <w:color w:val="auto"/>
        </w:rPr>
      </w:pPr>
      <w:r>
        <w:rPr>
          <w:rFonts w:ascii="Times New Roman" w:cs="Times New Roman" w:eastAsia="Times New Roman" w:hAnsi="Times New Roman"/>
          <w:sz w:val="18"/>
          <w:szCs w:val="18"/>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81" w:lineRule="exact"/>
        <w:rPr>
          <w:sz w:val="20"/>
          <w:szCs w:val="20"/>
          <w:color w:val="auto"/>
        </w:rPr>
      </w:pPr>
    </w:p>
    <w:p>
      <w:pPr>
        <w:ind w:right="100" w:firstLine="255"/>
        <w:spacing w:after="0" w:line="271" w:lineRule="auto"/>
        <w:rPr>
          <w:sz w:val="20"/>
          <w:szCs w:val="20"/>
          <w:color w:val="auto"/>
        </w:rPr>
      </w:pPr>
      <w:r>
        <w:rPr>
          <w:rFonts w:ascii="Times New Roman" w:cs="Times New Roman" w:eastAsia="Times New Roman" w:hAnsi="Times New Roman"/>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1" w:right="29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13" w:lineRule="exact"/>
        <w:rPr>
          <w:sz w:val="20"/>
          <w:szCs w:val="20"/>
          <w:color w:val="auto"/>
        </w:rPr>
      </w:pPr>
    </w:p>
    <w:p>
      <w:pPr>
        <w:ind w:right="100" w:firstLine="255"/>
        <w:spacing w:after="0" w:line="253" w:lineRule="auto"/>
        <w:rPr>
          <w:sz w:val="20"/>
          <w:szCs w:val="20"/>
          <w:color w:val="auto"/>
        </w:rPr>
      </w:pPr>
      <w:r>
        <w:rPr>
          <w:rFonts w:ascii="Times New Roman" w:cs="Times New Roman" w:eastAsia="Times New Roman" w:hAnsi="Times New Roman"/>
          <w:sz w:val="18"/>
          <w:szCs w:val="18"/>
          <w:color w:val="auto"/>
        </w:rPr>
        <w:t>As to matters governed by Pennsylvania law, Arthur R. Block, Esquire, Senior Vice President, General Counsel and Secretary of Comcast, and as to matters governed by New York and Delaware law, Davis Polk &amp; Wardwell, will pass upon the validity of the securities on our behalf and on behalf of the cable guarantors, although we may use other counsel, including our employees, to do so. Unless otherwise indicated in the accompanying prospectus supplement, Cahill Gordon &amp; Reindel will represent the underwriters.</w:t>
      </w: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13" w:lineRule="exact"/>
        <w:rPr>
          <w:sz w:val="20"/>
          <w:szCs w:val="20"/>
          <w:color w:val="auto"/>
        </w:rPr>
      </w:pPr>
    </w:p>
    <w:p>
      <w:pPr>
        <w:ind w:right="140" w:firstLine="261"/>
        <w:spacing w:after="0" w:line="253" w:lineRule="auto"/>
        <w:rPr>
          <w:sz w:val="20"/>
          <w:szCs w:val="20"/>
          <w:color w:val="auto"/>
        </w:rPr>
      </w:pPr>
      <w:r>
        <w:rPr>
          <w:rFonts w:ascii="Times New Roman" w:cs="Times New Roman" w:eastAsia="Times New Roman" w:hAnsi="Times New Roman"/>
          <w:sz w:val="18"/>
          <w:szCs w:val="18"/>
          <w:color w:val="auto"/>
        </w:rPr>
        <w:t>The financial statements, the related financial statement schedule, and management’s report on the effectiveness of internal control over financial reporting, incorporated in this prospectus by reference from Comcast Corporation’s Annual Report on Form 10-K, have been audited by Deloitte &amp; Touche LLP, an independent registered public accounting firm, as stated in their reports, which are incorporated herein by reference, and have been so incorporated in reliance upon the reports of such firm given upon their authority as experts in accounting and auditing.</w:t>
      </w: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13" w:lineRule="exact"/>
        <w:rPr>
          <w:sz w:val="20"/>
          <w:szCs w:val="20"/>
          <w:color w:val="auto"/>
        </w:rPr>
      </w:pPr>
    </w:p>
    <w:p>
      <w:pPr>
        <w:ind w:right="40" w:firstLine="261"/>
        <w:spacing w:after="0" w:line="249" w:lineRule="auto"/>
        <w:rPr>
          <w:sz w:val="20"/>
          <w:szCs w:val="20"/>
          <w:color w:val="auto"/>
        </w:rPr>
      </w:pPr>
      <w:r>
        <w:rPr>
          <w:rFonts w:ascii="Times New Roman" w:cs="Times New Roman" w:eastAsia="Times New Roman" w:hAnsi="Times New Roman"/>
          <w:sz w:val="18"/>
          <w:szCs w:val="18"/>
          <w:color w:val="auto"/>
        </w:rPr>
        <w:t>We, along with the cable guarantors, have filed this prospectus as part of a combined registration statement on Form S-3 with the SEC. The registration statement contains exhibits and other information that are not contained in this prospectus. In particular, the registration statement includes as exhibits forms of our underwriting agreements, copies of our senior indenture and subordinated indenture, forms of our senior debt security and subordinated debt security, a form of preferred security, a form of unit agreement, a form of purchase contract agreement, a form of pledge agreement, a form of warrant agreement for warrants sold separately, a form of warrant for warrants sold separately, a form of warrant agreement for warrants sold attached to securities, a form of warrant for warrants sold attached to securities, a form of deposit agreement and a form of depositary share.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81" w:lineRule="exact"/>
        <w:rPr>
          <w:sz w:val="20"/>
          <w:szCs w:val="20"/>
          <w:color w:val="auto"/>
        </w:rPr>
      </w:pPr>
    </w:p>
    <w:p>
      <w:pPr>
        <w:ind w:right="20" w:firstLine="261"/>
        <w:spacing w:after="0" w:line="250" w:lineRule="auto"/>
        <w:rPr>
          <w:sz w:val="20"/>
          <w:szCs w:val="20"/>
          <w:color w:val="auto"/>
        </w:rPr>
      </w:pPr>
      <w:r>
        <w:rPr>
          <w:rFonts w:ascii="Times New Roman" w:cs="Times New Roman" w:eastAsia="Times New Roman" w:hAnsi="Times New Roman"/>
          <w:sz w:val="18"/>
          <w:szCs w:val="18"/>
          <w:color w:val="auto"/>
        </w:rPr>
        <w:t xml:space="preserve">We file annual, quarterly and special reports and other information with the SEC. Comcast Cable Communications Holdings, Comcast Cable, Comcast Cable Holdings, Comcast MO Group and Comcast MO of Delaware do not currently file information with the SEC. Although the cable guarantors would normally be required to file information with the SEC on an ongoing basis, we expect that the cable guarantors will be exempt from this filing obligation for as long as we continue to file our information with the SEC. You may read and copy any document we file at the SEC’s public reference room located at 100 F Street, NE, Washington, D.C. 20549. Please call the SEC at 1-800-SEC-0330 for further information on the public reference rooms. Our SEC filings, including the complete registration statement and all of the exhibits to it are available through the SEC’s web 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ind w:firstLine="258"/>
        <w:spacing w:after="0" w:line="251"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in the accompanying prospectus supplement and in material we file with the SEC and incorporate by reference herein. We have not authorized anyone to provide you with information that is different. We are offering to sell, and seeking offers to buy, the securities described in the prospectus only where offers and sales are permitted. The information contained in this prospectus, the prospectus supplement and our filings with the SEC is accurate only as of its date, regardless of the time of delivery of this prospectus and the prospectus supplement or of any sale of the securities.</w:t>
      </w:r>
    </w:p>
    <w:p>
      <w:pPr>
        <w:spacing w:after="0" w:line="1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113" w:lineRule="exact"/>
        <w:rPr>
          <w:sz w:val="20"/>
          <w:szCs w:val="20"/>
          <w:color w:val="auto"/>
        </w:rPr>
      </w:pPr>
    </w:p>
    <w:p>
      <w:pPr>
        <w:ind w:right="120" w:firstLine="261"/>
        <w:spacing w:after="0" w:line="280" w:lineRule="auto"/>
        <w:rPr>
          <w:sz w:val="20"/>
          <w:szCs w:val="20"/>
          <w:color w:val="auto"/>
        </w:rPr>
      </w:pPr>
      <w:r>
        <w:rPr>
          <w:rFonts w:ascii="Times New Roman" w:cs="Times New Roman" w:eastAsia="Times New Roman" w:hAnsi="Times New Roman"/>
          <w:sz w:val="17"/>
          <w:szCs w:val="17"/>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This prospectus incorporates by reference the documents set forth below that we have previously filed with the SEC:</w:t>
      </w:r>
    </w:p>
    <w:p>
      <w:pPr>
        <w:spacing w:after="0" w:line="111" w:lineRule="exact"/>
        <w:rPr>
          <w:sz w:val="20"/>
          <w:szCs w:val="20"/>
          <w:color w:val="auto"/>
        </w:rPr>
      </w:pPr>
    </w:p>
    <w:p>
      <w:pPr>
        <w:ind w:left="820" w:hanging="470"/>
        <w:spacing w:after="0"/>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 on Form 10-K for the year ended December 31, 2005, filed on February 22, 2006.</w:t>
      </w:r>
    </w:p>
    <w:p>
      <w:pPr>
        <w:spacing w:after="0" w:line="123" w:lineRule="exact"/>
        <w:rPr>
          <w:rFonts w:ascii="Times New Roman" w:cs="Times New Roman" w:eastAsia="Times New Roman" w:hAnsi="Times New Roman"/>
          <w:sz w:val="18"/>
          <w:szCs w:val="18"/>
          <w:color w:val="auto"/>
        </w:rPr>
      </w:pPr>
    </w:p>
    <w:p>
      <w:pPr>
        <w:ind w:left="820" w:right="80" w:hanging="470"/>
        <w:spacing w:after="0" w:line="271" w:lineRule="auto"/>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of the Definitive Proxy Statement on Schedule 14A for the 2006 annual meeting of stockholders incorporated by reference in the Annual Report on Form 10-K for the year ended December 31, 2005.</w:t>
      </w:r>
    </w:p>
    <w:p>
      <w:pPr>
        <w:spacing w:after="0" w:line="74" w:lineRule="exact"/>
        <w:rPr>
          <w:rFonts w:ascii="Times New Roman" w:cs="Times New Roman" w:eastAsia="Times New Roman" w:hAnsi="Times New Roman"/>
          <w:sz w:val="18"/>
          <w:szCs w:val="18"/>
          <w:color w:val="auto"/>
        </w:rPr>
      </w:pPr>
    </w:p>
    <w:p>
      <w:pPr>
        <w:ind w:left="820" w:hanging="470"/>
        <w:spacing w:after="0"/>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Reports on Form 8-K filed on January 26, 2006, February 28, 2006 and March 6, 2006.</w:t>
      </w:r>
    </w:p>
    <w:p>
      <w:pPr>
        <w:spacing w:after="0" w:line="123" w:lineRule="exact"/>
        <w:rPr>
          <w:rFonts w:ascii="Times New Roman" w:cs="Times New Roman" w:eastAsia="Times New Roman" w:hAnsi="Times New Roman"/>
          <w:sz w:val="18"/>
          <w:szCs w:val="18"/>
          <w:color w:val="auto"/>
        </w:rPr>
      </w:pPr>
    </w:p>
    <w:p>
      <w:pPr>
        <w:ind w:left="820" w:hanging="470"/>
        <w:spacing w:after="0" w:line="271" w:lineRule="auto"/>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capital stock incorporated in our Current Report on Form 8-K12G3 and Registration Statement on Form 8-A12G, each filed on November 18, 2002, as the same may be amended from time to time.</w:t>
      </w:r>
    </w:p>
    <w:p>
      <w:pPr>
        <w:spacing w:after="0" w:line="62" w:lineRule="exact"/>
        <w:rPr>
          <w:sz w:val="20"/>
          <w:szCs w:val="20"/>
          <w:color w:val="auto"/>
        </w:rPr>
      </w:pPr>
    </w:p>
    <w:p>
      <w:pPr>
        <w:ind w:firstLine="261"/>
        <w:spacing w:after="0" w:line="251" w:lineRule="auto"/>
        <w:rPr>
          <w:sz w:val="20"/>
          <w:szCs w:val="20"/>
          <w:color w:val="auto"/>
        </w:rPr>
      </w:pPr>
      <w:r>
        <w:rPr>
          <w:rFonts w:ascii="Times New Roman" w:cs="Times New Roman" w:eastAsia="Times New Roman" w:hAnsi="Times New Roman"/>
          <w:sz w:val="18"/>
          <w:szCs w:val="18"/>
          <w:color w:val="auto"/>
        </w:rPr>
        <w:t>We also incorporate by reference into this prospectus additional documents that we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1500 Market Street, Philadelphia, Pennsylvania 19102-2148, (215) 665-1700.</w:t>
      </w:r>
    </w:p>
    <w:p>
      <w:pPr>
        <w:spacing w:after="0" w:line="1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200025</wp:posOffset>
            </wp:positionV>
            <wp:extent cx="724916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9160"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233680</wp:posOffset>
            </wp:positionV>
            <wp:extent cx="7249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2926715</wp:posOffset>
            </wp:positionH>
            <wp:positionV relativeFrom="paragraph">
              <wp:posOffset>368300</wp:posOffset>
            </wp:positionV>
            <wp:extent cx="1402715" cy="3613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02715" cy="36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620"/>
        <w:spacing w:after="0"/>
        <w:tabs>
          <w:tab w:leader="none" w:pos="5880" w:val="left"/>
        </w:tabs>
        <w:rPr>
          <w:sz w:val="20"/>
          <w:szCs w:val="20"/>
          <w:color w:val="auto"/>
        </w:rPr>
      </w:pPr>
      <w:r>
        <w:rPr>
          <w:rFonts w:ascii="Times New Roman" w:cs="Times New Roman" w:eastAsia="Times New Roman" w:hAnsi="Times New Roman"/>
          <w:sz w:val="25"/>
          <w:szCs w:val="25"/>
          <w:b w:val="1"/>
          <w:bCs w:val="1"/>
          <w:color w:val="auto"/>
        </w:rPr>
        <w:t>$300,000,000</w:t>
      </w:r>
      <w:r>
        <w:rPr>
          <w:sz w:val="20"/>
          <w:szCs w:val="20"/>
          <w:color w:val="auto"/>
        </w:rPr>
        <w:tab/>
      </w:r>
      <w:r>
        <w:rPr>
          <w:rFonts w:ascii="Times New Roman" w:cs="Times New Roman" w:eastAsia="Times New Roman" w:hAnsi="Times New Roman"/>
          <w:sz w:val="24"/>
          <w:szCs w:val="24"/>
          <w:b w:val="1"/>
          <w:bCs w:val="1"/>
          <w:color w:val="auto"/>
        </w:rPr>
        <w:t>% Notes due 2055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2103755</wp:posOffset>
            </wp:positionH>
            <wp:positionV relativeFrom="paragraph">
              <wp:posOffset>590550</wp:posOffset>
            </wp:positionV>
            <wp:extent cx="30492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2103755</wp:posOffset>
            </wp:positionH>
            <wp:positionV relativeFrom="paragraph">
              <wp:posOffset>15875</wp:posOffset>
            </wp:positionV>
            <wp:extent cx="30492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4220" w:type="dxa"/>
            <w:vAlign w:val="bottom"/>
            <w:gridSpan w:val="2"/>
          </w:tcPr>
          <w:p>
            <w:pPr>
              <w:spacing w:after="0"/>
              <w:rPr>
                <w:sz w:val="20"/>
                <w:szCs w:val="20"/>
                <w:color w:val="auto"/>
              </w:rPr>
            </w:pPr>
            <w:r>
              <w:rPr>
                <w:rFonts w:ascii="Times New Roman" w:cs="Times New Roman" w:eastAsia="Times New Roman" w:hAnsi="Times New Roman"/>
                <w:sz w:val="23"/>
                <w:szCs w:val="23"/>
                <w:b w:val="1"/>
                <w:bCs w:val="1"/>
                <w:color w:val="auto"/>
              </w:rPr>
              <w:t>Citigroup</w:t>
            </w:r>
          </w:p>
        </w:tc>
        <w:tc>
          <w:tcPr>
            <w:tcW w:w="2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40" w:type="dxa"/>
            <w:vAlign w:val="bottom"/>
          </w:tcPr>
          <w:p>
            <w:pPr>
              <w:jc w:val="right"/>
              <w:spacing w:after="0"/>
              <w:rPr>
                <w:sz w:val="20"/>
                <w:szCs w:val="20"/>
                <w:color w:val="auto"/>
              </w:rPr>
            </w:pPr>
            <w:r>
              <w:rPr>
                <w:rFonts w:ascii="Times New Roman" w:cs="Times New Roman" w:eastAsia="Times New Roman" w:hAnsi="Times New Roman"/>
                <w:sz w:val="23"/>
                <w:szCs w:val="23"/>
                <w:b w:val="1"/>
                <w:bCs w:val="1"/>
                <w:color w:val="auto"/>
              </w:rPr>
              <w:t>Merrill Lynch &amp; Co.</w:t>
            </w:r>
          </w:p>
        </w:tc>
      </w:tr>
      <w:tr>
        <w:trPr>
          <w:trHeight w:val="49"/>
        </w:trPr>
        <w:tc>
          <w:tcPr>
            <w:tcW w:w="3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98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3940" w:type="dxa"/>
            <w:vAlign w:val="bottom"/>
          </w:tcPr>
          <w:p>
            <w:pPr>
              <w:spacing w:after="0"/>
              <w:rPr>
                <w:sz w:val="4"/>
                <w:szCs w:val="4"/>
                <w:color w:val="auto"/>
              </w:rPr>
            </w:pPr>
          </w:p>
        </w:tc>
      </w:tr>
      <w:tr>
        <w:trPr>
          <w:trHeight w:val="333"/>
        </w:trPr>
        <w:tc>
          <w:tcPr>
            <w:tcW w:w="42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Morgan Stanley</w:t>
            </w:r>
          </w:p>
        </w:tc>
        <w:tc>
          <w:tcPr>
            <w:tcW w:w="298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UBS Investment Bank</w:t>
            </w:r>
          </w:p>
        </w:tc>
        <w:tc>
          <w:tcPr>
            <w:tcW w:w="280" w:type="dxa"/>
            <w:vAlign w:val="bottom"/>
          </w:tcPr>
          <w:p>
            <w:pPr>
              <w:spacing w:after="0"/>
              <w:rPr>
                <w:sz w:val="24"/>
                <w:szCs w:val="24"/>
                <w:color w:val="auto"/>
              </w:rPr>
            </w:pPr>
          </w:p>
        </w:tc>
        <w:tc>
          <w:tcPr>
            <w:tcW w:w="3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Wachovia Securities</w:t>
            </w:r>
          </w:p>
        </w:tc>
      </w:tr>
      <w:tr>
        <w:trPr>
          <w:trHeight w:val="97"/>
        </w:trPr>
        <w:tc>
          <w:tcPr>
            <w:tcW w:w="4220" w:type="dxa"/>
            <w:vAlign w:val="bottom"/>
            <w:gridSpan w:val="2"/>
          </w:tcPr>
          <w:p>
            <w:pPr>
              <w:spacing w:after="0"/>
              <w:rPr>
                <w:sz w:val="8"/>
                <w:szCs w:val="8"/>
                <w:color w:val="auto"/>
              </w:rPr>
            </w:pPr>
          </w:p>
        </w:tc>
        <w:tc>
          <w:tcPr>
            <w:tcW w:w="2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940" w:type="dxa"/>
            <w:vAlign w:val="bottom"/>
          </w:tcPr>
          <w:p>
            <w:pPr>
              <w:spacing w:after="0"/>
              <w:rPr>
                <w:sz w:val="8"/>
                <w:szCs w:val="8"/>
                <w:color w:val="auto"/>
              </w:rPr>
            </w:pPr>
          </w:p>
        </w:tc>
      </w:tr>
      <w:tr>
        <w:trPr>
          <w:trHeight w:val="254"/>
        </w:trPr>
        <w:tc>
          <w:tcPr>
            <w:tcW w:w="39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A.G. Edwards</w:t>
            </w:r>
          </w:p>
        </w:tc>
        <w:tc>
          <w:tcPr>
            <w:tcW w:w="280" w:type="dxa"/>
            <w:vAlign w:val="bottom"/>
            <w:tcBorders>
              <w:top w:val="single" w:sz="8" w:color="auto"/>
            </w:tcBorders>
          </w:tcPr>
          <w:p>
            <w:pPr>
              <w:spacing w:after="0"/>
              <w:rPr>
                <w:sz w:val="22"/>
                <w:szCs w:val="22"/>
                <w:color w:val="auto"/>
              </w:rPr>
            </w:pPr>
          </w:p>
        </w:tc>
        <w:tc>
          <w:tcPr>
            <w:tcW w:w="298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3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RBC Capital Markets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2683510</wp:posOffset>
            </wp:positionH>
            <wp:positionV relativeFrom="paragraph">
              <wp:posOffset>61595</wp:posOffset>
            </wp:positionV>
            <wp:extent cx="18897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89760" cy="8255"/>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880" w:type="dxa"/>
            <w:vAlign w:val="bottom"/>
          </w:tcPr>
          <w:p>
            <w:pPr>
              <w:jc w:val="center"/>
              <w:ind w:left="435"/>
              <w:spacing w:after="0"/>
              <w:rPr>
                <w:sz w:val="20"/>
                <w:szCs w:val="20"/>
                <w:color w:val="auto"/>
              </w:rPr>
            </w:pPr>
            <w:r>
              <w:rPr>
                <w:rFonts w:ascii="Times New Roman" w:cs="Times New Roman" w:eastAsia="Times New Roman" w:hAnsi="Times New Roman"/>
                <w:sz w:val="17"/>
                <w:szCs w:val="17"/>
                <w:b w:val="1"/>
                <w:bCs w:val="1"/>
                <w:color w:val="auto"/>
                <w:w w:val="98"/>
              </w:rPr>
              <w:t>Banc of America Securities LLC</w:t>
            </w:r>
          </w:p>
        </w:tc>
        <w:tc>
          <w:tcPr>
            <w:tcW w:w="5540" w:type="dxa"/>
            <w:vAlign w:val="bottom"/>
          </w:tcPr>
          <w:p>
            <w:pPr>
              <w:jc w:val="center"/>
              <w:ind w:left="795"/>
              <w:spacing w:after="0"/>
              <w:rPr>
                <w:sz w:val="20"/>
                <w:szCs w:val="20"/>
                <w:color w:val="auto"/>
              </w:rPr>
            </w:pPr>
            <w:r>
              <w:rPr>
                <w:rFonts w:ascii="Times New Roman" w:cs="Times New Roman" w:eastAsia="Times New Roman" w:hAnsi="Times New Roman"/>
                <w:sz w:val="17"/>
                <w:szCs w:val="17"/>
                <w:b w:val="1"/>
                <w:bCs w:val="1"/>
                <w:color w:val="auto"/>
                <w:w w:val="98"/>
              </w:rPr>
              <w:t>Deutsche Bank Securities</w:t>
            </w:r>
          </w:p>
        </w:tc>
      </w:tr>
      <w:tr>
        <w:trPr>
          <w:trHeight w:val="221"/>
        </w:trPr>
        <w:tc>
          <w:tcPr>
            <w:tcW w:w="5880" w:type="dxa"/>
            <w:vAlign w:val="bottom"/>
          </w:tcPr>
          <w:p>
            <w:pPr>
              <w:jc w:val="center"/>
              <w:ind w:left="435"/>
              <w:spacing w:after="0"/>
              <w:rPr>
                <w:sz w:val="20"/>
                <w:szCs w:val="20"/>
                <w:color w:val="auto"/>
              </w:rPr>
            </w:pPr>
            <w:r>
              <w:rPr>
                <w:rFonts w:ascii="Times New Roman" w:cs="Times New Roman" w:eastAsia="Times New Roman" w:hAnsi="Times New Roman"/>
                <w:sz w:val="17"/>
                <w:szCs w:val="17"/>
                <w:b w:val="1"/>
                <w:bCs w:val="1"/>
                <w:color w:val="auto"/>
                <w:w w:val="98"/>
              </w:rPr>
              <w:t>JPMorgan</w:t>
            </w:r>
          </w:p>
        </w:tc>
        <w:tc>
          <w:tcPr>
            <w:tcW w:w="5540" w:type="dxa"/>
            <w:vAlign w:val="bottom"/>
          </w:tcPr>
          <w:p>
            <w:pPr>
              <w:jc w:val="center"/>
              <w:ind w:left="795"/>
              <w:spacing w:after="0"/>
              <w:rPr>
                <w:sz w:val="20"/>
                <w:szCs w:val="20"/>
                <w:color w:val="auto"/>
              </w:rPr>
            </w:pPr>
            <w:r>
              <w:rPr>
                <w:rFonts w:ascii="Times New Roman" w:cs="Times New Roman" w:eastAsia="Times New Roman" w:hAnsi="Times New Roman"/>
                <w:sz w:val="17"/>
                <w:szCs w:val="17"/>
                <w:b w:val="1"/>
                <w:bCs w:val="1"/>
                <w:color w:val="auto"/>
                <w:w w:val="97"/>
              </w:rPr>
              <w:t>Lehman Brothers</w:t>
            </w:r>
          </w:p>
        </w:tc>
      </w:tr>
      <w:tr>
        <w:trPr>
          <w:trHeight w:val="267"/>
        </w:trPr>
        <w:tc>
          <w:tcPr>
            <w:tcW w:w="5880" w:type="dxa"/>
            <w:vAlign w:val="bottom"/>
          </w:tcPr>
          <w:p>
            <w:pPr>
              <w:ind w:left="4980"/>
              <w:spacing w:after="0"/>
              <w:rPr>
                <w:sz w:val="20"/>
                <w:szCs w:val="20"/>
                <w:color w:val="auto"/>
              </w:rPr>
            </w:pPr>
            <w:r>
              <w:rPr>
                <w:rFonts w:ascii="Times New Roman" w:cs="Times New Roman" w:eastAsia="Times New Roman" w:hAnsi="Times New Roman"/>
                <w:sz w:val="18"/>
                <w:szCs w:val="18"/>
                <w:color w:val="auto"/>
              </w:rPr>
              <w:t>September</w:t>
            </w:r>
          </w:p>
        </w:tc>
        <w:tc>
          <w:tcPr>
            <w:tcW w:w="5540" w:type="dxa"/>
            <w:vAlign w:val="bottom"/>
          </w:tcPr>
          <w:p>
            <w:pPr>
              <w:jc w:val="right"/>
              <w:ind w:right="4895"/>
              <w:spacing w:after="0"/>
              <w:rPr>
                <w:sz w:val="20"/>
                <w:szCs w:val="20"/>
                <w:color w:val="auto"/>
              </w:rPr>
            </w:pPr>
            <w:r>
              <w:rPr>
                <w:rFonts w:ascii="Times New Roman" w:cs="Times New Roman" w:eastAsia="Times New Roman" w:hAnsi="Times New Roman"/>
                <w:sz w:val="18"/>
                <w:szCs w:val="18"/>
                <w:color w:val="auto"/>
              </w:rPr>
              <w:t>, 2006</w:t>
            </w:r>
          </w:p>
        </w:tc>
      </w:tr>
      <w:tr>
        <w:trPr>
          <w:trHeight w:val="146"/>
        </w:trPr>
        <w:tc>
          <w:tcPr>
            <w:tcW w:w="5880" w:type="dxa"/>
            <w:vAlign w:val="bottom"/>
            <w:tcBorders>
              <w:bottom w:val="single" w:sz="8" w:color="auto"/>
            </w:tcBorders>
          </w:tcPr>
          <w:p>
            <w:pPr>
              <w:spacing w:after="0"/>
              <w:rPr>
                <w:sz w:val="12"/>
                <w:szCs w:val="12"/>
                <w:color w:val="auto"/>
              </w:rPr>
            </w:pPr>
          </w:p>
        </w:tc>
        <w:tc>
          <w:tcPr>
            <w:tcW w:w="5540" w:type="dxa"/>
            <w:vAlign w:val="bottom"/>
            <w:tcBorders>
              <w:bottom w:val="single" w:sz="8" w:color="auto"/>
            </w:tcBorders>
          </w:tcPr>
          <w:p>
            <w:pPr>
              <w:spacing w:after="0"/>
              <w:rPr>
                <w:sz w:val="12"/>
                <w:szCs w:val="12"/>
                <w:color w:val="auto"/>
              </w:rPr>
            </w:pPr>
          </w:p>
        </w:tc>
      </w:tr>
      <w:tr>
        <w:trPr>
          <w:trHeight w:val="26"/>
        </w:trPr>
        <w:tc>
          <w:tcPr>
            <w:tcW w:w="5880" w:type="dxa"/>
            <w:vAlign w:val="bottom"/>
            <w:tcBorders>
              <w:bottom w:val="single" w:sz="8" w:color="auto"/>
            </w:tcBorders>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420"/>
      </w:cols>
      <w:pgMar w:left="240" w:top="4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decimal"/>
      <w:start w:val="2"/>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1)"/>
      <w:numFmt w:val="lowerRoman"/>
      <w:start w:val="10"/>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1)"/>
      <w:numFmt w:val="lowerLetter"/>
      <w:start w:val="1"/>
    </w:lvl>
    <w:lvl w:ilvl="1">
      <w:lvlJc w:val="left"/>
      <w:lvlText w:val="(%2)"/>
      <w:numFmt w:val="lowerRoman"/>
      <w:start w:val="1"/>
    </w:lvl>
  </w:abstractNum>
  <w:abstractNum w:abstractNumId="10">
    <w:nsid w:val="1E7FF521"/>
    <w:multiLevelType w:val="hybridMultilevel"/>
    <w:lvl w:ilvl="0">
      <w:lvlJc w:val="left"/>
      <w:lvlText w:val="(%1)"/>
      <w:numFmt w:val="lowerLetter"/>
      <w:start w:val="2"/>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1)"/>
      <w:numFmt w:val="lowerRoman"/>
      <w:start w:val="10"/>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1)"/>
      <w:numFmt w:val="lowerLetter"/>
      <w:start w:val="1"/>
    </w:lvl>
  </w:abstractNum>
  <w:abstractNum w:abstractNumId="18">
    <w:nsid w:val="419AC241"/>
    <w:multiLevelType w:val="hybridMultilevel"/>
    <w:lvl w:ilvl="0">
      <w:lvlJc w:val="left"/>
      <w:lvlText w:val="(%1)"/>
      <w:numFmt w:val="lowerLetter"/>
      <w:start w:val="23"/>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o"/>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lvl w:ilvl="1">
      <w:lvlJc w:val="left"/>
      <w:lvlText w:val="o"/>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1)"/>
      <w:numFmt w:val="decimal"/>
      <w:start w:val="1"/>
    </w:lvl>
    <w:lvl w:ilvl="1">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o"/>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lvl w:ilvl="1">
      <w:lvlJc w:val="left"/>
      <w:lvlText w:val="o"/>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1)"/>
      <w:numFmt w:val="decimal"/>
      <w:start w:val="2"/>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2019-12-15T07:22:11Z</dcterms:created>
  <dcterms:modified xsi:type="dcterms:W3CDTF">2019-12-15T07:22:11Z</dcterms:modified>
</cp:coreProperties>
</file>