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60" w:right="2219" w:hanging="4953"/>
        <w:spacing w:after="0" w:line="257" w:lineRule="auto"/>
        <w:rPr>
          <w:sz w:val="20"/>
          <w:szCs w:val="20"/>
          <w:color w:val="auto"/>
        </w:rPr>
      </w:pPr>
      <w:r>
        <w:rPr>
          <w:rFonts w:ascii="Courier New" w:cs="Courier New" w:eastAsia="Courier New" w:hAnsi="Courier New"/>
          <w:sz w:val="16"/>
          <w:szCs w:val="16"/>
          <w:color w:val="auto"/>
        </w:rPr>
        <w:t>As Filed with the Securities and Exchange Commission on August 6, 1999 Registration No. 333-81391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AMENDMENT NO. 1</w:t>
      </w:r>
    </w:p>
    <w:p>
      <w:pPr>
        <w:spacing w:after="0" w:line="2" w:lineRule="exact"/>
        <w:rPr>
          <w:sz w:val="24"/>
          <w:szCs w:val="24"/>
          <w:color w:val="auto"/>
        </w:rPr>
      </w:pPr>
    </w:p>
    <w:p>
      <w:pPr>
        <w:ind w:left="3840"/>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FORM S-3</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THE SECURITIES ACT OF 1933</w:t>
      </w:r>
    </w:p>
    <w:p>
      <w:pPr>
        <w:spacing w:after="0" w:line="200" w:lineRule="exact"/>
        <w:rPr>
          <w:sz w:val="24"/>
          <w:szCs w:val="24"/>
          <w:color w:val="auto"/>
        </w:rPr>
      </w:pPr>
    </w:p>
    <w:p>
      <w:pPr>
        <w:spacing w:after="0" w:line="385"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91"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34"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Pennsylvania</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(State or jurisdiction of</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23-170902</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840" w:space="720"/>
            <w:col w:w="4659"/>
          </w:cols>
          <w:pgMar w:left="240" w:top="634" w:right="1440" w:bottom="0" w:gutter="0" w:footer="0" w:header="0"/>
          <w:type w:val="continuous"/>
        </w:sectPr>
      </w:pP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See Table of Additional Registrants</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1500 Market Street</w:t>
      </w:r>
    </w:p>
    <w:p>
      <w:pPr>
        <w:spacing w:after="0" w:line="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(215) 665-1700</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(Address, including zip code, and telephone number, including area</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code, of Registrant's principal executive offices)</w:t>
      </w:r>
    </w:p>
    <w:p>
      <w:pPr>
        <w:spacing w:after="0" w:line="196"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John R. Alchin, Senior Vice President and Treasurer</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1500 Market Street</w:t>
      </w:r>
    </w:p>
    <w:p>
      <w:pPr>
        <w:spacing w:after="0" w:line="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4"/>
          <w:szCs w:val="24"/>
          <w:color w:val="auto"/>
        </w:rPr>
      </w:pPr>
    </w:p>
    <w:p>
      <w:pPr>
        <w:ind w:left="2840" w:right="2219" w:hanging="2729"/>
        <w:spacing w:after="0" w:line="239" w:lineRule="auto"/>
        <w:rPr>
          <w:sz w:val="20"/>
          <w:szCs w:val="20"/>
          <w:color w:val="auto"/>
        </w:rPr>
      </w:pPr>
      <w:r>
        <w:rPr>
          <w:rFonts w:ascii="Courier New" w:cs="Courier New" w:eastAsia="Courier New" w:hAnsi="Courier New"/>
          <w:sz w:val="17"/>
          <w:szCs w:val="17"/>
          <w:color w:val="auto"/>
        </w:rPr>
        <w:t>(Name, address, including zip code, and telephone number, including area code, of agent for service)</w:t>
      </w:r>
    </w:p>
    <w:p>
      <w:pPr>
        <w:spacing w:after="0" w:line="198"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Copies of communications to:</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Bruce K. Dallas, Esquire</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Davis Polk &amp; Wardwell</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450 Lexington Avenue</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New York, New York 10017</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(212) 450-4000</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4"/>
          <w:szCs w:val="24"/>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this Registration Statement becomes effective.</w:t>
      </w:r>
    </w:p>
    <w:p>
      <w:pPr>
        <w:spacing w:after="0" w:line="200" w:lineRule="exact"/>
        <w:rPr>
          <w:sz w:val="24"/>
          <w:szCs w:val="24"/>
          <w:color w:val="auto"/>
        </w:rPr>
      </w:pPr>
    </w:p>
    <w:p>
      <w:pPr>
        <w:ind w:right="2639" w:firstLine="505"/>
        <w:spacing w:after="0"/>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00" w:lineRule="exact"/>
        <w:rPr>
          <w:sz w:val="24"/>
          <w:szCs w:val="24"/>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please check the following box [X]</w:t>
      </w:r>
    </w:p>
    <w:p>
      <w:pPr>
        <w:spacing w:after="0" w:line="200" w:lineRule="exact"/>
        <w:rPr>
          <w:sz w:val="24"/>
          <w:szCs w:val="24"/>
          <w:color w:val="auto"/>
        </w:rPr>
      </w:pPr>
    </w:p>
    <w:p>
      <w:pPr>
        <w:jc w:val="both"/>
        <w:ind w:right="2539" w:firstLine="505"/>
        <w:spacing w:after="0" w:line="241"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ectPr>
          <w:pgSz w:w="11900" w:h="16838" w:orient="portrait"/>
          <w:cols w:equalWidth="0" w:num="1">
            <w:col w:w="10219"/>
          </w:cols>
          <w:pgMar w:left="240" w:top="634" w:right="1440" w:bottom="0" w:gutter="0" w:footer="0" w:header="0"/>
          <w:type w:val="continuous"/>
        </w:sectPr>
      </w:pPr>
    </w:p>
    <w:bookmarkStart w:id="1" w:name="page2"/>
    <w:bookmarkEnd w:id="1"/>
    <w:p>
      <w:pPr>
        <w:ind w:right="3740" w:firstLine="505"/>
        <w:spacing w:after="0" w:line="241"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number of the earlier effective registration statement for the same offering. [ ]</w:t>
      </w:r>
    </w:p>
    <w:p>
      <w:pPr>
        <w:spacing w:after="0" w:line="393" w:lineRule="exact"/>
        <w:rPr>
          <w:sz w:val="20"/>
          <w:szCs w:val="20"/>
          <w:color w:val="auto"/>
        </w:rPr>
      </w:pPr>
    </w:p>
    <w:p>
      <w:pPr>
        <w:ind w:right="3520" w:firstLine="505"/>
        <w:spacing w:after="0" w:line="239"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39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393" w:lineRule="exact"/>
        <w:rPr>
          <w:sz w:val="20"/>
          <w:szCs w:val="20"/>
          <w:color w:val="auto"/>
        </w:rPr>
      </w:pPr>
    </w:p>
    <w:p>
      <w:pPr>
        <w:ind w:right="3940" w:firstLine="505"/>
        <w:spacing w:after="0" w:line="239" w:lineRule="auto"/>
        <w:rPr>
          <w:sz w:val="20"/>
          <w:szCs w:val="20"/>
          <w:color w:val="auto"/>
        </w:rPr>
      </w:pPr>
      <w:r>
        <w:rPr>
          <w:rFonts w:ascii="Courier New" w:cs="Courier New" w:eastAsia="Courier New" w:hAnsi="Courier New"/>
          <w:sz w:val="17"/>
          <w:szCs w:val="17"/>
          <w:color w:val="auto"/>
        </w:rPr>
        <w:t>Pursuant to Rule 429 promulgated under the Securities Act of 1933, the Prospectus which forms a part of this Registration Statement</w:t>
      </w:r>
    </w:p>
    <w:p>
      <w:pPr>
        <w:spacing w:after="0" w:line="5" w:lineRule="exact"/>
        <w:rPr>
          <w:sz w:val="20"/>
          <w:szCs w:val="20"/>
          <w:color w:val="auto"/>
        </w:rPr>
      </w:pPr>
    </w:p>
    <w:p>
      <w:pPr>
        <w:ind w:right="3940"/>
        <w:spacing w:after="0" w:line="263" w:lineRule="auto"/>
        <w:rPr>
          <w:sz w:val="20"/>
          <w:szCs w:val="20"/>
          <w:color w:val="auto"/>
        </w:rPr>
      </w:pPr>
      <w:r>
        <w:rPr>
          <w:rFonts w:ascii="Courier New" w:cs="Courier New" w:eastAsia="Courier New" w:hAnsi="Courier New"/>
          <w:sz w:val="16"/>
          <w:szCs w:val="16"/>
          <w:color w:val="auto"/>
        </w:rPr>
        <w:t>also relates to the remaining $295,774,064 initial offering price of Securities registered under the Registrant's Registration Statement on Form S-3, File No. 333-74289, which was declared effective on March 11, 1999.</w:t>
      </w:r>
    </w:p>
    <w:p>
      <w:pPr>
        <w:spacing w:after="0" w:line="18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87" w:lineRule="exact"/>
        <w:rPr>
          <w:sz w:val="20"/>
          <w:szCs w:val="20"/>
          <w:color w:val="auto"/>
        </w:rPr>
      </w:pPr>
    </w:p>
    <w:p>
      <w:pPr>
        <w:ind w:right="3620" w:firstLine="505"/>
        <w:spacing w:after="0" w:line="241"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Courier New" w:cs="Courier New" w:eastAsia="Courier New" w:hAnsi="Courier New"/>
                <w:sz w:val="17"/>
                <w:szCs w:val="17"/>
                <w:color w:val="auto"/>
                <w:w w:val="98"/>
              </w:rPr>
              <w:t>Additional Registrants</w:t>
            </w:r>
          </w:p>
        </w:tc>
        <w:tc>
          <w:tcPr>
            <w:tcW w:w="3880" w:type="dxa"/>
            <w:vAlign w:val="bottom"/>
          </w:tcPr>
          <w:p>
            <w:pPr>
              <w:spacing w:after="0"/>
              <w:rPr>
                <w:sz w:val="16"/>
                <w:szCs w:val="16"/>
                <w:color w:val="auto"/>
              </w:rPr>
            </w:pPr>
          </w:p>
        </w:tc>
      </w:tr>
      <w:tr>
        <w:trPr>
          <w:trHeight w:val="583"/>
        </w:trPr>
        <w:tc>
          <w:tcPr>
            <w:tcW w:w="38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Comcast Corporation Trust I</w:t>
            </w:r>
          </w:p>
        </w:tc>
        <w:tc>
          <w:tcPr>
            <w:tcW w:w="3800" w:type="dxa"/>
            <w:vAlign w:val="bottom"/>
          </w:tcPr>
          <w:p>
            <w:pPr>
              <w:jc w:val="center"/>
              <w:spacing w:after="0"/>
              <w:rPr>
                <w:sz w:val="20"/>
                <w:szCs w:val="20"/>
                <w:color w:val="auto"/>
              </w:rPr>
            </w:pPr>
            <w:r>
              <w:rPr>
                <w:rFonts w:ascii="Courier New" w:cs="Courier New" w:eastAsia="Courier New" w:hAnsi="Courier New"/>
                <w:sz w:val="17"/>
                <w:szCs w:val="17"/>
                <w:color w:val="auto"/>
              </w:rPr>
              <w:t>Delaware</w:t>
            </w:r>
          </w:p>
        </w:tc>
        <w:tc>
          <w:tcPr>
            <w:tcW w:w="3880" w:type="dxa"/>
            <w:vAlign w:val="bottom"/>
          </w:tcPr>
          <w:p>
            <w:pPr>
              <w:ind w:left="1260"/>
              <w:spacing w:after="0"/>
              <w:rPr>
                <w:sz w:val="20"/>
                <w:szCs w:val="20"/>
                <w:color w:val="auto"/>
              </w:rPr>
            </w:pPr>
            <w:r>
              <w:rPr>
                <w:rFonts w:ascii="Courier New" w:cs="Courier New" w:eastAsia="Courier New" w:hAnsi="Courier New"/>
                <w:sz w:val="17"/>
                <w:szCs w:val="17"/>
                <w:color w:val="auto"/>
              </w:rPr>
              <w:t>To be applied for</w:t>
            </w:r>
          </w:p>
        </w:tc>
      </w:tr>
      <w:tr>
        <w:trPr>
          <w:trHeight w:val="194"/>
        </w:trPr>
        <w:tc>
          <w:tcPr>
            <w:tcW w:w="38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Comcast Corporation Trust II</w:t>
            </w:r>
          </w:p>
        </w:tc>
        <w:tc>
          <w:tcPr>
            <w:tcW w:w="3800" w:type="dxa"/>
            <w:vAlign w:val="bottom"/>
          </w:tcPr>
          <w:p>
            <w:pPr>
              <w:jc w:val="center"/>
              <w:spacing w:after="0"/>
              <w:rPr>
                <w:sz w:val="20"/>
                <w:szCs w:val="20"/>
                <w:color w:val="auto"/>
              </w:rPr>
            </w:pPr>
            <w:r>
              <w:rPr>
                <w:rFonts w:ascii="Courier New" w:cs="Courier New" w:eastAsia="Courier New" w:hAnsi="Courier New"/>
                <w:sz w:val="17"/>
                <w:szCs w:val="17"/>
                <w:color w:val="auto"/>
              </w:rPr>
              <w:t>Delaware</w:t>
            </w:r>
          </w:p>
        </w:tc>
        <w:tc>
          <w:tcPr>
            <w:tcW w:w="3880" w:type="dxa"/>
            <w:vAlign w:val="bottom"/>
          </w:tcPr>
          <w:p>
            <w:pPr>
              <w:ind w:left="1260"/>
              <w:spacing w:after="0"/>
              <w:rPr>
                <w:sz w:val="20"/>
                <w:szCs w:val="20"/>
                <w:color w:val="auto"/>
              </w:rPr>
            </w:pPr>
            <w:r>
              <w:rPr>
                <w:rFonts w:ascii="Courier New" w:cs="Courier New" w:eastAsia="Courier New" w:hAnsi="Courier New"/>
                <w:sz w:val="17"/>
                <w:szCs w:val="17"/>
                <w:color w:val="auto"/>
              </w:rPr>
              <w:t>To be applied for</w:t>
            </w:r>
          </w:p>
        </w:tc>
      </w:tr>
      <w:tr>
        <w:trPr>
          <w:trHeight w:val="194"/>
        </w:trPr>
        <w:tc>
          <w:tcPr>
            <w:tcW w:w="3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Comcast Corporation Trust III</w:t>
            </w:r>
          </w:p>
        </w:tc>
        <w:tc>
          <w:tcPr>
            <w:tcW w:w="3800" w:type="dxa"/>
            <w:vAlign w:val="bottom"/>
          </w:tcPr>
          <w:p>
            <w:pPr>
              <w:jc w:val="center"/>
              <w:spacing w:after="0"/>
              <w:rPr>
                <w:sz w:val="20"/>
                <w:szCs w:val="20"/>
                <w:color w:val="auto"/>
              </w:rPr>
            </w:pPr>
            <w:r>
              <w:rPr>
                <w:rFonts w:ascii="Courier New" w:cs="Courier New" w:eastAsia="Courier New" w:hAnsi="Courier New"/>
                <w:sz w:val="17"/>
                <w:szCs w:val="17"/>
                <w:color w:val="auto"/>
              </w:rPr>
              <w:t>Delaware</w:t>
            </w:r>
          </w:p>
        </w:tc>
        <w:tc>
          <w:tcPr>
            <w:tcW w:w="3880" w:type="dxa"/>
            <w:vAlign w:val="bottom"/>
          </w:tcPr>
          <w:p>
            <w:pPr>
              <w:ind w:left="1260"/>
              <w:spacing w:after="0"/>
              <w:rPr>
                <w:sz w:val="20"/>
                <w:szCs w:val="20"/>
                <w:color w:val="auto"/>
              </w:rPr>
            </w:pPr>
            <w:r>
              <w:rPr>
                <w:rFonts w:ascii="Courier New" w:cs="Courier New" w:eastAsia="Courier New" w:hAnsi="Courier New"/>
                <w:sz w:val="17"/>
                <w:szCs w:val="17"/>
                <w:color w:val="auto"/>
              </w:rPr>
              <w:t>To be applied for</w:t>
            </w:r>
          </w:p>
        </w:tc>
      </w:tr>
      <w:tr>
        <w:trPr>
          <w:trHeight w:val="194"/>
        </w:trPr>
        <w:tc>
          <w:tcPr>
            <w:tcW w:w="76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(Exact name of registrant as Specified in (State of Other Jurisdiction or</w:t>
            </w:r>
          </w:p>
        </w:tc>
        <w:tc>
          <w:tcPr>
            <w:tcW w:w="3880" w:type="dxa"/>
            <w:vAlign w:val="bottom"/>
          </w:tcPr>
          <w:p>
            <w:pPr>
              <w:ind w:left="260"/>
              <w:spacing w:after="0"/>
              <w:rPr>
                <w:sz w:val="20"/>
                <w:szCs w:val="20"/>
                <w:color w:val="auto"/>
              </w:rPr>
            </w:pPr>
            <w:r>
              <w:rPr>
                <w:rFonts w:ascii="Courier New" w:cs="Courier New" w:eastAsia="Courier New" w:hAnsi="Courier New"/>
                <w:sz w:val="17"/>
                <w:szCs w:val="17"/>
                <w:color w:val="auto"/>
                <w:w w:val="98"/>
              </w:rPr>
              <w:t>(I.R.S. Employer Identification No.)</w:t>
            </w:r>
          </w:p>
        </w:tc>
      </w:tr>
      <w:tr>
        <w:trPr>
          <w:trHeight w:val="194"/>
        </w:trPr>
        <w:tc>
          <w:tcPr>
            <w:tcW w:w="384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its Charter)</w:t>
            </w:r>
          </w:p>
        </w:tc>
        <w:tc>
          <w:tcPr>
            <w:tcW w:w="3800" w:type="dxa"/>
            <w:vAlign w:val="bottom"/>
          </w:tcPr>
          <w:p>
            <w:pPr>
              <w:jc w:val="center"/>
              <w:spacing w:after="0"/>
              <w:rPr>
                <w:sz w:val="20"/>
                <w:szCs w:val="20"/>
                <w:color w:val="auto"/>
              </w:rPr>
            </w:pPr>
            <w:r>
              <w:rPr>
                <w:rFonts w:ascii="Courier New" w:cs="Courier New" w:eastAsia="Courier New" w:hAnsi="Courier New"/>
                <w:sz w:val="17"/>
                <w:szCs w:val="17"/>
                <w:color w:val="auto"/>
                <w:w w:val="98"/>
              </w:rPr>
              <w:t>Incorporation or Organization)</w:t>
            </w:r>
          </w:p>
        </w:tc>
        <w:tc>
          <w:tcPr>
            <w:tcW w:w="3880" w:type="dxa"/>
            <w:vAlign w:val="bottom"/>
          </w:tcPr>
          <w:p>
            <w:pPr>
              <w:spacing w:after="0"/>
              <w:rPr>
                <w:sz w:val="16"/>
                <w:szCs w:val="16"/>
                <w:color w:val="auto"/>
              </w:rPr>
            </w:pPr>
          </w:p>
        </w:tc>
      </w:tr>
      <w:tr>
        <w:trPr>
          <w:trHeight w:val="778"/>
        </w:trPr>
        <w:tc>
          <w:tcPr>
            <w:tcW w:w="3840" w:type="dxa"/>
            <w:vAlign w:val="bottom"/>
          </w:tcPr>
          <w:p>
            <w:pPr>
              <w:spacing w:after="0"/>
              <w:rPr>
                <w:sz w:val="24"/>
                <w:szCs w:val="24"/>
                <w:color w:val="auto"/>
              </w:rPr>
            </w:pPr>
          </w:p>
        </w:tc>
        <w:tc>
          <w:tcPr>
            <w:tcW w:w="3800" w:type="dxa"/>
            <w:vAlign w:val="bottom"/>
          </w:tcPr>
          <w:p>
            <w:pPr>
              <w:jc w:val="right"/>
              <w:ind w:right="1696"/>
              <w:spacing w:after="0"/>
              <w:rPr>
                <w:sz w:val="20"/>
                <w:szCs w:val="20"/>
                <w:color w:val="auto"/>
              </w:rPr>
            </w:pPr>
            <w:r>
              <w:rPr>
                <w:rFonts w:ascii="Courier New" w:cs="Courier New" w:eastAsia="Courier New" w:hAnsi="Courier New"/>
                <w:sz w:val="17"/>
                <w:szCs w:val="17"/>
                <w:color w:val="auto"/>
              </w:rPr>
              <w:t>2</w:t>
            </w:r>
          </w:p>
        </w:tc>
        <w:tc>
          <w:tcPr>
            <w:tcW w:w="3880" w:type="dxa"/>
            <w:vAlign w:val="bottom"/>
          </w:tcPr>
          <w:p>
            <w:pPr>
              <w:spacing w:after="0"/>
              <w:rPr>
                <w:sz w:val="24"/>
                <w:szCs w:val="24"/>
                <w:color w:val="auto"/>
              </w:rPr>
            </w:pPr>
          </w:p>
        </w:tc>
      </w:tr>
    </w:tbl>
    <w:p>
      <w:pPr>
        <w:sectPr>
          <w:pgSz w:w="11900" w:h="16838" w:orient="portrait"/>
          <w:cols w:equalWidth="0" w:num="1">
            <w:col w:w="11520"/>
          </w:cols>
          <w:pgMar w:left="240" w:top="142" w:right="139" w:bottom="1440" w:gutter="0" w:footer="0" w:header="0"/>
        </w:sectPr>
      </w:pPr>
    </w:p>
    <w:bookmarkStart w:id="2" w:name="page3"/>
    <w:bookmarkEnd w:id="2"/>
    <w:p>
      <w:pPr>
        <w:ind w:right="2439"/>
        <w:spacing w:after="0" w:line="241"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IS NOT PERMITTED.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 Subject to Completion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August 6, 1999</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COMCAST CORPORATION TRUST I</w:t>
      </w:r>
    </w:p>
    <w:p>
      <w:pPr>
        <w:spacing w:after="0" w:line="4" w:lineRule="exact"/>
        <w:rPr>
          <w:sz w:val="20"/>
          <w:szCs w:val="20"/>
          <w:color w:val="auto"/>
        </w:rPr>
      </w:pPr>
    </w:p>
    <w:p>
      <w:pPr>
        <w:ind w:left="3640" w:right="3639" w:hanging="3639"/>
        <w:spacing w:after="0" w:line="269" w:lineRule="auto"/>
        <w:tabs>
          <w:tab w:leader="none" w:pos="3620" w:val="left"/>
        </w:tabs>
        <w:rPr>
          <w:sz w:val="20"/>
          <w:szCs w:val="20"/>
          <w:color w:val="auto"/>
        </w:rPr>
      </w:pPr>
      <w:r>
        <w:rPr>
          <w:rFonts w:ascii="Courier New" w:cs="Courier New" w:eastAsia="Courier New" w:hAnsi="Courier New"/>
          <w:sz w:val="17"/>
          <w:szCs w:val="17"/>
          <w:color w:val="auto"/>
        </w:rPr>
        <w:t>$3,000,000,000</w:t>
      </w:r>
      <w:r>
        <w:rPr>
          <w:sz w:val="20"/>
          <w:szCs w:val="20"/>
          <w:color w:val="auto"/>
        </w:rPr>
        <w:tab/>
      </w:r>
      <w:r>
        <w:rPr>
          <w:rFonts w:ascii="Courier New" w:cs="Courier New" w:eastAsia="Courier New" w:hAnsi="Courier New"/>
          <w:sz w:val="16"/>
          <w:szCs w:val="16"/>
          <w:color w:val="auto"/>
        </w:rPr>
        <w:t>COMCAST CORPORATION TRUST II COMCAST CORPORATION TRUST III</w:t>
      </w:r>
    </w:p>
    <w:p>
      <w:pPr>
        <w:spacing w:after="0" w:line="175"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1500 Market Street</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(215) 665-1700</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2"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The following are types of securities that we may offer and sell under this prospectus:</w:t>
      </w:r>
    </w:p>
    <w:p>
      <w:pPr>
        <w:spacing w:after="0" w:line="392"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3580" w:type="dxa"/>
            <w:vAlign w:val="bottom"/>
          </w:tcPr>
          <w:p>
            <w:pPr>
              <w:ind w:left="100"/>
              <w:spacing w:after="0"/>
              <w:rPr>
                <w:sz w:val="20"/>
                <w:szCs w:val="20"/>
                <w:color w:val="auto"/>
              </w:rPr>
            </w:pPr>
            <w:r>
              <w:rPr>
                <w:rFonts w:ascii="Courier New" w:cs="Courier New" w:eastAsia="Courier New" w:hAnsi="Courier New"/>
                <w:sz w:val="17"/>
                <w:szCs w:val="17"/>
                <w:color w:val="auto"/>
              </w:rPr>
              <w:t>Class A common stock</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o</w:t>
            </w:r>
          </w:p>
        </w:tc>
        <w:tc>
          <w:tcPr>
            <w:tcW w:w="2920" w:type="dxa"/>
            <w:vAlign w:val="bottom"/>
          </w:tcPr>
          <w:p>
            <w:pPr>
              <w:ind w:left="100"/>
              <w:spacing w:after="0"/>
              <w:rPr>
                <w:sz w:val="20"/>
                <w:szCs w:val="20"/>
                <w:color w:val="auto"/>
              </w:rPr>
            </w:pPr>
            <w:r>
              <w:rPr>
                <w:rFonts w:ascii="Courier New" w:cs="Courier New" w:eastAsia="Courier New" w:hAnsi="Courier New"/>
                <w:sz w:val="17"/>
                <w:szCs w:val="17"/>
                <w:color w:val="auto"/>
                <w:w w:val="98"/>
              </w:rPr>
              <w:t>Class A special common stock</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3580" w:type="dxa"/>
            <w:vAlign w:val="bottom"/>
          </w:tcPr>
          <w:p>
            <w:pPr>
              <w:ind w:left="100"/>
              <w:spacing w:after="0"/>
              <w:rPr>
                <w:sz w:val="20"/>
                <w:szCs w:val="20"/>
                <w:color w:val="auto"/>
              </w:rPr>
            </w:pPr>
            <w:r>
              <w:rPr>
                <w:rFonts w:ascii="Courier New" w:cs="Courier New" w:eastAsia="Courier New" w:hAnsi="Courier New"/>
                <w:sz w:val="17"/>
                <w:szCs w:val="17"/>
                <w:color w:val="auto"/>
              </w:rPr>
              <w:t>Preferred stock</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o</w:t>
            </w:r>
          </w:p>
        </w:tc>
        <w:tc>
          <w:tcPr>
            <w:tcW w:w="2920" w:type="dxa"/>
            <w:vAlign w:val="bottom"/>
          </w:tcPr>
          <w:p>
            <w:pPr>
              <w:ind w:left="100"/>
              <w:spacing w:after="0"/>
              <w:rPr>
                <w:sz w:val="20"/>
                <w:szCs w:val="20"/>
                <w:color w:val="auto"/>
              </w:rPr>
            </w:pPr>
            <w:r>
              <w:rPr>
                <w:rFonts w:ascii="Courier New" w:cs="Courier New" w:eastAsia="Courier New" w:hAnsi="Courier New"/>
                <w:sz w:val="17"/>
                <w:szCs w:val="17"/>
                <w:color w:val="auto"/>
              </w:rPr>
              <w:t>Purchase contracts</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3580" w:type="dxa"/>
            <w:vAlign w:val="bottom"/>
          </w:tcPr>
          <w:p>
            <w:pPr>
              <w:ind w:left="100"/>
              <w:spacing w:after="0"/>
              <w:rPr>
                <w:sz w:val="20"/>
                <w:szCs w:val="20"/>
                <w:color w:val="auto"/>
              </w:rPr>
            </w:pPr>
            <w:r>
              <w:rPr>
                <w:rFonts w:ascii="Courier New" w:cs="Courier New" w:eastAsia="Courier New" w:hAnsi="Courier New"/>
                <w:sz w:val="17"/>
                <w:szCs w:val="17"/>
                <w:color w:val="auto"/>
              </w:rPr>
              <w:t>Unsecured senior debt securities</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o</w:t>
            </w:r>
          </w:p>
        </w:tc>
        <w:tc>
          <w:tcPr>
            <w:tcW w:w="2920" w:type="dxa"/>
            <w:vAlign w:val="bottom"/>
          </w:tcPr>
          <w:p>
            <w:pPr>
              <w:ind w:left="100"/>
              <w:spacing w:after="0"/>
              <w:rPr>
                <w:sz w:val="20"/>
                <w:szCs w:val="20"/>
                <w:color w:val="auto"/>
              </w:rPr>
            </w:pPr>
            <w:r>
              <w:rPr>
                <w:rFonts w:ascii="Courier New" w:cs="Courier New" w:eastAsia="Courier New" w:hAnsi="Courier New"/>
                <w:sz w:val="17"/>
                <w:szCs w:val="17"/>
                <w:color w:val="auto"/>
              </w:rPr>
              <w:t>Depositary shares</w:t>
            </w:r>
          </w:p>
        </w:tc>
      </w:tr>
    </w:tbl>
    <w:p>
      <w:pPr>
        <w:spacing w:after="0" w:line="4" w:lineRule="exact"/>
        <w:rPr>
          <w:sz w:val="20"/>
          <w:szCs w:val="20"/>
          <w:color w:val="auto"/>
        </w:rPr>
      </w:pPr>
    </w:p>
    <w:p>
      <w:pPr>
        <w:ind w:left="720" w:right="6779" w:hanging="312"/>
        <w:spacing w:after="0" w:line="239" w:lineRule="auto"/>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Unsecured subordinated debt securities</w:t>
      </w:r>
    </w:p>
    <w:p>
      <w:pPr>
        <w:spacing w:after="0" w:line="3" w:lineRule="exact"/>
        <w:rPr>
          <w:rFonts w:ascii="Courier New" w:cs="Courier New" w:eastAsia="Courier New" w:hAnsi="Courier New"/>
          <w:sz w:val="17"/>
          <w:szCs w:val="17"/>
          <w:color w:val="auto"/>
        </w:rPr>
      </w:pPr>
    </w:p>
    <w:p>
      <w:pPr>
        <w:ind w:left="720" w:hanging="312"/>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Warrants</w:t>
      </w:r>
    </w:p>
    <w:p>
      <w:pPr>
        <w:spacing w:after="0" w:line="1" w:lineRule="exact"/>
        <w:rPr>
          <w:rFonts w:ascii="Courier New" w:cs="Courier New" w:eastAsia="Courier New" w:hAnsi="Courier New"/>
          <w:sz w:val="17"/>
          <w:szCs w:val="17"/>
          <w:color w:val="auto"/>
        </w:rPr>
      </w:pPr>
    </w:p>
    <w:p>
      <w:pPr>
        <w:ind w:left="720" w:hanging="312"/>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Units</w:t>
      </w:r>
    </w:p>
    <w:p>
      <w:pPr>
        <w:spacing w:after="0" w:line="393" w:lineRule="exact"/>
        <w:rPr>
          <w:sz w:val="20"/>
          <w:szCs w:val="20"/>
          <w:color w:val="auto"/>
        </w:rPr>
      </w:pPr>
    </w:p>
    <w:p>
      <w:pPr>
        <w:ind w:right="2319" w:firstLine="404"/>
        <w:spacing w:after="0" w:line="239" w:lineRule="auto"/>
        <w:rPr>
          <w:sz w:val="20"/>
          <w:szCs w:val="20"/>
          <w:color w:val="auto"/>
        </w:rPr>
      </w:pPr>
      <w:r>
        <w:rPr>
          <w:rFonts w:ascii="Courier New" w:cs="Courier New" w:eastAsia="Courier New" w:hAnsi="Courier New"/>
          <w:sz w:val="17"/>
          <w:szCs w:val="17"/>
          <w:color w:val="auto"/>
        </w:rPr>
        <w:t>In addition, we, in conjunction with our newly created trust subsidiaries, may offer and sell:</w:t>
      </w:r>
    </w:p>
    <w:p>
      <w:pPr>
        <w:spacing w:after="0" w:line="392" w:lineRule="exact"/>
        <w:rPr>
          <w:sz w:val="20"/>
          <w:szCs w:val="20"/>
          <w:color w:val="auto"/>
        </w:rPr>
      </w:pPr>
    </w:p>
    <w:p>
      <w:pPr>
        <w:ind w:left="820" w:hanging="412"/>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Guaranteed trust preferred securities and guarantees thereof</w:t>
      </w:r>
    </w:p>
    <w:p>
      <w:pPr>
        <w:spacing w:after="0" w:line="199" w:lineRule="exact"/>
        <w:rPr>
          <w:sz w:val="20"/>
          <w:szCs w:val="20"/>
          <w:color w:val="auto"/>
        </w:rPr>
      </w:pPr>
    </w:p>
    <w:p>
      <w:pPr>
        <w:ind w:right="2739" w:firstLine="404"/>
        <w:spacing w:after="0"/>
        <w:rPr>
          <w:sz w:val="20"/>
          <w:szCs w:val="20"/>
          <w:color w:val="auto"/>
        </w:rPr>
      </w:pPr>
      <w:r>
        <w:rPr>
          <w:rFonts w:ascii="Courier New" w:cs="Courier New" w:eastAsia="Courier New" w:hAnsi="Courier New"/>
          <w:sz w:val="17"/>
          <w:szCs w:val="17"/>
          <w:color w:val="auto"/>
        </w:rPr>
        <w:t>We will describe in a prospectus supplement, which must accompany this prospectus, the securities we are offering and selling, as well as the specific terms of the securities. Those terms may include:</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Maturity</w:t>
            </w:r>
          </w:p>
        </w:tc>
        <w:tc>
          <w:tcPr>
            <w:tcW w:w="1060" w:type="dxa"/>
            <w:vAlign w:val="bottom"/>
          </w:tcPr>
          <w:p>
            <w:pPr>
              <w:ind w:left="860"/>
              <w:spacing w:after="0"/>
              <w:rPr>
                <w:sz w:val="20"/>
                <w:szCs w:val="20"/>
                <w:color w:val="auto"/>
              </w:rPr>
            </w:pPr>
            <w:r>
              <w:rPr>
                <w:rFonts w:ascii="Courier New" w:cs="Courier New" w:eastAsia="Courier New" w:hAnsi="Courier New"/>
                <w:sz w:val="17"/>
                <w:szCs w:val="17"/>
                <w:color w:val="auto"/>
              </w:rPr>
              <w:t>o</w:t>
            </w:r>
          </w:p>
        </w:tc>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Redemption</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terms</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Interest rate</w:t>
            </w:r>
          </w:p>
        </w:tc>
        <w:tc>
          <w:tcPr>
            <w:tcW w:w="1060" w:type="dxa"/>
            <w:vAlign w:val="bottom"/>
          </w:tcPr>
          <w:p>
            <w:pPr>
              <w:ind w:left="860"/>
              <w:spacing w:after="0"/>
              <w:rPr>
                <w:sz w:val="20"/>
                <w:szCs w:val="20"/>
                <w:color w:val="auto"/>
              </w:rPr>
            </w:pPr>
            <w:r>
              <w:rPr>
                <w:rFonts w:ascii="Courier New" w:cs="Courier New" w:eastAsia="Courier New" w:hAnsi="Courier New"/>
                <w:sz w:val="17"/>
                <w:szCs w:val="17"/>
                <w:color w:val="auto"/>
              </w:rPr>
              <w:t>o</w:t>
            </w:r>
          </w:p>
        </w:tc>
        <w:tc>
          <w:tcPr>
            <w:tcW w:w="33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Listing on a securities exchange</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Sinking fund terms</w:t>
            </w:r>
          </w:p>
        </w:tc>
        <w:tc>
          <w:tcPr>
            <w:tcW w:w="1060" w:type="dxa"/>
            <w:vAlign w:val="bottom"/>
          </w:tcPr>
          <w:p>
            <w:pPr>
              <w:ind w:left="860"/>
              <w:spacing w:after="0"/>
              <w:rPr>
                <w:sz w:val="20"/>
                <w:szCs w:val="20"/>
                <w:color w:val="auto"/>
              </w:rPr>
            </w:pPr>
            <w:r>
              <w:rPr>
                <w:rFonts w:ascii="Courier New" w:cs="Courier New" w:eastAsia="Courier New" w:hAnsi="Courier New"/>
                <w:sz w:val="17"/>
                <w:szCs w:val="17"/>
                <w:color w:val="auto"/>
              </w:rPr>
              <w:t>o</w:t>
            </w:r>
          </w:p>
        </w:tc>
        <w:tc>
          <w:tcPr>
            <w:tcW w:w="3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Amount payable at maturity</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Currency of payments</w:t>
            </w:r>
          </w:p>
        </w:tc>
        <w:tc>
          <w:tcPr>
            <w:tcW w:w="1060" w:type="dxa"/>
            <w:vAlign w:val="bottom"/>
          </w:tcPr>
          <w:p>
            <w:pPr>
              <w:ind w:left="860"/>
              <w:spacing w:after="0"/>
              <w:rPr>
                <w:sz w:val="20"/>
                <w:szCs w:val="20"/>
                <w:color w:val="auto"/>
              </w:rPr>
            </w:pPr>
            <w:r>
              <w:rPr>
                <w:rFonts w:ascii="Courier New" w:cs="Courier New" w:eastAsia="Courier New" w:hAnsi="Courier New"/>
                <w:sz w:val="17"/>
                <w:szCs w:val="17"/>
                <w:color w:val="auto"/>
              </w:rPr>
              <w:t>o</w:t>
            </w:r>
          </w:p>
        </w:tc>
        <w:tc>
          <w:tcPr>
            <w:tcW w:w="3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Conversion or exchange rights</w:t>
            </w:r>
          </w:p>
        </w:tc>
      </w:tr>
      <w:tr>
        <w:trPr>
          <w:trHeight w:val="194"/>
        </w:trPr>
        <w:tc>
          <w:tcPr>
            <w:tcW w:w="220" w:type="dxa"/>
            <w:vAlign w:val="bottom"/>
          </w:tcPr>
          <w:p>
            <w:pPr>
              <w:spacing w:after="0"/>
              <w:rPr>
                <w:sz w:val="20"/>
                <w:szCs w:val="20"/>
                <w:color w:val="auto"/>
              </w:rPr>
            </w:pPr>
            <w:r>
              <w:rPr>
                <w:rFonts w:ascii="Courier New" w:cs="Courier New" w:eastAsia="Courier New" w:hAnsi="Courier New"/>
                <w:sz w:val="17"/>
                <w:szCs w:val="17"/>
                <w:color w:val="auto"/>
              </w:rPr>
              <w:t>o</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Dividends</w:t>
            </w:r>
          </w:p>
        </w:tc>
        <w:tc>
          <w:tcPr>
            <w:tcW w:w="1060" w:type="dxa"/>
            <w:vAlign w:val="bottom"/>
          </w:tcPr>
          <w:p>
            <w:pPr>
              <w:ind w:left="860"/>
              <w:spacing w:after="0"/>
              <w:rPr>
                <w:sz w:val="20"/>
                <w:szCs w:val="20"/>
                <w:color w:val="auto"/>
              </w:rPr>
            </w:pPr>
            <w:r>
              <w:rPr>
                <w:rFonts w:ascii="Courier New" w:cs="Courier New" w:eastAsia="Courier New" w:hAnsi="Courier New"/>
                <w:sz w:val="17"/>
                <w:szCs w:val="17"/>
                <w:color w:val="auto"/>
              </w:rPr>
              <w:t>o</w:t>
            </w:r>
          </w:p>
        </w:tc>
        <w:tc>
          <w:tcPr>
            <w:tcW w:w="3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Liquidation amount</w:t>
            </w:r>
          </w:p>
        </w:tc>
      </w:tr>
    </w:tbl>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8" w:lineRule="exact"/>
        <w:rPr>
          <w:sz w:val="20"/>
          <w:szCs w:val="20"/>
          <w:color w:val="auto"/>
        </w:rPr>
      </w:pPr>
    </w:p>
    <w:p>
      <w:pPr>
        <w:ind w:right="2639" w:firstLine="404"/>
        <w:spacing w:after="0" w:line="239" w:lineRule="auto"/>
        <w:rPr>
          <w:sz w:val="20"/>
          <w:szCs w:val="20"/>
          <w:color w:val="auto"/>
        </w:rPr>
      </w:pPr>
      <w:r>
        <w:rPr>
          <w:rFonts w:ascii="Courier New" w:cs="Courier New" w:eastAsia="Courier New" w:hAnsi="Courier New"/>
          <w:sz w:val="17"/>
          <w:szCs w:val="17"/>
          <w:color w:val="auto"/>
        </w:rPr>
        <w:t>Investing in the securities involves risks that are described under the caption "Risk Factors" beginning on page 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8"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8" w:lineRule="exact"/>
        <w:rPr>
          <w:sz w:val="20"/>
          <w:szCs w:val="20"/>
          <w:color w:val="auto"/>
        </w:rPr>
      </w:pPr>
    </w:p>
    <w:p>
      <w:pPr>
        <w:ind w:right="2319" w:firstLine="404"/>
        <w:spacing w:after="0" w:line="260" w:lineRule="auto"/>
        <w:rPr>
          <w:sz w:val="20"/>
          <w:szCs w:val="20"/>
          <w:color w:val="auto"/>
        </w:rPr>
      </w:pPr>
      <w:r>
        <w:rPr>
          <w:rFonts w:ascii="Courier New" w:cs="Courier New" w:eastAsia="Courier New" w:hAnsi="Courier New"/>
          <w:sz w:val="16"/>
          <w:szCs w:val="16"/>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___, 1999.</w:t>
      </w:r>
    </w:p>
    <w:p>
      <w:pPr>
        <w:sectPr>
          <w:pgSz w:w="11900" w:h="16838" w:orient="portrait"/>
          <w:cols w:equalWidth="0" w:num="1">
            <w:col w:w="10219"/>
          </w:cols>
          <w:pgMar w:left="240" w:top="1088" w:right="1440" w:bottom="80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16"/>
                <w:szCs w:val="16"/>
                <w:color w:val="auto"/>
              </w:rPr>
            </w:pPr>
          </w:p>
        </w:tc>
        <w:tc>
          <w:tcPr>
            <w:tcW w:w="6260" w:type="dxa"/>
            <w:vAlign w:val="bottom"/>
          </w:tcPr>
          <w:p>
            <w:pPr>
              <w:ind w:left="1620"/>
              <w:spacing w:after="0"/>
              <w:rPr>
                <w:sz w:val="20"/>
                <w:szCs w:val="20"/>
                <w:color w:val="auto"/>
              </w:rPr>
            </w:pPr>
            <w:r>
              <w:rPr>
                <w:rFonts w:ascii="Courier New" w:cs="Courier New" w:eastAsia="Courier New" w:hAnsi="Courier New"/>
                <w:sz w:val="17"/>
                <w:szCs w:val="17"/>
                <w:color w:val="auto"/>
              </w:rPr>
              <w:t>TABLE OF CONTENTS</w:t>
            </w:r>
          </w:p>
        </w:tc>
        <w:tc>
          <w:tcPr>
            <w:tcW w:w="220" w:type="dxa"/>
            <w:vAlign w:val="bottom"/>
          </w:tcPr>
          <w:p>
            <w:pPr>
              <w:spacing w:after="0"/>
              <w:rPr>
                <w:sz w:val="16"/>
                <w:szCs w:val="16"/>
                <w:color w:val="auto"/>
              </w:rPr>
            </w:pPr>
          </w:p>
        </w:tc>
      </w:tr>
      <w:tr>
        <w:trPr>
          <w:trHeight w:val="389"/>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7"/>
              </w:rPr>
              <w:t>Risk Factors..................................................................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7"/>
              </w:rPr>
              <w:t>Comcast Corporation...........................................................</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7"/>
              </w:rPr>
              <w:t>Trust Subsidiaries............................................................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w w:val="98"/>
              </w:rPr>
              <w:t>Use of Proceeds</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w w:val="98"/>
              </w:rPr>
              <w:t>Dividend Policy</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rPr>
              <w:t>Ratio of Earnings to Fixed Charges and to Combined Fixed Charges and</w:t>
            </w:r>
          </w:p>
        </w:tc>
        <w:tc>
          <w:tcPr>
            <w:tcW w:w="220" w:type="dxa"/>
            <w:vAlign w:val="bottom"/>
          </w:tcPr>
          <w:p>
            <w:pPr>
              <w:spacing w:after="0"/>
              <w:rPr>
                <w:sz w:val="16"/>
                <w:szCs w:val="16"/>
                <w:color w:val="auto"/>
              </w:rPr>
            </w:pPr>
          </w:p>
        </w:tc>
      </w:tr>
      <w:tr>
        <w:trPr>
          <w:trHeight w:val="194"/>
        </w:trPr>
        <w:tc>
          <w:tcPr>
            <w:tcW w:w="1520" w:type="dxa"/>
            <w:vAlign w:val="bottom"/>
          </w:tcPr>
          <w:p>
            <w:pPr>
              <w:ind w:left="500"/>
              <w:spacing w:after="0"/>
              <w:rPr>
                <w:sz w:val="20"/>
                <w:szCs w:val="20"/>
                <w:color w:val="auto"/>
              </w:rPr>
            </w:pPr>
            <w:r>
              <w:rPr>
                <w:rFonts w:ascii="Courier New" w:cs="Courier New" w:eastAsia="Courier New" w:hAnsi="Courier New"/>
                <w:sz w:val="17"/>
                <w:szCs w:val="17"/>
                <w:color w:val="auto"/>
              </w:rPr>
              <w:t>Preferred</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7"/>
              </w:rPr>
              <w:t>Stock Dividends................................................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7"/>
              </w:rPr>
              <w:t>the Senior Debt Securities and Subordinated Debt Securities....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Warrants......................................................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19</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Purchase Contracts............................................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20</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Units.........................................................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20</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the Guaranteed Trust Preferred Securities.....................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20</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the Guaranteed Trust Preferred Securities Guarantees..........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22</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Global Securities............................................................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25</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Preferred Stock...............................................</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26</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Depositary Shares.............................................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27</w:t>
            </w:r>
          </w:p>
        </w:tc>
      </w:t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Description of</w:t>
            </w:r>
          </w:p>
        </w:tc>
        <w:tc>
          <w:tcPr>
            <w:tcW w:w="6260" w:type="dxa"/>
            <w:vAlign w:val="bottom"/>
          </w:tcPr>
          <w:p>
            <w:pPr>
              <w:spacing w:after="0"/>
              <w:rPr>
                <w:sz w:val="20"/>
                <w:szCs w:val="20"/>
                <w:color w:val="auto"/>
              </w:rPr>
            </w:pPr>
            <w:r>
              <w:rPr>
                <w:rFonts w:ascii="Courier New" w:cs="Courier New" w:eastAsia="Courier New" w:hAnsi="Courier New"/>
                <w:sz w:val="17"/>
                <w:szCs w:val="17"/>
                <w:color w:val="auto"/>
                <w:w w:val="98"/>
              </w:rPr>
              <w:t>Common Stock..................................................</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29</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Plan of Distribution.........................................................</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Legal Matters................................................................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Experts......................................................................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32</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Available Information........................................................</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32</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w w:val="98"/>
              </w:rPr>
              <w:t>Incorporation of Certain Documents by Reference..............................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33</w:t>
            </w:r>
          </w:p>
        </w:tc>
      </w:tr>
    </w:tbl>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539" w:firstLine="505"/>
        <w:spacing w:after="0" w:line="261" w:lineRule="auto"/>
        <w:rPr>
          <w:sz w:val="20"/>
          <w:szCs w:val="20"/>
          <w:color w:val="auto"/>
        </w:rPr>
      </w:pPr>
      <w:r>
        <w:rPr>
          <w:rFonts w:ascii="Courier New" w:cs="Courier New" w:eastAsia="Courier New" w:hAnsi="Courier New"/>
          <w:sz w:val="16"/>
          <w:szCs w:val="16"/>
          <w:color w:val="auto"/>
        </w:rPr>
        <w:t>We are a Pennsylvania corporation and have an office at 1500 Market Street, Philadelphia, Pennsylvania 19102-2148. Our telephone number is (215) 665-1700. We also have a world wide web site at http://www.comcast.com. The information posted at our web site is not incorporated into this prospectus.</w:t>
      </w:r>
    </w:p>
    <w:p>
      <w:pPr>
        <w:spacing w:after="0" w:line="184"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20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You should rely only on the information contained in this prospectus, in the accompanying prospectus supplement and in material we file with the Securities and Exchange Commission.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086" w:right="1440" w:bottom="144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7"/>
          <w:szCs w:val="17"/>
          <w:color w:val="auto"/>
        </w:rPr>
        <w:t>RISK FACTORS</w:t>
      </w:r>
    </w:p>
    <w:p>
      <w:pPr>
        <w:spacing w:after="0" w:line="199"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You should carefully review the information contained in this Prospectus, but should particularly consider the following matters.</w:t>
      </w:r>
    </w:p>
    <w:p>
      <w:pPr>
        <w:spacing w:after="0" w:line="394"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Our Ability to Successfully Integrate Our New Cable Communications Operations Will Affect Our Future Results</w:t>
      </w:r>
    </w:p>
    <w:p>
      <w:pPr>
        <w:spacing w:after="0" w:line="200"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April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 We cannot provide assurances that we will be able to successfully integrate those new systems and employees into our existing operations.</w:t>
      </w:r>
    </w:p>
    <w:p>
      <w:pPr>
        <w:spacing w:after="0" w:line="198" w:lineRule="exact"/>
        <w:rPr>
          <w:sz w:val="20"/>
          <w:szCs w:val="20"/>
          <w:color w:val="auto"/>
        </w:rPr>
      </w:pPr>
    </w:p>
    <w:p>
      <w:pPr>
        <w:ind w:right="3239"/>
        <w:spacing w:after="0"/>
        <w:rPr>
          <w:sz w:val="20"/>
          <w:szCs w:val="20"/>
          <w:color w:val="auto"/>
        </w:rPr>
      </w:pPr>
      <w:r>
        <w:rPr>
          <w:rFonts w:ascii="Courier New" w:cs="Courier New" w:eastAsia="Courier New" w:hAnsi="Courier New"/>
          <w:sz w:val="17"/>
          <w:szCs w:val="17"/>
          <w:color w:val="auto"/>
        </w:rPr>
        <w:t>Our Ability to Pay Our Obligations, Including Our Obligation to Pay Holders of Our Securities, is Dependent Upon Payments That We Receive from Our Subsidiaries.</w:t>
      </w:r>
    </w:p>
    <w:p>
      <w:pPr>
        <w:spacing w:after="0" w:line="395" w:lineRule="exact"/>
        <w:rPr>
          <w:sz w:val="20"/>
          <w:szCs w:val="20"/>
          <w:color w:val="auto"/>
        </w:rPr>
      </w:pPr>
    </w:p>
    <w:p>
      <w:pPr>
        <w:jc w:val="both"/>
        <w:ind w:right="2539" w:firstLine="505"/>
        <w:spacing w:after="0" w:line="241" w:lineRule="auto"/>
        <w:rPr>
          <w:sz w:val="20"/>
          <w:szCs w:val="20"/>
          <w:color w:val="auto"/>
        </w:rPr>
      </w:pPr>
      <w:r>
        <w:rPr>
          <w:rFonts w:ascii="Courier New" w:cs="Courier New" w:eastAsia="Courier New" w:hAnsi="Courier New"/>
          <w:sz w:val="17"/>
          <w:szCs w:val="17"/>
          <w:color w:val="auto"/>
        </w:rPr>
        <w:t>We are a holding company, which means that we conduct substantially all of our operations through subsidiaries. Our ability to pay our obligations, including our obligation to make payments on the securities we are offering, depends upon our subsidiaries:</w:t>
      </w:r>
    </w:p>
    <w:p>
      <w:pPr>
        <w:spacing w:after="0" w:line="199" w:lineRule="exact"/>
        <w:rPr>
          <w:sz w:val="20"/>
          <w:szCs w:val="20"/>
          <w:color w:val="auto"/>
        </w:rPr>
      </w:pPr>
    </w:p>
    <w:p>
      <w:pPr>
        <w:ind w:right="3239" w:firstLine="509"/>
        <w:spacing w:after="0" w:line="239" w:lineRule="auto"/>
        <w:tabs>
          <w:tab w:leader="none" w:pos="10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paying us management fees under the terms of our management agreements with the subsidiaries;</w:t>
      </w:r>
    </w:p>
    <w:p>
      <w:pPr>
        <w:spacing w:after="0" w:line="199" w:lineRule="exact"/>
        <w:rPr>
          <w:rFonts w:ascii="Courier New" w:cs="Courier New" w:eastAsia="Courier New" w:hAnsi="Courier New"/>
          <w:sz w:val="17"/>
          <w:szCs w:val="17"/>
          <w:color w:val="auto"/>
        </w:rPr>
      </w:pPr>
    </w:p>
    <w:p>
      <w:pPr>
        <w:ind w:right="2219" w:firstLine="509"/>
        <w:spacing w:after="0" w:line="241" w:lineRule="auto"/>
        <w:tabs>
          <w:tab w:leader="none" w:pos="10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paying us for programming on a basis which generally approximates the amount each such subsidiary would be charged if it purchased such programming directly from the supplier and did not benefit from our consolidated operations;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repaying investments and advances we have made to them; or</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and their distributing those earnings to us.</w:t>
      </w:r>
    </w:p>
    <w:p>
      <w:pPr>
        <w:spacing w:after="0" w:line="199"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Our subsidiaries are separate and distinct legal entities and have no obligation whatsoever to pay any amounts due on the securities we are offering or to make funds available to us. Our subsidiaries' ability to pay dividends or make other payments or advances to us will depend upon their operating results and will be subject to applicable laws and contractual restrictions. Some of our subsidiaries' loan agreements require them to maintain certain financial ratios and restrict their ability to make dividends, pay management fees and advance funds to affiliated entities, including us.</w:t>
      </w:r>
    </w:p>
    <w:p>
      <w:pPr>
        <w:spacing w:after="0" w:line="38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Our debt securities and our trust subsidiaries' guaranteed trust preferred securities will be effectively subordinated to all our subsidiaries' liabilities, including their trade payables and the liquidation value of their preferred stock. This means that our subsidiaries must pay their trade creditors and preferred stockholders in full before their assets are available to us to pay you. In addition, even if we are a creditor of one of our subsidiaries, our claim would be subordinated to any security interest in its assets and to any of its indebtedness.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Face a Wide Range of Competition in Areas Served by Our Cable Systems</w:t>
      </w:r>
    </w:p>
    <w:p>
      <w:pPr>
        <w:spacing w:after="0" w:line="393" w:lineRule="exact"/>
        <w:rPr>
          <w:sz w:val="20"/>
          <w:szCs w:val="20"/>
          <w:color w:val="auto"/>
        </w:rPr>
      </w:pPr>
    </w:p>
    <w:p>
      <w:pPr>
        <w:jc w:val="both"/>
        <w:ind w:right="2939" w:firstLine="505"/>
        <w:spacing w:after="0"/>
        <w:rPr>
          <w:sz w:val="20"/>
          <w:szCs w:val="20"/>
          <w:color w:val="auto"/>
        </w:rPr>
      </w:pPr>
      <w:r>
        <w:rPr>
          <w:rFonts w:ascii="Courier New" w:cs="Courier New" w:eastAsia="Courier New" w:hAnsi="Courier New"/>
          <w:sz w:val="17"/>
          <w:szCs w:val="17"/>
          <w:color w:val="auto"/>
        </w:rPr>
        <w:t>Our cable communications systems compete with a number of different sources which provide news, information and entertainment programming to consumers, including:</w:t>
      </w:r>
    </w:p>
    <w:p>
      <w:pPr>
        <w:spacing w:after="0" w:line="200" w:lineRule="exact"/>
        <w:rPr>
          <w:sz w:val="20"/>
          <w:szCs w:val="20"/>
          <w:color w:val="auto"/>
        </w:rPr>
      </w:pPr>
    </w:p>
    <w:p>
      <w:pPr>
        <w:ind w:right="2319" w:firstLine="509"/>
        <w:spacing w:after="0" w:line="269" w:lineRule="auto"/>
        <w:tabs>
          <w:tab w:leader="none" w:pos="10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television broadcast stations that provide off-air programming which can be received using a roof-top antenna and television set;</w:t>
      </w:r>
    </w:p>
    <w:p>
      <w:pPr>
        <w:spacing w:after="0" w:line="371" w:lineRule="exact"/>
        <w:rPr>
          <w:rFonts w:ascii="Courier New" w:cs="Courier New" w:eastAsia="Courier New" w:hAnsi="Courier New"/>
          <w:sz w:val="16"/>
          <w:szCs w:val="16"/>
          <w:color w:val="auto"/>
        </w:rPr>
      </w:pPr>
    </w:p>
    <w:p>
      <w:pPr>
        <w:ind w:right="2219" w:firstLine="509"/>
        <w:spacing w:after="0"/>
        <w:tabs>
          <w:tab w:leader="none" w:pos="101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program distributors that transmit satellite signals containing video programming, data and other information to receiving dishes of varying sizes located on the subscriber's premises, commonly known as DBS;</w:t>
      </w:r>
    </w:p>
    <w:p>
      <w:pPr>
        <w:sectPr>
          <w:pgSz w:w="11900" w:h="16838" w:orient="portrait"/>
          <w:cols w:equalWidth="0" w:num="1">
            <w:col w:w="10219"/>
          </w:cols>
          <w:pgMar w:left="240" w:top="1086" w:right="1440" w:bottom="218"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sectPr>
      </w:pPr>
    </w:p>
    <w:bookmarkStart w:id="6" w:name="page7"/>
    <w:bookmarkEnd w:id="6"/>
    <w:p>
      <w:pPr>
        <w:spacing w:after="0" w:line="2" w:lineRule="exact"/>
        <w:rPr>
          <w:sz w:val="20"/>
          <w:szCs w:val="20"/>
          <w:color w:val="auto"/>
        </w:rPr>
      </w:pPr>
    </w:p>
    <w:p>
      <w:pPr>
        <w:ind w:right="2219" w:firstLine="509"/>
        <w:spacing w:after="0" w:line="269" w:lineRule="auto"/>
        <w:tabs>
          <w:tab w:leader="none" w:pos="10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cable operators who build and operate cable systems in the same communities that we serve, commonly known as broadband/ wireline competitors;</w:t>
      </w:r>
    </w:p>
    <w:p>
      <w:pPr>
        <w:spacing w:after="0" w:line="371" w:lineRule="exact"/>
        <w:rPr>
          <w:rFonts w:ascii="Courier New" w:cs="Courier New" w:eastAsia="Courier New" w:hAnsi="Courier New"/>
          <w:sz w:val="16"/>
          <w:szCs w:val="16"/>
          <w:color w:val="auto"/>
        </w:rPr>
      </w:pPr>
    </w:p>
    <w:p>
      <w:pPr>
        <w:ind w:right="2219" w:firstLine="509"/>
        <w:spacing w:after="0"/>
        <w:tabs>
          <w:tab w:leader="none" w:pos="10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satellite master antenna television systems, commonly known as SMATV, which generally serve condominiums, apartment and office complexes and residential developments;</w:t>
      </w:r>
    </w:p>
    <w:p>
      <w:pPr>
        <w:spacing w:after="0" w:line="200" w:lineRule="exact"/>
        <w:rPr>
          <w:rFonts w:ascii="Courier New" w:cs="Courier New" w:eastAsia="Courier New" w:hAnsi="Courier New"/>
          <w:sz w:val="17"/>
          <w:szCs w:val="17"/>
          <w:color w:val="auto"/>
        </w:rPr>
      </w:pPr>
    </w:p>
    <w:p>
      <w:pPr>
        <w:ind w:right="2539" w:firstLine="509"/>
        <w:spacing w:after="0" w:line="241" w:lineRule="auto"/>
        <w:tabs>
          <w:tab w:leader="none" w:pos="10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multichannel, multipoint distribution service operators, commonly known as MMDS or wireless cable operators, which use low-power microwave frequencies to transmit video programming and other information over-the-air to subscribers;</w:t>
      </w:r>
    </w:p>
    <w:p>
      <w:pPr>
        <w:spacing w:after="0" w:line="393" w:lineRule="exact"/>
        <w:rPr>
          <w:rFonts w:ascii="Courier New" w:cs="Courier New" w:eastAsia="Courier New" w:hAnsi="Courier New"/>
          <w:sz w:val="17"/>
          <w:szCs w:val="17"/>
          <w:color w:val="auto"/>
        </w:rPr>
      </w:pPr>
    </w:p>
    <w:p>
      <w:pPr>
        <w:ind w:right="2839" w:firstLine="509"/>
        <w:spacing w:after="0" w:line="239" w:lineRule="auto"/>
        <w:tabs>
          <w:tab w:leader="none" w:pos="10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interactive online computer services including Internet service providers, commonly known as ISPs;</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newspapers, magazines and book stores;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movie theaters;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live concerts and sporting events; and</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home video products, including videotape cassette recorders.</w:t>
      </w:r>
    </w:p>
    <w:p>
      <w:pPr>
        <w:spacing w:after="0" w:line="199" w:lineRule="exact"/>
        <w:rPr>
          <w:sz w:val="20"/>
          <w:szCs w:val="20"/>
          <w:color w:val="auto"/>
        </w:rPr>
      </w:pPr>
    </w:p>
    <w:p>
      <w:pPr>
        <w:ind w:right="2439" w:firstLine="505"/>
        <w:spacing w:after="0" w:line="263" w:lineRule="auto"/>
        <w:rPr>
          <w:sz w:val="20"/>
          <w:szCs w:val="20"/>
          <w:color w:val="auto"/>
        </w:rPr>
      </w:pPr>
      <w:r>
        <w:rPr>
          <w:rFonts w:ascii="Courier New" w:cs="Courier New" w:eastAsia="Courier New" w:hAnsi="Courier New"/>
          <w:sz w:val="16"/>
          <w:szCs w:val="16"/>
          <w:color w:val="auto"/>
        </w:rPr>
        <w:t>In addition, federal law now allows local telephone companies to provide directly to subscribers a wide variety of services that are competitive with our cable communications services. Some local telephone companies:</w:t>
      </w:r>
    </w:p>
    <w:p>
      <w:pPr>
        <w:spacing w:after="0" w:line="376" w:lineRule="exact"/>
        <w:rPr>
          <w:sz w:val="20"/>
          <w:szCs w:val="20"/>
          <w:color w:val="auto"/>
        </w:rPr>
      </w:pPr>
    </w:p>
    <w:p>
      <w:pPr>
        <w:ind w:right="2639" w:firstLine="509"/>
        <w:spacing w:after="0" w:line="263" w:lineRule="auto"/>
        <w:tabs>
          <w:tab w:leader="none" w:pos="101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video services within and outside their telephone service areas through a variety of methods, including broadband cable networks, satellite program distribution and wireless transmission facilities; or</w:t>
      </w:r>
    </w:p>
    <w:p>
      <w:pPr>
        <w:spacing w:after="0" w:line="181" w:lineRule="exact"/>
        <w:rPr>
          <w:rFonts w:ascii="Courier New" w:cs="Courier New" w:eastAsia="Courier New" w:hAnsi="Courier New"/>
          <w:sz w:val="16"/>
          <w:szCs w:val="16"/>
          <w:color w:val="auto"/>
        </w:rPr>
      </w:pPr>
    </w:p>
    <w:p>
      <w:pPr>
        <w:ind w:right="2539" w:firstLine="509"/>
        <w:spacing w:after="0" w:line="239" w:lineRule="auto"/>
        <w:tabs>
          <w:tab w:leader="none" w:pos="101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announced plans to construct and operate cable communications systems in various states.</w:t>
      </w:r>
    </w:p>
    <w:p>
      <w:pPr>
        <w:spacing w:after="0" w:line="394"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Recently, a number of companies, including telephone companies and ISPs have requested local authorities and the FCC to require cable operators to provide open access to cable's broadband infrastructure so that these companies may deliver Internet services directly to customers over cable facilities. In response, several local jurisdictions attempted to impose open access obligations on several cable operators. Various cable companies, including Comcast, have initiated litigation challenging municipal open access requirements. Franchise renewals, transfers, and cable system operations could become more difficult if the open access issue is not resolved in favor of cable operators.</w:t>
      </w:r>
    </w:p>
    <w:p>
      <w:pPr>
        <w:spacing w:after="0" w:line="392" w:lineRule="exact"/>
        <w:rPr>
          <w:sz w:val="20"/>
          <w:szCs w:val="20"/>
          <w:color w:val="auto"/>
        </w:rPr>
      </w:pPr>
    </w:p>
    <w:p>
      <w:pPr>
        <w:ind w:right="2319" w:firstLine="607"/>
        <w:spacing w:after="0" w:line="242" w:lineRule="auto"/>
        <w:rPr>
          <w:sz w:val="20"/>
          <w:szCs w:val="20"/>
          <w:color w:val="auto"/>
        </w:rPr>
      </w:pPr>
      <w:r>
        <w:rPr>
          <w:rFonts w:ascii="Courier New" w:cs="Courier New" w:eastAsia="Courier New" w:hAnsi="Courier New"/>
          <w:sz w:val="17"/>
          <w:szCs w:val="17"/>
          <w:color w:val="auto"/>
        </w:rPr>
        <w:t>The deployment of Digital Subscriber Line technology, known as DSL, will allow Internet access to subscribers at data transmission speeds equal to or greater than that of modems over conventional telephone lines. Several telephone companies are introducing DSL service. The FCC initiated an administrative proceeding to consider its authority and rules to facilitate the deployment of advanced communications services, including high-speed broadband services and interactive online services. We are unable to predict the ultimate outcome of any FCC proceeding, the likelihood of success of the online services offered by our competitors or the impact on our business and operations of these competitive ventures.</w:t>
      </w:r>
    </w:p>
    <w:p>
      <w:pPr>
        <w:spacing w:after="0" w:line="197"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expect advances in communications technology, as well as changes in the marketplace and the regulatory and legislative environment to occur in the future.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Cost of Providing Programming May Increase in the Future</w:t>
      </w:r>
    </w:p>
    <w:p>
      <w:pPr>
        <w:spacing w:after="0" w:line="393" w:lineRule="exact"/>
        <w:rPr>
          <w:sz w:val="20"/>
          <w:szCs w:val="20"/>
          <w:color w:val="auto"/>
        </w:rPr>
      </w:pPr>
    </w:p>
    <w:p>
      <w:pPr>
        <w:jc w:val="both"/>
        <w:ind w:right="2739" w:firstLine="505"/>
        <w:spacing w:after="0"/>
        <w:rPr>
          <w:sz w:val="20"/>
          <w:szCs w:val="20"/>
          <w:color w:val="auto"/>
        </w:rPr>
      </w:pPr>
      <w:r>
        <w:rPr>
          <w:rFonts w:ascii="Courier New" w:cs="Courier New" w:eastAsia="Courier New" w:hAnsi="Courier New"/>
          <w:sz w:val="17"/>
          <w:szCs w:val="17"/>
          <w:color w:val="auto"/>
        </w:rPr>
        <w:t>We generally pay either a monthly fee per subscriber per channel or a percentage of certain revenues for programming. Our programming costs are increased by:</w:t>
      </w:r>
    </w:p>
    <w:p>
      <w:pPr>
        <w:spacing w:after="0" w:line="198" w:lineRule="exact"/>
        <w:rPr>
          <w:sz w:val="20"/>
          <w:szCs w:val="20"/>
          <w:color w:val="auto"/>
        </w:rPr>
      </w:pPr>
    </w:p>
    <w:p>
      <w:pPr>
        <w:ind w:left="1020" w:hanging="511"/>
        <w:spacing w:after="0"/>
        <w:tabs>
          <w:tab w:leader="none" w:pos="10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increases in the number of subscribers;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expansion of the number of channels provided to customers; and</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increases in contract rates from programming suppliers.</w:t>
      </w:r>
    </w:p>
    <w:p>
      <w:pPr>
        <w:sectPr>
          <w:pgSz w:w="11900" w:h="16840" w:orient="portrait"/>
          <w:cols w:equalWidth="0" w:num="1">
            <w:col w:w="10219"/>
          </w:cols>
          <w:pgMar w:left="240" w:top="894" w:right="1440" w:bottom="0" w:gutter="0" w:footer="0" w:header="0"/>
        </w:sectPr>
      </w:pPr>
    </w:p>
    <w:bookmarkStart w:id="7" w:name="page8"/>
    <w:bookmarkEnd w:id="7"/>
    <w:p>
      <w:pPr>
        <w:ind w:right="2319" w:firstLine="505"/>
        <w:spacing w:after="0" w:line="269" w:lineRule="auto"/>
        <w:rPr>
          <w:sz w:val="20"/>
          <w:szCs w:val="20"/>
          <w:color w:val="auto"/>
        </w:rPr>
      </w:pPr>
      <w:r>
        <w:rPr>
          <w:rFonts w:ascii="Courier New" w:cs="Courier New" w:eastAsia="Courier New" w:hAnsi="Courier New"/>
          <w:sz w:val="16"/>
          <w:szCs w:val="16"/>
          <w:color w:val="auto"/>
        </w:rPr>
        <w:t>Our programming contracts are generally for a fixed period of time and are subject to negotiated renewal. We anticipate that future contract renewals</w:t>
      </w:r>
    </w:p>
    <w:p>
      <w:pPr>
        <w:spacing w:after="0" w:line="17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31" w:right="1440" w:bottom="1440" w:gutter="0" w:footer="0" w:header="0"/>
        </w:sectPr>
      </w:pPr>
    </w:p>
    <w:bookmarkStart w:id="8" w:name="page9"/>
    <w:bookmarkEnd w:id="8"/>
    <w:p>
      <w:pPr>
        <w:ind w:right="3139"/>
        <w:spacing w:after="0" w:line="239" w:lineRule="auto"/>
        <w:rPr>
          <w:sz w:val="20"/>
          <w:szCs w:val="20"/>
          <w:color w:val="auto"/>
        </w:rPr>
      </w:pPr>
      <w:r>
        <w:rPr>
          <w:rFonts w:ascii="Courier New" w:cs="Courier New" w:eastAsia="Courier New" w:hAnsi="Courier New"/>
          <w:sz w:val="17"/>
          <w:szCs w:val="17"/>
          <w:color w:val="auto"/>
        </w:rPr>
        <w:t>will result in programming costs that are higher than our costs today, particularly for sports programming.</w:t>
      </w:r>
    </w:p>
    <w:p>
      <w:pPr>
        <w:spacing w:after="0" w:line="200" w:lineRule="exact"/>
        <w:rPr>
          <w:sz w:val="20"/>
          <w:szCs w:val="20"/>
          <w:color w:val="auto"/>
        </w:rPr>
      </w:pPr>
    </w:p>
    <w:p>
      <w:pPr>
        <w:ind w:right="3339"/>
        <w:spacing w:after="0" w:line="239" w:lineRule="auto"/>
        <w:rPr>
          <w:sz w:val="20"/>
          <w:szCs w:val="20"/>
          <w:color w:val="auto"/>
        </w:rPr>
      </w:pPr>
      <w:r>
        <w:rPr>
          <w:rFonts w:ascii="Courier New" w:cs="Courier New" w:eastAsia="Courier New" w:hAnsi="Courier New"/>
          <w:sz w:val="17"/>
          <w:szCs w:val="17"/>
          <w:color w:val="auto"/>
        </w:rPr>
        <w:t>We Face Competition in Electronic Retailing from the Retail Industry and Other Satellite-Transmitted Programs</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 transmitted programs for channel space and viewer loyalty. Many systems have limited channel capacity and therefore may be precluded from carrying the QVC program.</w:t>
      </w:r>
    </w:p>
    <w:p>
      <w:pPr>
        <w:spacing w:after="0" w:line="203" w:lineRule="exact"/>
        <w:rPr>
          <w:sz w:val="20"/>
          <w:szCs w:val="20"/>
          <w:color w:val="auto"/>
        </w:rPr>
      </w:pPr>
    </w:p>
    <w:p>
      <w:pPr>
        <w:ind w:right="3739"/>
        <w:spacing w:after="0" w:line="239" w:lineRule="auto"/>
        <w:rPr>
          <w:sz w:val="20"/>
          <w:szCs w:val="20"/>
          <w:color w:val="auto"/>
        </w:rPr>
      </w:pPr>
      <w:r>
        <w:rPr>
          <w:rFonts w:ascii="Courier New" w:cs="Courier New" w:eastAsia="Courier New" w:hAnsi="Courier New"/>
          <w:sz w:val="17"/>
          <w:szCs w:val="17"/>
          <w:color w:val="auto"/>
        </w:rPr>
        <w:t>The QVC Program May Experience Transmission Failures Which Could Significantly Impact QVC's Financial Results</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 transponder on a communications satellite transmits the QVC domestic signal. QVC subleases transponders for the transmission of its signals to the UK and Germany. QVC has made arrangements for redundant coverage through other satellites in case of a failure. We cannot offer assurances that there will not be an interruption or termination of satellite transmission due to transponder failure. Interruption or termination could have a material adverse effect on QVC.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Capital Structure Includes a Substantial Amount of Debt</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As of March 31, 1999, our consolidated indebtedness was $6.291 billion, of which $2.490 billion constituted "Senior Indebtedness" under the subordinated indenture dated as of June 15, 1999 between us and Bankers Trust Company, as trustee. As of March 31, 1999, our consolidated stockholders' equity was $5.029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397" w:lineRule="exact"/>
        <w:rPr>
          <w:sz w:val="20"/>
          <w:szCs w:val="20"/>
          <w:color w:val="auto"/>
        </w:rPr>
      </w:pPr>
    </w:p>
    <w:p>
      <w:pPr>
        <w:ind w:right="2319" w:firstLine="509"/>
        <w:spacing w:after="0"/>
        <w:tabs>
          <w:tab w:leader="none" w:pos="101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limiting our ability to obtain any necessary financing in the future for working capital, capital expenditures, debt service requirements or other purposes;</w:t>
      </w:r>
    </w:p>
    <w:p>
      <w:pPr>
        <w:spacing w:after="0" w:line="200" w:lineRule="exact"/>
        <w:rPr>
          <w:rFonts w:ascii="Courier New" w:cs="Courier New" w:eastAsia="Courier New" w:hAnsi="Courier New"/>
          <w:sz w:val="17"/>
          <w:szCs w:val="17"/>
          <w:color w:val="auto"/>
        </w:rPr>
      </w:pPr>
    </w:p>
    <w:p>
      <w:pPr>
        <w:ind w:right="2219" w:firstLine="509"/>
        <w:spacing w:after="0"/>
        <w:tabs>
          <w:tab w:leader="none" w:pos="101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requiring us to dedicate a substantial portion of our cash flows from operations to the payment of indebtedness and not for other purposes, such as working capital and capital expenditures;</w:t>
      </w:r>
    </w:p>
    <w:p>
      <w:pPr>
        <w:spacing w:after="0" w:line="200" w:lineRule="exact"/>
        <w:rPr>
          <w:rFonts w:ascii="Courier New" w:cs="Courier New" w:eastAsia="Courier New" w:hAnsi="Courier New"/>
          <w:sz w:val="17"/>
          <w:szCs w:val="17"/>
          <w:color w:val="auto"/>
        </w:rPr>
      </w:pPr>
    </w:p>
    <w:p>
      <w:pPr>
        <w:ind w:right="2639" w:firstLine="509"/>
        <w:spacing w:after="0" w:line="239" w:lineRule="auto"/>
        <w:tabs>
          <w:tab w:leader="none" w:pos="101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limiting our flexibility to plan for, or react to, changes in our businesses;</w:t>
      </w:r>
    </w:p>
    <w:p>
      <w:pPr>
        <w:spacing w:after="0" w:line="199" w:lineRule="exact"/>
        <w:rPr>
          <w:rFonts w:ascii="Courier New" w:cs="Courier New" w:eastAsia="Courier New" w:hAnsi="Courier New"/>
          <w:sz w:val="17"/>
          <w:szCs w:val="17"/>
          <w:color w:val="auto"/>
        </w:rPr>
      </w:pPr>
    </w:p>
    <w:p>
      <w:pPr>
        <w:ind w:right="2219" w:firstLine="509"/>
        <w:spacing w:after="0" w:line="239" w:lineRule="auto"/>
        <w:tabs>
          <w:tab w:leader="none" w:pos="101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making us more indebted than some of our competitors, which may place us at a competitive disadvantage; and</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making us more vulnerable to a downturn in our businesses.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We Are Offering May Not Develop an Active Public Market</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201"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088"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Our Future Operations May Be Affected by a Variety of Other Factors</w:t>
      </w:r>
    </w:p>
    <w:p>
      <w:pPr>
        <w:spacing w:after="0" w:line="199" w:lineRule="exact"/>
        <w:rPr>
          <w:sz w:val="20"/>
          <w:szCs w:val="20"/>
          <w:color w:val="auto"/>
        </w:rPr>
      </w:pPr>
    </w:p>
    <w:p>
      <w:pPr>
        <w:ind w:right="3039" w:firstLine="505"/>
        <w:spacing w:after="0" w:line="239" w:lineRule="auto"/>
        <w:rPr>
          <w:sz w:val="20"/>
          <w:szCs w:val="20"/>
          <w:color w:val="auto"/>
        </w:rPr>
      </w:pPr>
      <w:r>
        <w:rPr>
          <w:rFonts w:ascii="Courier New" w:cs="Courier New" w:eastAsia="Courier New" w:hAnsi="Courier New"/>
          <w:sz w:val="17"/>
          <w:szCs w:val="17"/>
          <w:color w:val="auto"/>
        </w:rPr>
        <w:t>The cable communications industry and the provision of programming content may be affected by, among other things:</w:t>
      </w:r>
    </w:p>
    <w:p>
      <w:pPr>
        <w:spacing w:after="0" w:line="198" w:lineRule="exact"/>
        <w:rPr>
          <w:sz w:val="20"/>
          <w:szCs w:val="20"/>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judicial and administrative decisions;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198" w:lineRule="exact"/>
        <w:rPr>
          <w:rFonts w:ascii="Courier New" w:cs="Courier New" w:eastAsia="Courier New" w:hAnsi="Courier New"/>
          <w:sz w:val="17"/>
          <w:szCs w:val="17"/>
          <w:color w:val="auto"/>
        </w:rPr>
      </w:pPr>
    </w:p>
    <w:p>
      <w:pPr>
        <w:ind w:left="1020" w:right="2319"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200" w:lineRule="exact"/>
        <w:rPr>
          <w:rFonts w:ascii="Courier New" w:cs="Courier New" w:eastAsia="Courier New" w:hAnsi="Courier New"/>
          <w:sz w:val="17"/>
          <w:szCs w:val="17"/>
          <w:color w:val="auto"/>
        </w:rPr>
      </w:pPr>
    </w:p>
    <w:p>
      <w:pPr>
        <w:ind w:left="1020" w:right="2439" w:hanging="511"/>
        <w:spacing w:after="0" w:line="269" w:lineRule="auto"/>
        <w:tabs>
          <w:tab w:leader="none" w:pos="10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174" w:lineRule="exact"/>
        <w:rPr>
          <w:rFonts w:ascii="Courier New" w:cs="Courier New" w:eastAsia="Courier New" w:hAnsi="Courier New"/>
          <w:sz w:val="16"/>
          <w:szCs w:val="16"/>
          <w:color w:val="auto"/>
        </w:rPr>
      </w:pPr>
    </w:p>
    <w:p>
      <w:pPr>
        <w:ind w:left="1020" w:hanging="511"/>
        <w:spacing w:after="0"/>
        <w:tabs>
          <w:tab w:leader="none" w:pos="10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pacing w:after="0" w:line="199"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In this Prospectus we state our beliefs of future events and our future financial performance. In some cases, you can identify those so-called "forward- 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above. Those factors may cause our actual results to differ materially from any of our forward-looking statements.</w:t>
      </w:r>
    </w:p>
    <w:p>
      <w:pPr>
        <w:spacing w:after="0" w:line="38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COMCAST CORPORATION</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395"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Our consolidated cable operations served approximately 5.6 million subscribers and passed approximately 9.4 million homes in the United States as of April 30, 1999. We own interests in other cable communications companies serving more than 238,000 subscribers as of April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19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QVC is available, on a full and part-time basis, to over 72.2 million homes in the United States, over 7.6 million homes in the United Kingdom and Ireland and over 14.9 million homes in Germany.</w:t>
      </w:r>
    </w:p>
    <w:p>
      <w:pPr>
        <w:spacing w:after="0" w:line="20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8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on our web site is not incorporated into this Prospectus.</w:t>
      </w:r>
    </w:p>
    <w:p>
      <w:pPr>
        <w:spacing w:after="0" w:line="39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TRUST SUBSIDIARIES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3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Each of our trust subsidiaries exists for the exclusive purposes of:</w:t>
      </w:r>
    </w:p>
    <w:p>
      <w:pPr>
        <w:spacing w:after="0" w:line="393" w:lineRule="exact"/>
        <w:rPr>
          <w:sz w:val="20"/>
          <w:szCs w:val="20"/>
          <w:color w:val="auto"/>
        </w:rPr>
      </w:pPr>
    </w:p>
    <w:p>
      <w:pPr>
        <w:ind w:right="3139" w:firstLine="509"/>
        <w:spacing w:after="0" w:line="269" w:lineRule="auto"/>
        <w:tabs>
          <w:tab w:leader="none" w:pos="101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issuing the guaranteed trust preferred securities and common securities representing undivided beneficial interests in its assets;</w:t>
      </w:r>
    </w:p>
    <w:p>
      <w:pPr>
        <w:spacing w:after="0" w:line="177" w:lineRule="exact"/>
        <w:rPr>
          <w:rFonts w:ascii="Courier New" w:cs="Courier New" w:eastAsia="Courier New" w:hAnsi="Courier New"/>
          <w:sz w:val="16"/>
          <w:szCs w:val="16"/>
          <w:color w:val="auto"/>
        </w:rPr>
      </w:pPr>
    </w:p>
    <w:p>
      <w:pPr>
        <w:ind w:right="2839" w:firstLine="509"/>
        <w:spacing w:after="0" w:line="269" w:lineRule="auto"/>
        <w:tabs>
          <w:tab w:leader="none" w:pos="101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 the gross proceeds of the guaranteed trust preferred securities and common securities in our subordinated debt securities; and</w:t>
      </w:r>
    </w:p>
    <w:p>
      <w:pPr>
        <w:spacing w:after="0" w:line="371" w:lineRule="exact"/>
        <w:rPr>
          <w:rFonts w:ascii="Courier New" w:cs="Courier New" w:eastAsia="Courier New" w:hAnsi="Courier New"/>
          <w:sz w:val="16"/>
          <w:szCs w:val="16"/>
          <w:color w:val="auto"/>
        </w:rPr>
      </w:pPr>
    </w:p>
    <w:p>
      <w:pPr>
        <w:ind w:right="2119" w:firstLine="509"/>
        <w:spacing w:after="0" w:line="239" w:lineRule="auto"/>
        <w:tabs>
          <w:tab w:leader="none" w:pos="101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only those other activities necessary or incidental to the first two purposes.</w:t>
      </w:r>
    </w:p>
    <w:p>
      <w:pPr>
        <w:spacing w:after="0" w:line="394"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 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397" w:lineRule="exact"/>
        <w:rPr>
          <w:sz w:val="20"/>
          <w:szCs w:val="20"/>
          <w:color w:val="auto"/>
        </w:rPr>
      </w:pPr>
    </w:p>
    <w:p>
      <w:pPr>
        <w:jc w:val="both"/>
        <w:ind w:right="3039" w:firstLine="505"/>
        <w:spacing w:after="0" w:line="269" w:lineRule="auto"/>
        <w:rPr>
          <w:sz w:val="20"/>
          <w:szCs w:val="20"/>
          <w:color w:val="auto"/>
        </w:rPr>
      </w:pPr>
      <w:r>
        <w:rPr>
          <w:rFonts w:ascii="Courier New" w:cs="Courier New" w:eastAsia="Courier New" w:hAnsi="Courier New"/>
          <w:sz w:val="16"/>
          <w:szCs w:val="16"/>
          <w:color w:val="auto"/>
        </w:rPr>
        <w:t>Each trust subsidiary's principal place of business is c/o Comcast Corporation, 1500 Market Street, Philadelphia, Pennsylvania 19102-2148.</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USE OF PROCEEDS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ectPr>
          <w:pgSz w:w="11900" w:h="16838" w:orient="portrait"/>
          <w:cols w:equalWidth="0" w:num="1">
            <w:col w:w="10219"/>
          </w:cols>
          <w:pgMar w:left="240" w:top="1086" w:right="1440" w:bottom="0" w:gutter="0" w:footer="0" w:header="0"/>
        </w:sectPr>
      </w:pPr>
    </w:p>
    <w:bookmarkStart w:id="11" w:name="page12"/>
    <w:bookmarkEnd w:id="11"/>
    <w:p>
      <w:pPr>
        <w:ind w:left="2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531" w:right="1440" w:bottom="1440" w:gutter="0" w:footer="0" w:header="0"/>
        </w:sectPr>
      </w:pPr>
    </w:p>
    <w:bookmarkStart w:id="12" w:name="page13"/>
    <w:bookmarkEnd w:id="12"/>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DIVIDEND POLICY</w:t>
      </w:r>
    </w:p>
    <w:p>
      <w:pPr>
        <w:spacing w:after="0" w:line="199" w:lineRule="exact"/>
        <w:rPr>
          <w:sz w:val="20"/>
          <w:szCs w:val="20"/>
          <w:color w:val="auto"/>
        </w:rPr>
      </w:pPr>
    </w:p>
    <w:p>
      <w:pPr>
        <w:ind w:right="2639" w:firstLine="505"/>
        <w:spacing w:after="0"/>
        <w:rPr>
          <w:sz w:val="20"/>
          <w:szCs w:val="20"/>
          <w:color w:val="auto"/>
        </w:rPr>
      </w:pPr>
      <w:r>
        <w:rPr>
          <w:rFonts w:ascii="Courier New" w:cs="Courier New" w:eastAsia="Courier New" w:hAnsi="Courier New"/>
          <w:sz w:val="17"/>
          <w:szCs w:val="17"/>
          <w:color w:val="auto"/>
        </w:rPr>
        <w:t>We paid quarterly dividends on our common stock of $0.012 per share in 1997 and 1998 and in March 1999. We do not intend to pay dividends on our common stock for the foreseeable future.</w:t>
      </w:r>
    </w:p>
    <w:p>
      <w:pPr>
        <w:spacing w:after="0" w:line="39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RATIO OF EARNINGS TO FIXED CHARGES AND TO COMBINED FIXED CHARGES</w:t>
      </w:r>
    </w:p>
    <w:p>
      <w:pPr>
        <w:spacing w:after="0" w:line="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AND PREFERRED STOCK DIVIDENDS</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4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Three Months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spacing w:after="0"/>
              <w:rPr>
                <w:sz w:val="16"/>
                <w:szCs w:val="16"/>
                <w:color w:val="auto"/>
              </w:rPr>
            </w:pPr>
          </w:p>
        </w:tc>
        <w:tc>
          <w:tcPr>
            <w:tcW w:w="14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Ended</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spacing w:after="0"/>
              <w:rPr>
                <w:sz w:val="16"/>
                <w:szCs w:val="16"/>
                <w:color w:val="auto"/>
              </w:rPr>
            </w:pPr>
          </w:p>
        </w:tc>
        <w:tc>
          <w:tcPr>
            <w:tcW w:w="14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March 31,</w:t>
            </w:r>
          </w:p>
        </w:tc>
        <w:tc>
          <w:tcPr>
            <w:tcW w:w="660" w:type="dxa"/>
            <w:vAlign w:val="bottom"/>
          </w:tcPr>
          <w:p>
            <w:pPr>
              <w:spacing w:after="0"/>
              <w:rPr>
                <w:sz w:val="16"/>
                <w:szCs w:val="16"/>
                <w:color w:val="auto"/>
              </w:rPr>
            </w:pPr>
          </w:p>
        </w:tc>
        <w:tc>
          <w:tcPr>
            <w:tcW w:w="2780" w:type="dxa"/>
            <w:vAlign w:val="bottom"/>
            <w:gridSpan w:val="4"/>
          </w:tcPr>
          <w:p>
            <w:pPr>
              <w:jc w:val="right"/>
              <w:ind w:right="336"/>
              <w:spacing w:after="0"/>
              <w:rPr>
                <w:sz w:val="20"/>
                <w:szCs w:val="20"/>
                <w:color w:val="auto"/>
              </w:rPr>
            </w:pPr>
            <w:r>
              <w:rPr>
                <w:rFonts w:ascii="Courier New" w:cs="Courier New" w:eastAsia="Courier New" w:hAnsi="Courier New"/>
                <w:sz w:val="17"/>
                <w:szCs w:val="17"/>
                <w:color w:val="auto"/>
                <w:w w:val="99"/>
              </w:rPr>
              <w:t>Year Ended December 31,</w:t>
            </w:r>
          </w:p>
        </w:tc>
      </w:tr>
      <w:tr>
        <w:trPr>
          <w:trHeight w:val="194"/>
        </w:trPr>
        <w:tc>
          <w:tcPr>
            <w:tcW w:w="3080" w:type="dxa"/>
            <w:vAlign w:val="bottom"/>
          </w:tcPr>
          <w:p>
            <w:pPr>
              <w:spacing w:after="0"/>
              <w:rPr>
                <w:sz w:val="16"/>
                <w:szCs w:val="16"/>
                <w:color w:val="auto"/>
              </w:rPr>
            </w:pPr>
          </w:p>
        </w:tc>
        <w:tc>
          <w:tcPr>
            <w:tcW w:w="14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4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8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1999</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1997</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308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80" w:type="dxa"/>
            <w:vAlign w:val="bottom"/>
          </w:tcPr>
          <w:p>
            <w:pPr>
              <w:spacing w:after="0"/>
              <w:rPr>
                <w:sz w:val="20"/>
                <w:szCs w:val="20"/>
                <w:color w:val="auto"/>
              </w:rPr>
            </w:pPr>
            <w:r>
              <w:rPr>
                <w:rFonts w:ascii="Courier New" w:cs="Courier New" w:eastAsia="Courier New" w:hAnsi="Courier New"/>
                <w:sz w:val="17"/>
                <w:szCs w:val="17"/>
                <w:color w:val="auto"/>
              </w:rPr>
              <w:t>Ratio of earnings to fixed</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ind w:left="300"/>
              <w:spacing w:after="0"/>
              <w:rPr>
                <w:sz w:val="20"/>
                <w:szCs w:val="20"/>
                <w:color w:val="auto"/>
              </w:rPr>
            </w:pPr>
            <w:r>
              <w:rPr>
                <w:rFonts w:ascii="Courier New" w:cs="Courier New" w:eastAsia="Courier New" w:hAnsi="Courier New"/>
                <w:sz w:val="17"/>
                <w:szCs w:val="17"/>
                <w:color w:val="auto"/>
              </w:rPr>
              <w:t>charges...................</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2.69x</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1.56x</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5.54x</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1.45x</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1.45x</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1.48x</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4"/>
        </w:trPr>
        <w:tc>
          <w:tcPr>
            <w:tcW w:w="308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ind w:left="300"/>
              <w:spacing w:after="0"/>
              <w:rPr>
                <w:sz w:val="20"/>
                <w:szCs w:val="20"/>
                <w:color w:val="auto"/>
              </w:rPr>
            </w:pPr>
            <w:r>
              <w:rPr>
                <w:rFonts w:ascii="Courier New" w:cs="Courier New" w:eastAsia="Courier New" w:hAnsi="Courier New"/>
                <w:sz w:val="17"/>
                <w:szCs w:val="17"/>
                <w:color w:val="auto"/>
              </w:rPr>
              <w:t>fixed charges and</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ind w:left="300"/>
              <w:spacing w:after="0"/>
              <w:rPr>
                <w:sz w:val="20"/>
                <w:szCs w:val="20"/>
                <w:color w:val="auto"/>
              </w:rPr>
            </w:pPr>
            <w:r>
              <w:rPr>
                <w:rFonts w:ascii="Courier New" w:cs="Courier New" w:eastAsia="Courier New" w:hAnsi="Courier New"/>
                <w:sz w:val="17"/>
                <w:szCs w:val="17"/>
                <w:color w:val="auto"/>
              </w:rPr>
              <w:t>preferred stock</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3080" w:type="dxa"/>
            <w:vAlign w:val="bottom"/>
          </w:tcPr>
          <w:p>
            <w:pPr>
              <w:ind w:left="300"/>
              <w:spacing w:after="0"/>
              <w:rPr>
                <w:sz w:val="20"/>
                <w:szCs w:val="20"/>
                <w:color w:val="auto"/>
              </w:rPr>
            </w:pPr>
            <w:r>
              <w:rPr>
                <w:rFonts w:ascii="Courier New" w:cs="Courier New" w:eastAsia="Courier New" w:hAnsi="Courier New"/>
                <w:sz w:val="17"/>
                <w:szCs w:val="17"/>
                <w:color w:val="auto"/>
              </w:rPr>
              <w:t>dividends.................</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2.44x</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1.43x</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5.05x</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1.38x</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1.44x</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1.48x</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4"/>
        </w:trPr>
        <w:tc>
          <w:tcPr>
            <w:tcW w:w="30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99" w:lineRule="exact"/>
        <w:rPr>
          <w:sz w:val="20"/>
          <w:szCs w:val="20"/>
          <w:color w:val="auto"/>
        </w:rPr>
      </w:pPr>
    </w:p>
    <w:p>
      <w:pPr>
        <w:ind w:left="500" w:right="2439"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cover fixed charges and combined fixed charges and preferred stock dividends by $6.4 million for the year ended December 31, 1994.</w:t>
      </w:r>
    </w:p>
    <w:p>
      <w:pPr>
        <w:spacing w:after="0" w:line="392"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DESCRIPTION OF THE SENIOR DEBT SECURITIES AND</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SUBORDINATED DEBT SECURITIES</w:t>
      </w:r>
    </w:p>
    <w:p>
      <w:pPr>
        <w:spacing w:after="0" w:line="393" w:lineRule="exact"/>
        <w:rPr>
          <w:sz w:val="20"/>
          <w:szCs w:val="20"/>
          <w:color w:val="auto"/>
        </w:rPr>
      </w:pPr>
    </w:p>
    <w:p>
      <w:pPr>
        <w:ind w:right="2539" w:firstLine="505"/>
        <w:spacing w:after="0" w:line="269" w:lineRule="auto"/>
        <w:rPr>
          <w:sz w:val="20"/>
          <w:szCs w:val="20"/>
          <w:color w:val="auto"/>
        </w:rPr>
      </w:pPr>
      <w:r>
        <w:rPr>
          <w:rFonts w:ascii="Courier New" w:cs="Courier New" w:eastAsia="Courier New" w:hAnsi="Courier New"/>
          <w:sz w:val="16"/>
          <w:szCs w:val="16"/>
          <w:color w:val="auto"/>
        </w:rPr>
        <w:t>Our debt securities, consisting of notes, debentures or other evidences of indebtedness, may be issued from time to time in one or more series:</w:t>
      </w:r>
    </w:p>
    <w:p>
      <w:pPr>
        <w:spacing w:after="0" w:line="177" w:lineRule="exact"/>
        <w:rPr>
          <w:sz w:val="20"/>
          <w:szCs w:val="20"/>
          <w:color w:val="auto"/>
        </w:rPr>
      </w:pPr>
    </w:p>
    <w:p>
      <w:pPr>
        <w:ind w:right="2219" w:firstLine="509"/>
        <w:spacing w:after="0"/>
        <w:tabs>
          <w:tab w:leader="none" w:pos="101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senior debt securities, under a senior indenture to be dated as of June 15, 1999 between us and Bank of Montreal Trust Company, as trustee; and</w:t>
      </w:r>
    </w:p>
    <w:p>
      <w:pPr>
        <w:spacing w:after="0" w:line="200" w:lineRule="exact"/>
        <w:rPr>
          <w:rFonts w:ascii="Courier New" w:cs="Courier New" w:eastAsia="Courier New" w:hAnsi="Courier New"/>
          <w:sz w:val="17"/>
          <w:szCs w:val="17"/>
          <w:color w:val="auto"/>
        </w:rPr>
      </w:pPr>
    </w:p>
    <w:p>
      <w:pPr>
        <w:ind w:right="2639" w:firstLine="509"/>
        <w:spacing w:after="0"/>
        <w:tabs>
          <w:tab w:leader="none" w:pos="101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subordinated debt securities, under a subordinated indenture to be dated as of June 15, 1999 between us and Bankers Trust Company, as trustee.</w:t>
      </w:r>
    </w:p>
    <w:p>
      <w:pPr>
        <w:spacing w:after="0" w:line="200" w:lineRule="exact"/>
        <w:rPr>
          <w:sz w:val="20"/>
          <w:szCs w:val="20"/>
          <w:color w:val="auto"/>
        </w:rPr>
      </w:pPr>
    </w:p>
    <w:p>
      <w:pPr>
        <w:ind w:right="2739" w:firstLine="505"/>
        <w:spacing w:after="0" w:line="269" w:lineRule="auto"/>
        <w:rPr>
          <w:sz w:val="20"/>
          <w:szCs w:val="20"/>
          <w:color w:val="auto"/>
        </w:rPr>
      </w:pPr>
      <w:r>
        <w:rPr>
          <w:rFonts w:ascii="Courier New" w:cs="Courier New" w:eastAsia="Courier New" w:hAnsi="Courier New"/>
          <w:sz w:val="16"/>
          <w:szCs w:val="16"/>
          <w:color w:val="auto"/>
        </w:rPr>
        <w:t>The senior indenture and the subordinated indenture are included as exhibits to the registration statement of which this prospectus is a part.</w:t>
      </w:r>
    </w:p>
    <w:p>
      <w:pPr>
        <w:spacing w:after="0" w:line="177"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2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are a holding company and conduct all of our</w:t>
      </w:r>
    </w:p>
    <w:p>
      <w:pPr>
        <w:sectPr>
          <w:pgSz w:w="11900" w:h="16840" w:orient="portrait"/>
          <w:cols w:equalWidth="0" w:num="1">
            <w:col w:w="10219"/>
          </w:cols>
          <w:pgMar w:left="240" w:top="1280" w:right="1440" w:bottom="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36" w:right="1440" w:bottom="1440" w:gutter="0" w:footer="0" w:header="0"/>
        </w:sectPr>
      </w:pPr>
    </w:p>
    <w:bookmarkStart w:id="14" w:name="page15"/>
    <w:bookmarkEnd w:id="14"/>
    <w:p>
      <w:pPr>
        <w:spacing w:after="0" w:line="18"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200"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You should look in the prospectus supplement for the following terms of the debt securities being offered:</w:t>
      </w:r>
    </w:p>
    <w:p>
      <w:pPr>
        <w:spacing w:after="0" w:line="198" w:lineRule="exact"/>
        <w:rPr>
          <w:sz w:val="20"/>
          <w:szCs w:val="20"/>
          <w:color w:val="auto"/>
        </w:rPr>
      </w:pPr>
    </w:p>
    <w:p>
      <w:pPr>
        <w:ind w:left="1020" w:hanging="511"/>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debt securities' designation;</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the debt securities;</w:t>
      </w:r>
    </w:p>
    <w:p>
      <w:pPr>
        <w:spacing w:after="0" w:line="198" w:lineRule="exact"/>
        <w:rPr>
          <w:rFonts w:ascii="Courier New" w:cs="Courier New" w:eastAsia="Courier New" w:hAnsi="Courier New"/>
          <w:sz w:val="17"/>
          <w:szCs w:val="17"/>
          <w:color w:val="auto"/>
        </w:rPr>
      </w:pPr>
    </w:p>
    <w:p>
      <w:pPr>
        <w:ind w:right="2639" w:firstLine="509"/>
        <w:spacing w:after="0" w:line="239" w:lineRule="auto"/>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their principal amount (i.e price) at which the debt securities will be issued;</w:t>
      </w:r>
    </w:p>
    <w:p>
      <w:pPr>
        <w:spacing w:after="0" w:line="199" w:lineRule="exact"/>
        <w:rPr>
          <w:rFonts w:ascii="Courier New" w:cs="Courier New" w:eastAsia="Courier New" w:hAnsi="Courier New"/>
          <w:sz w:val="17"/>
          <w:szCs w:val="17"/>
          <w:color w:val="auto"/>
        </w:rPr>
      </w:pPr>
    </w:p>
    <w:p>
      <w:pPr>
        <w:ind w:right="2539" w:firstLine="509"/>
        <w:spacing w:after="0" w:line="239" w:lineRule="auto"/>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on which the debt securities will mature and the right, if any, to extend such date or dates;</w:t>
      </w:r>
    </w:p>
    <w:p>
      <w:pPr>
        <w:spacing w:after="0" w:line="199" w:lineRule="exact"/>
        <w:rPr>
          <w:rFonts w:ascii="Courier New" w:cs="Courier New" w:eastAsia="Courier New" w:hAnsi="Courier New"/>
          <w:sz w:val="17"/>
          <w:szCs w:val="17"/>
          <w:color w:val="auto"/>
        </w:rPr>
      </w:pPr>
    </w:p>
    <w:p>
      <w:pPr>
        <w:ind w:right="2639" w:firstLine="509"/>
        <w:spacing w:after="0" w:line="269" w:lineRule="auto"/>
        <w:tabs>
          <w:tab w:leader="none" w:pos="101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if any, per year, at which the debt securities will bear interest, or the method of determining such rate or rates;</w:t>
      </w:r>
    </w:p>
    <w:p>
      <w:pPr>
        <w:spacing w:after="0" w:line="371" w:lineRule="exact"/>
        <w:rPr>
          <w:rFonts w:ascii="Courier New" w:cs="Courier New" w:eastAsia="Courier New" w:hAnsi="Courier New"/>
          <w:sz w:val="16"/>
          <w:szCs w:val="16"/>
          <w:color w:val="auto"/>
        </w:rPr>
      </w:pPr>
    </w:p>
    <w:p>
      <w:pPr>
        <w:ind w:right="2319" w:firstLine="509"/>
        <w:spacing w:after="0" w:line="241" w:lineRule="auto"/>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99" w:lineRule="exact"/>
        <w:rPr>
          <w:rFonts w:ascii="Courier New" w:cs="Courier New" w:eastAsia="Courier New" w:hAnsi="Courier New"/>
          <w:sz w:val="17"/>
          <w:szCs w:val="17"/>
          <w:color w:val="auto"/>
        </w:rPr>
      </w:pPr>
    </w:p>
    <w:p>
      <w:pPr>
        <w:ind w:right="2639" w:firstLine="509"/>
        <w:spacing w:after="0" w:line="239" w:lineRule="auto"/>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if any, to extend the interest payment periods and the duration of that extension;</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for a sinking fund purchase or other analogous fund, if</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any;</w:t>
      </w:r>
    </w:p>
    <w:p>
      <w:pPr>
        <w:spacing w:after="0" w:line="392" w:lineRule="exact"/>
        <w:rPr>
          <w:rFonts w:ascii="Courier New" w:cs="Courier New" w:eastAsia="Courier New" w:hAnsi="Courier New"/>
          <w:sz w:val="17"/>
          <w:szCs w:val="17"/>
          <w:color w:val="auto"/>
        </w:rPr>
      </w:pPr>
    </w:p>
    <w:p>
      <w:pPr>
        <w:ind w:right="2439" w:firstLine="509"/>
        <w:spacing w:after="0"/>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if any, within which, the price or prices of which, and the terms and conditions upon which the debt securities may be redeemed, in whole or in part, at our option or at your option</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the debt securities;</w:t>
      </w:r>
    </w:p>
    <w:p>
      <w:pPr>
        <w:spacing w:after="0" w:line="198" w:lineRule="exact"/>
        <w:rPr>
          <w:rFonts w:ascii="Courier New" w:cs="Courier New" w:eastAsia="Courier New" w:hAnsi="Courier New"/>
          <w:sz w:val="17"/>
          <w:szCs w:val="17"/>
          <w:color w:val="auto"/>
        </w:rPr>
      </w:pPr>
    </w:p>
    <w:p>
      <w:pPr>
        <w:ind w:right="2319" w:firstLine="509"/>
        <w:spacing w:after="0"/>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provisions for payment of additional amounts for taxes and any provision for redemption, if we must pay such additional amounts in respect of any debt security;</w:t>
      </w:r>
    </w:p>
    <w:p>
      <w:pPr>
        <w:spacing w:after="0" w:line="200" w:lineRule="exact"/>
        <w:rPr>
          <w:rFonts w:ascii="Courier New" w:cs="Courier New" w:eastAsia="Courier New" w:hAnsi="Courier New"/>
          <w:sz w:val="17"/>
          <w:szCs w:val="17"/>
          <w:color w:val="auto"/>
        </w:rPr>
      </w:pPr>
    </w:p>
    <w:p>
      <w:pPr>
        <w:ind w:right="2219" w:firstLine="509"/>
        <w:spacing w:after="0"/>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any, upon which we may have to repay the debt securities early at your option and the price or prices in the currency or currency unit in which the debt securities are payable;</w:t>
      </w:r>
    </w:p>
    <w:p>
      <w:pPr>
        <w:spacing w:after="0" w:line="200" w:lineRule="exact"/>
        <w:rPr>
          <w:rFonts w:ascii="Courier New" w:cs="Courier New" w:eastAsia="Courier New" w:hAnsi="Courier New"/>
          <w:sz w:val="17"/>
          <w:szCs w:val="17"/>
          <w:color w:val="auto"/>
        </w:rPr>
      </w:pPr>
    </w:p>
    <w:p>
      <w:pPr>
        <w:ind w:right="2219" w:firstLine="509"/>
        <w:spacing w:after="0"/>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currency, currencies or currency units for which you may purchase the debt securities and the currency, currencies or currency units in which principal and interest, if any, on the debt securities may be payable;</w:t>
      </w:r>
    </w:p>
    <w:p>
      <w:pPr>
        <w:spacing w:after="0" w:line="200" w:lineRule="exact"/>
        <w:rPr>
          <w:rFonts w:ascii="Courier New" w:cs="Courier New" w:eastAsia="Courier New" w:hAnsi="Courier New"/>
          <w:sz w:val="17"/>
          <w:szCs w:val="17"/>
          <w:color w:val="auto"/>
        </w:rPr>
      </w:pPr>
    </w:p>
    <w:p>
      <w:pPr>
        <w:ind w:right="3139" w:firstLine="509"/>
        <w:spacing w:after="0"/>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any, pursuant to which the debt securities may be converted or exchanged for the cash value of other securities issued by us or by a third party; and</w:t>
      </w:r>
    </w:p>
    <w:p>
      <w:pPr>
        <w:spacing w:after="0" w:line="200" w:lineRule="exact"/>
        <w:rPr>
          <w:rFonts w:ascii="Courier New" w:cs="Courier New" w:eastAsia="Courier New" w:hAnsi="Courier New"/>
          <w:sz w:val="17"/>
          <w:szCs w:val="17"/>
          <w:color w:val="auto"/>
        </w:rPr>
      </w:pPr>
    </w:p>
    <w:p>
      <w:pPr>
        <w:ind w:right="2739" w:firstLine="509"/>
        <w:spacing w:after="0" w:line="241" w:lineRule="auto"/>
        <w:tabs>
          <w:tab w:leader="none" w:pos="10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99" w:lineRule="exact"/>
        <w:rPr>
          <w:sz w:val="20"/>
          <w:szCs w:val="20"/>
          <w:color w:val="auto"/>
        </w:rPr>
      </w:pPr>
    </w:p>
    <w:p>
      <w:pPr>
        <w:ind w:right="2539" w:firstLine="505"/>
        <w:spacing w:after="0" w:line="263" w:lineRule="auto"/>
        <w:rPr>
          <w:sz w:val="20"/>
          <w:szCs w:val="20"/>
          <w:color w:val="auto"/>
        </w:rPr>
      </w:pPr>
      <w:r>
        <w:rPr>
          <w:rFonts w:ascii="Courier New" w:cs="Courier New" w:eastAsia="Courier New" w:hAnsi="Courier New"/>
          <w:sz w:val="16"/>
          <w:szCs w:val="16"/>
          <w:color w:val="auto"/>
        </w:rPr>
        <w:t>You may present debt securities for exchange and you may present debt securities for transfer in the manner, at the places and subject to the restrictions set forth in the debt securities and the prospectus supplement.</w:t>
      </w:r>
    </w:p>
    <w:p>
      <w:pPr>
        <w:sectPr>
          <w:pgSz w:w="11900" w:h="16857" w:orient="portrait"/>
          <w:cols w:equalWidth="0" w:num="1">
            <w:col w:w="10219"/>
          </w:cols>
          <w:pgMar w:left="240" w:top="1088" w:right="1440" w:bottom="0" w:gutter="0" w:footer="0" w:header="0"/>
        </w:sectPr>
      </w:pPr>
    </w:p>
    <w:bookmarkStart w:id="15" w:name="page16"/>
    <w:bookmarkEnd w:id="15"/>
    <w:p>
      <w:pPr>
        <w:ind w:right="2639"/>
        <w:spacing w:after="0"/>
        <w:rPr>
          <w:sz w:val="20"/>
          <w:szCs w:val="20"/>
          <w:color w:val="auto"/>
        </w:rPr>
      </w:pPr>
      <w:r>
        <w:rPr>
          <w:rFonts w:ascii="Courier New" w:cs="Courier New" w:eastAsia="Courier New" w:hAnsi="Courier New"/>
          <w:sz w:val="17"/>
          <w:szCs w:val="17"/>
          <w:color w:val="auto"/>
        </w:rPr>
        <w:t>We will provide you those services without charge, although you may have to pay any tax or other governmental charge payable in connection with any exchange or transfer, as set forth in the indenture.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Debt securities will bear interest at a fixed rate or</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1440" w:gutter="0" w:footer="0" w:header="0"/>
        </w:sectPr>
      </w:pPr>
    </w:p>
    <w:bookmarkStart w:id="16" w:name="page17"/>
    <w:bookmarkEnd w:id="16"/>
    <w:p>
      <w:pPr>
        <w:ind w:right="2319"/>
        <w:spacing w:after="0" w:line="241" w:lineRule="auto"/>
        <w:rPr>
          <w:sz w:val="20"/>
          <w:szCs w:val="20"/>
          <w:color w:val="auto"/>
        </w:rPr>
      </w:pPr>
      <w:r>
        <w:rPr>
          <w:rFonts w:ascii="Courier New" w:cs="Courier New" w:eastAsia="Courier New" w:hAnsi="Courier New"/>
          <w:sz w:val="17"/>
          <w:szCs w:val="17"/>
          <w:color w:val="auto"/>
        </w:rPr>
        <w:t>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202"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Terms of the Senior Debt Securities</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Certain Covenants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202"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197" w:lineRule="exact"/>
        <w:rPr>
          <w:sz w:val="20"/>
          <w:szCs w:val="20"/>
          <w:color w:val="auto"/>
        </w:rPr>
      </w:pPr>
    </w:p>
    <w:p>
      <w:pPr>
        <w:ind w:right="2439" w:firstLine="509"/>
        <w:spacing w:after="0" w:line="241" w:lineRule="auto"/>
        <w:tabs>
          <w:tab w:leader="none" w:pos="101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the continuing person or the person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201" w:lineRule="exact"/>
        <w:rPr>
          <w:rFonts w:ascii="Courier New" w:cs="Courier New" w:eastAsia="Courier New" w:hAnsi="Courier New"/>
          <w:sz w:val="17"/>
          <w:szCs w:val="17"/>
          <w:color w:val="auto"/>
        </w:rPr>
      </w:pPr>
    </w:p>
    <w:p>
      <w:pPr>
        <w:ind w:right="2539" w:firstLine="509"/>
        <w:spacing w:after="0" w:line="239" w:lineRule="auto"/>
        <w:tabs>
          <w:tab w:leader="none" w:pos="101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no default or event of default shall have occurred and be continuing; and</w:t>
      </w:r>
    </w:p>
    <w:p>
      <w:pPr>
        <w:spacing w:after="0" w:line="199" w:lineRule="exact"/>
        <w:rPr>
          <w:rFonts w:ascii="Courier New" w:cs="Courier New" w:eastAsia="Courier New" w:hAnsi="Courier New"/>
          <w:sz w:val="17"/>
          <w:szCs w:val="17"/>
          <w:color w:val="auto"/>
        </w:rPr>
      </w:pPr>
    </w:p>
    <w:p>
      <w:pPr>
        <w:ind w:right="2319" w:firstLine="509"/>
        <w:spacing w:after="0" w:line="242" w:lineRule="auto"/>
        <w:tabs>
          <w:tab w:leader="none" w:pos="101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3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Events of Default</w:t>
      </w:r>
    </w:p>
    <w:p>
      <w:pPr>
        <w:spacing w:after="0" w:line="393"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An event of default for a series of senior debt securities is defined under the senior indenture as being:</w:t>
      </w:r>
    </w:p>
    <w:p>
      <w:pPr>
        <w:spacing w:after="0" w:line="200" w:lineRule="exact"/>
        <w:rPr>
          <w:sz w:val="20"/>
          <w:szCs w:val="20"/>
          <w:color w:val="auto"/>
        </w:rPr>
      </w:pPr>
    </w:p>
    <w:p>
      <w:pPr>
        <w:ind w:right="2219" w:firstLine="509"/>
        <w:spacing w:after="0"/>
        <w:tabs>
          <w:tab w:leader="none" w:pos="101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default in the payment of principal or premium on the senior debt securities of such series when due and payable whether at maturity, upon acceleration, redemption, or otherwise;</w:t>
      </w:r>
    </w:p>
    <w:p>
      <w:pPr>
        <w:sectPr>
          <w:pgSz w:w="11900" w:h="16839" w:orient="portrait"/>
          <w:cols w:equalWidth="0" w:num="1">
            <w:col w:w="10219"/>
          </w:cols>
          <w:pgMar w:left="240" w:top="1088" w:right="1440" w:bottom="0" w:gutter="0" w:footer="0" w:header="0"/>
        </w:sectPr>
      </w:pPr>
    </w:p>
    <w:bookmarkStart w:id="17" w:name="page18"/>
    <w:bookmarkEnd w:id="17"/>
    <w:p>
      <w:pPr>
        <w:spacing w:after="0"/>
        <w:tabs>
          <w:tab w:leader="none" w:pos="50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our default in the payment of interest on any</w:t>
      </w:r>
    </w:p>
    <w:p>
      <w:pPr>
        <w:sectPr>
          <w:pgSz w:w="11900" w:h="16838" w:orient="portrait"/>
          <w:cols w:equalWidth="0" w:num="1">
            <w:col w:w="9719"/>
          </w:cols>
          <w:pgMar w:left="740" w:top="336" w:right="1440" w:bottom="1440" w:gutter="0" w:footer="0" w:header="0"/>
        </w:sect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19"/>
          </w:cols>
          <w:pgMar w:left="740" w:top="336" w:right="1440" w:bottom="1440" w:gutter="0" w:footer="0" w:header="0"/>
          <w:type w:val="continuous"/>
        </w:sectPr>
      </w:pPr>
    </w:p>
    <w:bookmarkStart w:id="18" w:name="page19"/>
    <w:bookmarkEnd w:id="18"/>
    <w:p>
      <w:pPr>
        <w:spacing w:after="0" w:line="2"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senior debt securities of such series when due and payable, if that default continues for a period of 30 days;</w:t>
      </w:r>
    </w:p>
    <w:p>
      <w:pPr>
        <w:spacing w:after="0" w:line="200" w:lineRule="exact"/>
        <w:rPr>
          <w:sz w:val="20"/>
          <w:szCs w:val="20"/>
          <w:color w:val="auto"/>
        </w:rPr>
      </w:pPr>
    </w:p>
    <w:p>
      <w:pPr>
        <w:ind w:right="2439" w:firstLine="509"/>
        <w:spacing w:after="0" w:line="259" w:lineRule="auto"/>
        <w:tabs>
          <w:tab w:leader="none" w:pos="101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of 25% or more in aggregate principal amount of the senior debt securities of such series;</w:t>
      </w:r>
    </w:p>
    <w:p>
      <w:pPr>
        <w:spacing w:after="0" w:line="379" w:lineRule="exact"/>
        <w:rPr>
          <w:rFonts w:ascii="Courier New" w:cs="Courier New" w:eastAsia="Courier New" w:hAnsi="Courier New"/>
          <w:sz w:val="16"/>
          <w:szCs w:val="16"/>
          <w:color w:val="auto"/>
        </w:rPr>
      </w:pPr>
    </w:p>
    <w:p>
      <w:pPr>
        <w:ind w:left="1020" w:hanging="511"/>
        <w:spacing w:after="0"/>
        <w:tabs>
          <w:tab w:leader="none" w:pos="10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court having jurisdiction enters a decree or order for:</w:t>
      </w:r>
    </w:p>
    <w:p>
      <w:pPr>
        <w:spacing w:after="0" w:line="199" w:lineRule="exact"/>
        <w:rPr>
          <w:sz w:val="20"/>
          <w:szCs w:val="20"/>
          <w:color w:val="auto"/>
        </w:rPr>
      </w:pPr>
    </w:p>
    <w:p>
      <w:pPr>
        <w:ind w:left="500" w:right="2439" w:firstLine="515"/>
        <w:spacing w:after="0"/>
        <w:tabs>
          <w:tab w:leader="none" w:pos="151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relief in respect of us in an involuntary case under any applicable bankruptcy, insolvency, or other similar law now or hereafter in effect;</w:t>
      </w:r>
    </w:p>
    <w:p>
      <w:pPr>
        <w:spacing w:after="0" w:line="200" w:lineRule="exact"/>
        <w:rPr>
          <w:rFonts w:ascii="Courier New" w:cs="Courier New" w:eastAsia="Courier New" w:hAnsi="Courier New"/>
          <w:sz w:val="17"/>
          <w:szCs w:val="17"/>
          <w:color w:val="auto"/>
        </w:rPr>
      </w:pPr>
    </w:p>
    <w:p>
      <w:pPr>
        <w:ind w:left="500" w:right="2739" w:firstLine="515"/>
        <w:spacing w:after="0"/>
        <w:tabs>
          <w:tab w:leader="none" w:pos="151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appointment of a receiver, liquidator, assignee, custodian, trustee, sequestrator, or similar official of us or for all or substantially all of our property and assets; or</w:t>
      </w:r>
    </w:p>
    <w:p>
      <w:pPr>
        <w:spacing w:after="0" w:line="200" w:lineRule="exact"/>
        <w:rPr>
          <w:rFonts w:ascii="Courier New" w:cs="Courier New" w:eastAsia="Courier New" w:hAnsi="Courier New"/>
          <w:sz w:val="17"/>
          <w:szCs w:val="17"/>
          <w:color w:val="auto"/>
        </w:rPr>
      </w:pPr>
    </w:p>
    <w:p>
      <w:pPr>
        <w:jc w:val="both"/>
        <w:ind w:left="500" w:right="2319" w:firstLine="515"/>
        <w:spacing w:after="0"/>
        <w:tabs>
          <w:tab w:leader="none" w:pos="151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winding up or liquidation of our affairs and such decree or order shall remain unstayed and in effect for a period of 180 consecutive days.</w:t>
      </w:r>
    </w:p>
    <w:p>
      <w:pPr>
        <w:spacing w:after="0" w:line="198" w:lineRule="exact"/>
        <w:rPr>
          <w:sz w:val="20"/>
          <w:szCs w:val="20"/>
          <w:color w:val="auto"/>
        </w:rPr>
      </w:pPr>
    </w:p>
    <w:p>
      <w:pPr>
        <w:ind w:left="1020" w:hanging="511"/>
        <w:spacing w:after="0"/>
        <w:tabs>
          <w:tab w:leader="none" w:pos="10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w:t>
      </w:r>
    </w:p>
    <w:p>
      <w:pPr>
        <w:spacing w:after="0" w:line="199" w:lineRule="exact"/>
        <w:rPr>
          <w:sz w:val="20"/>
          <w:szCs w:val="20"/>
          <w:color w:val="auto"/>
        </w:rPr>
      </w:pPr>
    </w:p>
    <w:p>
      <w:pPr>
        <w:ind w:left="500" w:right="2319" w:firstLine="515"/>
        <w:spacing w:after="0" w:line="241" w:lineRule="auto"/>
        <w:tabs>
          <w:tab w:leader="none" w:pos="1511"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commence a voluntary case under any applicable bankruptcy, insolvency, or other similar law now or hereafter in effect, or consent to the entry of an order for relief in an involuntary case under any such law;</w:t>
      </w:r>
    </w:p>
    <w:p>
      <w:pPr>
        <w:spacing w:after="0" w:line="198" w:lineRule="exact"/>
        <w:rPr>
          <w:rFonts w:ascii="Courier New" w:cs="Courier New" w:eastAsia="Courier New" w:hAnsi="Courier New"/>
          <w:sz w:val="17"/>
          <w:szCs w:val="17"/>
          <w:color w:val="auto"/>
        </w:rPr>
      </w:pPr>
    </w:p>
    <w:p>
      <w:pPr>
        <w:ind w:left="500" w:right="2119" w:firstLine="515"/>
        <w:spacing w:after="0" w:line="241" w:lineRule="auto"/>
        <w:tabs>
          <w:tab w:leader="none" w:pos="1511"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to the appointment of or taking possession by a receiver, liquidator, assignee, custodian, trustee, sequestrator, or similar official of ours or for all or substantially all of our property and assets; or</w:t>
      </w:r>
    </w:p>
    <w:p>
      <w:pPr>
        <w:spacing w:after="0" w:line="196" w:lineRule="exact"/>
        <w:rPr>
          <w:rFonts w:ascii="Courier New" w:cs="Courier New" w:eastAsia="Courier New" w:hAnsi="Courier New"/>
          <w:sz w:val="17"/>
          <w:szCs w:val="17"/>
          <w:color w:val="auto"/>
        </w:rPr>
      </w:pPr>
    </w:p>
    <w:p>
      <w:pPr>
        <w:ind w:left="1620" w:hanging="605"/>
        <w:spacing w:after="0"/>
        <w:tabs>
          <w:tab w:leader="none" w:pos="16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any general assignment for the benefit of creditors.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98"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Upon a declaration of acceleration, such principal amount of and accrued interest, if any, on 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holders of at least a majority in aggregate principal amount of an</w:t>
      </w:r>
    </w:p>
    <w:p>
      <w:pPr>
        <w:sectPr>
          <w:pgSz w:w="11900" w:h="16840" w:orient="portrait"/>
          <w:cols w:equalWidth="0" w:num="1">
            <w:col w:w="10219"/>
          </w:cols>
          <w:pgMar w:left="240" w:top="1088" w:right="1440" w:bottom="0" w:gutter="0" w:footer="0" w:header="0"/>
        </w:sectPr>
      </w:pPr>
    </w:p>
    <w:bookmarkStart w:id="19" w:name="page20"/>
    <w:bookmarkEnd w:id="19"/>
    <w:p>
      <w:pPr>
        <w:ind w:right="2839"/>
        <w:spacing w:after="0" w:line="239" w:lineRule="auto"/>
        <w:rPr>
          <w:sz w:val="20"/>
          <w:szCs w:val="20"/>
          <w:color w:val="auto"/>
        </w:rPr>
      </w:pPr>
      <w:r>
        <w:rPr>
          <w:rFonts w:ascii="Courier New" w:cs="Courier New" w:eastAsia="Courier New" w:hAnsi="Courier New"/>
          <w:sz w:val="17"/>
          <w:szCs w:val="17"/>
          <w:color w:val="auto"/>
        </w:rPr>
        <w:t>issue of senior debt securities may direct the time, method, and place of conducting</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2" w:right="1440" w:bottom="1440" w:gutter="0" w:footer="0" w:header="0"/>
        </w:sectPr>
      </w:pPr>
    </w:p>
    <w:bookmarkStart w:id="20" w:name="page21"/>
    <w:bookmarkEnd w:id="20"/>
    <w:p>
      <w:pPr>
        <w:spacing w:after="0" w:line="23"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195" w:lineRule="exact"/>
        <w:rPr>
          <w:sz w:val="20"/>
          <w:szCs w:val="20"/>
          <w:color w:val="auto"/>
        </w:rPr>
      </w:pPr>
    </w:p>
    <w:p>
      <w:pPr>
        <w:ind w:left="1020" w:hanging="511"/>
        <w:spacing w:after="0"/>
        <w:tabs>
          <w:tab w:leader="none" w:pos="10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gives the trustee written notice of a continuing event of</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default;</w:t>
      </w:r>
    </w:p>
    <w:p>
      <w:pPr>
        <w:spacing w:after="0" w:line="198" w:lineRule="exact"/>
        <w:rPr>
          <w:rFonts w:ascii="Courier New" w:cs="Courier New" w:eastAsia="Courier New" w:hAnsi="Courier New"/>
          <w:sz w:val="17"/>
          <w:szCs w:val="17"/>
          <w:color w:val="auto"/>
        </w:rPr>
      </w:pPr>
    </w:p>
    <w:p>
      <w:pPr>
        <w:ind w:right="2839" w:firstLine="509"/>
        <w:spacing w:after="0"/>
        <w:tabs>
          <w:tab w:leader="none" w:pos="70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at least 25% in aggregate principal amount of such series of senior debt securities make a written request to the trustee to pursue the remedy in respect of such event of default;</w:t>
      </w:r>
    </w:p>
    <w:p>
      <w:pPr>
        <w:spacing w:after="0" w:line="200" w:lineRule="exact"/>
        <w:rPr>
          <w:rFonts w:ascii="Courier New" w:cs="Courier New" w:eastAsia="Courier New" w:hAnsi="Courier New"/>
          <w:sz w:val="17"/>
          <w:szCs w:val="17"/>
          <w:color w:val="auto"/>
        </w:rPr>
      </w:pPr>
    </w:p>
    <w:p>
      <w:pPr>
        <w:ind w:right="3039" w:firstLine="509"/>
        <w:spacing w:after="0" w:line="239" w:lineRule="auto"/>
        <w:tabs>
          <w:tab w:leader="none" w:pos="101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requesting holder or holders offer the trustee indemnity satisfactory to the trustee against any costs, liability, or expense;</w:t>
      </w:r>
    </w:p>
    <w:p>
      <w:pPr>
        <w:spacing w:after="0" w:line="199" w:lineRule="exact"/>
        <w:rPr>
          <w:rFonts w:ascii="Courier New" w:cs="Courier New" w:eastAsia="Courier New" w:hAnsi="Courier New"/>
          <w:sz w:val="17"/>
          <w:szCs w:val="17"/>
          <w:color w:val="auto"/>
        </w:rPr>
      </w:pPr>
    </w:p>
    <w:p>
      <w:pPr>
        <w:ind w:right="2939" w:firstLine="509"/>
        <w:spacing w:after="0" w:line="239" w:lineRule="auto"/>
        <w:tabs>
          <w:tab w:leader="none" w:pos="70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does not comply with the request within 60 days after receipt of the request and the offer of indemnity; and</w:t>
      </w:r>
    </w:p>
    <w:p>
      <w:pPr>
        <w:spacing w:after="0" w:line="199" w:lineRule="exact"/>
        <w:rPr>
          <w:rFonts w:ascii="Courier New" w:cs="Courier New" w:eastAsia="Courier New" w:hAnsi="Courier New"/>
          <w:sz w:val="17"/>
          <w:szCs w:val="17"/>
          <w:color w:val="auto"/>
        </w:rPr>
      </w:pPr>
    </w:p>
    <w:p>
      <w:pPr>
        <w:ind w:right="2839" w:firstLine="509"/>
        <w:spacing w:after="0"/>
        <w:tabs>
          <w:tab w:leader="none" w:pos="70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such 60-day period, the holders of a majority in aggregate principal amount of such series of senior debt securities do not give the trustee a direction that is inconsistent with the request.</w:t>
      </w:r>
    </w:p>
    <w:p>
      <w:pPr>
        <w:spacing w:after="0" w:line="20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200" w:lineRule="exact"/>
        <w:rPr>
          <w:sz w:val="20"/>
          <w:szCs w:val="20"/>
          <w:color w:val="auto"/>
        </w:rPr>
      </w:pPr>
    </w:p>
    <w:p>
      <w:pPr>
        <w:ind w:right="2439" w:firstLine="505"/>
        <w:spacing w:after="0" w:line="260" w:lineRule="auto"/>
        <w:rPr>
          <w:sz w:val="20"/>
          <w:szCs w:val="20"/>
          <w:color w:val="auto"/>
        </w:rPr>
      </w:pPr>
      <w:r>
        <w:rPr>
          <w:rFonts w:ascii="Courier New" w:cs="Courier New" w:eastAsia="Courier New" w:hAnsi="Courier New"/>
          <w:sz w:val="16"/>
          <w:szCs w:val="16"/>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3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Discharge and Defeasance</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199" w:lineRule="exact"/>
        <w:rPr>
          <w:sz w:val="20"/>
          <w:szCs w:val="20"/>
          <w:color w:val="auto"/>
        </w:rPr>
      </w:pPr>
    </w:p>
    <w:p>
      <w:pPr>
        <w:ind w:right="2439" w:firstLine="509"/>
        <w:spacing w:after="0" w:line="263" w:lineRule="auto"/>
        <w:tabs>
          <w:tab w:leader="none" w:pos="10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senior debt securities of such series previously authenticated and delivered with certain exceptions, have been delivered to the trustee for cancellation and we have paid all sums payable by it under the indenture; or</w:t>
      </w:r>
    </w:p>
    <w:p>
      <w:pPr>
        <w:spacing w:after="0" w:line="181" w:lineRule="exact"/>
        <w:rPr>
          <w:rFonts w:ascii="Courier New" w:cs="Courier New" w:eastAsia="Courier New" w:hAnsi="Courier New"/>
          <w:sz w:val="16"/>
          <w:szCs w:val="16"/>
          <w:color w:val="auto"/>
        </w:rPr>
      </w:pPr>
    </w:p>
    <w:p>
      <w:pPr>
        <w:ind w:left="500" w:right="2219" w:firstLine="9"/>
        <w:spacing w:after="0" w:line="241" w:lineRule="auto"/>
        <w:tabs>
          <w:tab w:leader="none" w:pos="100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 the senior debt securities of such series mature within one year or all of them are to be called for redemption within one year under arrangements satisfactory to the trustee for giving the notice of redemption;</w:t>
      </w:r>
    </w:p>
    <w:p>
      <w:pPr>
        <w:spacing w:after="0" w:line="199" w:lineRule="exact"/>
        <w:rPr>
          <w:sz w:val="20"/>
          <w:szCs w:val="20"/>
          <w:color w:val="auto"/>
        </w:rPr>
      </w:pPr>
    </w:p>
    <w:p>
      <w:pPr>
        <w:ind w:left="500" w:right="2219" w:firstLine="515"/>
        <w:spacing w:after="0" w:line="242" w:lineRule="auto"/>
        <w:tabs>
          <w:tab w:leader="none" w:pos="151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197" w:lineRule="exact"/>
        <w:rPr>
          <w:rFonts w:ascii="Courier New" w:cs="Courier New" w:eastAsia="Courier New" w:hAnsi="Courier New"/>
          <w:sz w:val="17"/>
          <w:szCs w:val="17"/>
          <w:color w:val="auto"/>
        </w:rPr>
      </w:pPr>
    </w:p>
    <w:p>
      <w:pPr>
        <w:ind w:left="500" w:right="2219" w:firstLine="515"/>
        <w:spacing w:after="0" w:line="241" w:lineRule="auto"/>
        <w:tabs>
          <w:tab w:leader="none" w:pos="151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200" w:lineRule="exact"/>
        <w:rPr>
          <w:sz w:val="20"/>
          <w:szCs w:val="20"/>
          <w:color w:val="auto"/>
        </w:rPr>
      </w:pPr>
    </w:p>
    <w:p>
      <w:pPr>
        <w:ind w:right="2219" w:firstLine="505"/>
        <w:spacing w:after="0" w:line="269" w:lineRule="auto"/>
        <w:rPr>
          <w:sz w:val="20"/>
          <w:szCs w:val="20"/>
          <w:color w:val="auto"/>
        </w:rPr>
      </w:pPr>
      <w:r>
        <w:rPr>
          <w:rFonts w:ascii="Courier New" w:cs="Courier New" w:eastAsia="Courier New" w:hAnsi="Courier New"/>
          <w:sz w:val="16"/>
          <w:szCs w:val="16"/>
          <w:color w:val="auto"/>
        </w:rPr>
        <w:t>With respect to the first bullet point, only our obligations to compensate and indemnify the trustee and our right to recover excess money held by the</w:t>
      </w:r>
    </w:p>
    <w:p>
      <w:pPr>
        <w:sectPr>
          <w:pgSz w:w="11900" w:h="16862" w:orient="portrait"/>
          <w:cols w:equalWidth="0" w:num="1">
            <w:col w:w="10219"/>
          </w:cols>
          <w:pgMar w:left="240" w:top="1088" w:right="1440" w:bottom="0" w:gutter="0" w:footer="0" w:header="0"/>
        </w:sectPr>
      </w:pPr>
    </w:p>
    <w:bookmarkStart w:id="21" w:name="page22"/>
    <w:bookmarkEnd w:id="21"/>
    <w:p>
      <w:pPr>
        <w:ind w:right="2439"/>
        <w:spacing w:after="0"/>
        <w:rPr>
          <w:sz w:val="20"/>
          <w:szCs w:val="20"/>
          <w:color w:val="auto"/>
        </w:rPr>
      </w:pPr>
      <w:r>
        <w:rPr>
          <w:rFonts w:ascii="Courier New" w:cs="Courier New" w:eastAsia="Courier New" w:hAnsi="Courier New"/>
          <w:sz w:val="17"/>
          <w:szCs w:val="17"/>
          <w:color w:val="auto"/>
        </w:rPr>
        <w:t>trustee under the indenture shall survive. With respect to the second bullet point, only our obligations with respect to the issue of defeased senior debt securities to</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142" w:right="1440" w:bottom="1440" w:gutter="0" w:footer="0" w:header="0"/>
        </w:sectPr>
      </w:pPr>
    </w:p>
    <w:bookmarkStart w:id="22" w:name="page23"/>
    <w:bookmarkEnd w:id="22"/>
    <w:p>
      <w:pPr>
        <w:ind w:right="2319"/>
        <w:spacing w:after="0" w:line="242" w:lineRule="auto"/>
        <w:rPr>
          <w:sz w:val="20"/>
          <w:szCs w:val="20"/>
          <w:color w:val="auto"/>
        </w:rPr>
      </w:pPr>
      <w:r>
        <w:rPr>
          <w:rFonts w:ascii="Courier New" w:cs="Courier New" w:eastAsia="Courier New" w:hAnsi="Courier New"/>
          <w:sz w:val="17"/>
          <w:szCs w:val="17"/>
          <w:color w:val="auto"/>
        </w:rPr>
        <w:t>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97" w:lineRule="exact"/>
        <w:rPr>
          <w:sz w:val="20"/>
          <w:szCs w:val="20"/>
          <w:color w:val="auto"/>
        </w:rPr>
      </w:pPr>
    </w:p>
    <w:p>
      <w:pPr>
        <w:ind w:right="2439" w:firstLine="505"/>
        <w:spacing w:after="0" w:line="239" w:lineRule="auto"/>
        <w:rPr>
          <w:sz w:val="20"/>
          <w:szCs w:val="20"/>
          <w:color w:val="auto"/>
        </w:rPr>
      </w:pPr>
      <w:r>
        <w:rPr>
          <w:rFonts w:ascii="Courier New" w:cs="Courier New" w:eastAsia="Courier New" w:hAnsi="Courier New"/>
          <w:sz w:val="17"/>
          <w:szCs w:val="17"/>
          <w:color w:val="auto"/>
        </w:rPr>
        <w:t>The senior indenture also provides that, except as otherwise provided in this paragraph, we:</w:t>
      </w:r>
    </w:p>
    <w:p>
      <w:pPr>
        <w:spacing w:after="0" w:line="200" w:lineRule="exact"/>
        <w:rPr>
          <w:sz w:val="20"/>
          <w:szCs w:val="20"/>
          <w:color w:val="auto"/>
        </w:rPr>
      </w:pPr>
    </w:p>
    <w:p>
      <w:pPr>
        <w:ind w:right="2319" w:firstLine="509"/>
        <w:spacing w:after="0" w:line="241" w:lineRule="auto"/>
        <w:tabs>
          <w:tab w:leader="none" w:pos="101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198" w:lineRule="exact"/>
        <w:rPr>
          <w:rFonts w:ascii="Courier New" w:cs="Courier New" w:eastAsia="Courier New" w:hAnsi="Courier New"/>
          <w:sz w:val="17"/>
          <w:szCs w:val="17"/>
          <w:color w:val="auto"/>
        </w:rPr>
      </w:pPr>
    </w:p>
    <w:p>
      <w:pPr>
        <w:ind w:right="2119" w:firstLine="509"/>
        <w:spacing w:after="0" w:line="241" w:lineRule="auto"/>
        <w:tabs>
          <w:tab w:leader="none" w:pos="101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3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provided that the following conditions shall have been satisfied:</w:t>
      </w:r>
    </w:p>
    <w:p>
      <w:pPr>
        <w:spacing w:after="0" w:line="393" w:lineRule="exact"/>
        <w:rPr>
          <w:sz w:val="20"/>
          <w:szCs w:val="20"/>
          <w:color w:val="auto"/>
        </w:rPr>
      </w:pPr>
    </w:p>
    <w:p>
      <w:pPr>
        <w:ind w:left="500" w:right="2219" w:firstLine="515"/>
        <w:spacing w:after="0" w:line="242" w:lineRule="auto"/>
        <w:tabs>
          <w:tab w:leader="none" w:pos="151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98" w:lineRule="exact"/>
        <w:rPr>
          <w:rFonts w:ascii="Courier New" w:cs="Courier New" w:eastAsia="Courier New" w:hAnsi="Courier New"/>
          <w:sz w:val="17"/>
          <w:szCs w:val="17"/>
          <w:color w:val="auto"/>
        </w:rPr>
      </w:pPr>
    </w:p>
    <w:p>
      <w:pPr>
        <w:ind w:left="500" w:right="2319" w:firstLine="515"/>
        <w:spacing w:after="0" w:line="263" w:lineRule="auto"/>
        <w:tabs>
          <w:tab w:leader="none" w:pos="15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the indenture or any other material agreement or instrument to which we are a party or by which we are bound;</w:t>
      </w:r>
    </w:p>
    <w:p>
      <w:pPr>
        <w:spacing w:after="0" w:line="181" w:lineRule="exact"/>
        <w:rPr>
          <w:rFonts w:ascii="Courier New" w:cs="Courier New" w:eastAsia="Courier New" w:hAnsi="Courier New"/>
          <w:sz w:val="16"/>
          <w:szCs w:val="16"/>
          <w:color w:val="auto"/>
        </w:rPr>
      </w:pPr>
    </w:p>
    <w:p>
      <w:pPr>
        <w:ind w:left="500" w:right="2439" w:firstLine="515"/>
        <w:spacing w:after="0"/>
        <w:tabs>
          <w:tab w:leader="none" w:pos="151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with respect to the senior debt securities of such series shall have occurred and be continuing on the date of such deposit;</w:t>
      </w:r>
    </w:p>
    <w:p>
      <w:pPr>
        <w:spacing w:after="0" w:line="197" w:lineRule="exact"/>
        <w:rPr>
          <w:rFonts w:ascii="Courier New" w:cs="Courier New" w:eastAsia="Courier New" w:hAnsi="Courier New"/>
          <w:sz w:val="17"/>
          <w:szCs w:val="17"/>
          <w:color w:val="auto"/>
        </w:rPr>
      </w:pPr>
    </w:p>
    <w:p>
      <w:pPr>
        <w:ind w:left="1520" w:hanging="505"/>
        <w:spacing w:after="0"/>
        <w:tabs>
          <w:tab w:leader="none" w:pos="1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have delivered to the trustee:</w:t>
      </w:r>
    </w:p>
    <w:p>
      <w:pPr>
        <w:spacing w:after="0" w:line="196" w:lineRule="exact"/>
        <w:rPr>
          <w:sz w:val="20"/>
          <w:szCs w:val="20"/>
          <w:color w:val="auto"/>
        </w:rPr>
      </w:pPr>
    </w:p>
    <w:p>
      <w:pPr>
        <w:ind w:left="2540" w:hanging="514"/>
        <w:spacing w:after="0"/>
        <w:tabs>
          <w:tab w:leader="none" w:pos="25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an opinion of counsel</w:t>
      </w:r>
    </w:p>
    <w:p>
      <w:pPr>
        <w:spacing w:after="0" w:line="4" w:lineRule="exact"/>
        <w:rPr>
          <w:sz w:val="20"/>
          <w:szCs w:val="20"/>
          <w:color w:val="auto"/>
        </w:rPr>
      </w:pPr>
    </w:p>
    <w:p>
      <w:pPr>
        <w:ind w:left="1520" w:right="2319"/>
        <w:spacing w:after="0" w:line="242" w:lineRule="auto"/>
        <w:rPr>
          <w:sz w:val="20"/>
          <w:szCs w:val="20"/>
          <w:color w:val="auto"/>
        </w:rPr>
      </w:pPr>
      <w:r>
        <w:rPr>
          <w:rFonts w:ascii="Courier New" w:cs="Courier New" w:eastAsia="Courier New" w:hAnsi="Courier New"/>
          <w:sz w:val="17"/>
          <w:szCs w:val="17"/>
          <w:color w:val="auto"/>
        </w:rPr>
        <w:t>that the holders of the senior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97" w:lineRule="exact"/>
        <w:rPr>
          <w:sz w:val="20"/>
          <w:szCs w:val="20"/>
          <w:color w:val="auto"/>
        </w:rPr>
      </w:pPr>
    </w:p>
    <w:p>
      <w:pPr>
        <w:jc w:val="both"/>
        <w:ind w:left="1520" w:right="2439" w:firstLine="506"/>
        <w:spacing w:after="0" w:line="241" w:lineRule="auto"/>
        <w:tabs>
          <w:tab w:leader="none" w:pos="243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opinion of counsel that the holders of the senior debt securities of such series have a valid security interest in the trust funds subject to no prior liens under the Uniform Commercial Code; and</w:t>
      </w:r>
    </w:p>
    <w:p>
      <w:pPr>
        <w:spacing w:after="0" w:line="199" w:lineRule="exact"/>
        <w:rPr>
          <w:sz w:val="20"/>
          <w:szCs w:val="20"/>
          <w:color w:val="auto"/>
        </w:rPr>
      </w:pPr>
    </w:p>
    <w:p>
      <w:pPr>
        <w:ind w:left="500" w:right="2219" w:firstLine="515"/>
        <w:spacing w:after="0" w:line="241" w:lineRule="auto"/>
        <w:tabs>
          <w:tab w:leader="none" w:pos="1511"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199"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Subsequent to legal defeasance under the first bullet point above, our obligations with respect to the issue of defeased senior debt securities to execute and</w:t>
      </w:r>
    </w:p>
    <w:p>
      <w:pPr>
        <w:sectPr>
          <w:pgSz w:w="11900" w:h="16838" w:orient="portrait"/>
          <w:cols w:equalWidth="0" w:num="1">
            <w:col w:w="10219"/>
          </w:cols>
          <w:pgMar w:left="240" w:top="1088" w:right="1440" w:bottom="0" w:gutter="0" w:footer="0" w:header="0"/>
        </w:sectPr>
      </w:pPr>
    </w:p>
    <w:bookmarkStart w:id="23" w:name="page24"/>
    <w:bookmarkEnd w:id="23"/>
    <w:p>
      <w:pPr>
        <w:ind w:left="2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142" w:right="1440" w:bottom="1440" w:gutter="0" w:footer="0" w:header="0"/>
        </w:sectPr>
      </w:pPr>
    </w:p>
    <w:bookmarkStart w:id="24" w:name="page25"/>
    <w:bookmarkEnd w:id="24"/>
    <w:p>
      <w:pPr>
        <w:spacing w:after="0" w:line="19"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3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Modification and Waiver</w:t>
      </w:r>
    </w:p>
    <w:p>
      <w:pPr>
        <w:spacing w:after="0" w:line="393"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We and the trustee may amend or supplement the senior indenture or the senior debt securities without notice to or the consent of any holder:</w:t>
      </w:r>
    </w:p>
    <w:p>
      <w:pPr>
        <w:spacing w:after="0" w:line="200" w:lineRule="exact"/>
        <w:rPr>
          <w:sz w:val="20"/>
          <w:szCs w:val="20"/>
          <w:color w:val="auto"/>
        </w:rPr>
      </w:pPr>
    </w:p>
    <w:p>
      <w:pPr>
        <w:ind w:right="2639" w:firstLine="509"/>
        <w:spacing w:after="0"/>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cure any ambiguity, defect, or inconsistency in the senior indenture; provided that such amendments or supplements shall not adversely affect the interests of the holders in any material respect;</w:t>
      </w:r>
    </w:p>
    <w:p>
      <w:pPr>
        <w:spacing w:after="0" w:line="394" w:lineRule="exact"/>
        <w:rPr>
          <w:rFonts w:ascii="Courier New" w:cs="Courier New" w:eastAsia="Courier New" w:hAnsi="Courier New"/>
          <w:sz w:val="17"/>
          <w:szCs w:val="17"/>
          <w:color w:val="auto"/>
        </w:rPr>
      </w:pPr>
    </w:p>
    <w:p>
      <w:pPr>
        <w:ind w:right="2439" w:firstLine="509"/>
        <w:spacing w:after="0" w:line="239"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the provisions described under "--Certain Covenants-Consolidation, Merger and Sale of Assets";</w:t>
      </w:r>
    </w:p>
    <w:p>
      <w:pPr>
        <w:spacing w:after="0" w:line="394" w:lineRule="exact"/>
        <w:rPr>
          <w:rFonts w:ascii="Courier New" w:cs="Courier New" w:eastAsia="Courier New" w:hAnsi="Courier New"/>
          <w:sz w:val="17"/>
          <w:szCs w:val="17"/>
          <w:color w:val="auto"/>
        </w:rPr>
      </w:pPr>
    </w:p>
    <w:p>
      <w:pPr>
        <w:ind w:right="2639" w:firstLine="509"/>
        <w:spacing w:after="0" w:line="239"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any requirements of the SEC in connection with the qualification of the senior indenture under the Trust Indenture Act;</w:t>
      </w:r>
    </w:p>
    <w:p>
      <w:pPr>
        <w:spacing w:after="0" w:line="199" w:lineRule="exact"/>
        <w:rPr>
          <w:rFonts w:ascii="Courier New" w:cs="Courier New" w:eastAsia="Courier New" w:hAnsi="Courier New"/>
          <w:sz w:val="17"/>
          <w:szCs w:val="17"/>
          <w:color w:val="auto"/>
        </w:rPr>
      </w:pPr>
    </w:p>
    <w:p>
      <w:pPr>
        <w:ind w:right="2439" w:firstLine="509"/>
        <w:spacing w:after="0" w:line="239"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and provide for the acceptance of appointment hereunder by a successor trustee;</w:t>
      </w:r>
    </w:p>
    <w:p>
      <w:pPr>
        <w:spacing w:after="0" w:line="199" w:lineRule="exact"/>
        <w:rPr>
          <w:rFonts w:ascii="Courier New" w:cs="Courier New" w:eastAsia="Courier New" w:hAnsi="Courier New"/>
          <w:sz w:val="17"/>
          <w:szCs w:val="17"/>
          <w:color w:val="auto"/>
        </w:rPr>
      </w:pPr>
    </w:p>
    <w:p>
      <w:pPr>
        <w:ind w:right="2219" w:firstLine="509"/>
        <w:spacing w:after="0" w:line="239"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establish the form or forms or terms of the senior debt securities as permitted by the senior indenture;</w:t>
      </w:r>
    </w:p>
    <w:p>
      <w:pPr>
        <w:spacing w:after="0" w:line="199" w:lineRule="exact"/>
        <w:rPr>
          <w:rFonts w:ascii="Courier New" w:cs="Courier New" w:eastAsia="Courier New" w:hAnsi="Courier New"/>
          <w:sz w:val="17"/>
          <w:szCs w:val="17"/>
          <w:color w:val="auto"/>
        </w:rPr>
      </w:pPr>
    </w:p>
    <w:p>
      <w:pPr>
        <w:ind w:left="100" w:right="2319" w:firstLine="409"/>
        <w:spacing w:after="0" w:line="239" w:lineRule="auto"/>
        <w:tabs>
          <w:tab w:leader="none" w:pos="10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for uncertificated senior debt securities and to make all appropriate changes for such purpose;</w:t>
      </w:r>
    </w:p>
    <w:p>
      <w:pPr>
        <w:spacing w:after="0" w:line="392"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any change that does not adversely affect the rights of any</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holder;</w:t>
      </w:r>
    </w:p>
    <w:p>
      <w:pPr>
        <w:spacing w:after="0" w:line="392" w:lineRule="exact"/>
        <w:rPr>
          <w:rFonts w:ascii="Courier New" w:cs="Courier New" w:eastAsia="Courier New" w:hAnsi="Courier New"/>
          <w:sz w:val="17"/>
          <w:szCs w:val="17"/>
          <w:color w:val="auto"/>
        </w:rPr>
      </w:pPr>
    </w:p>
    <w:p>
      <w:pPr>
        <w:ind w:right="2219" w:firstLine="509"/>
        <w:spacing w:after="0" w:line="241"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98" w:lineRule="exact"/>
        <w:rPr>
          <w:rFonts w:ascii="Courier New" w:cs="Courier New" w:eastAsia="Courier New" w:hAnsi="Courier New"/>
          <w:sz w:val="17"/>
          <w:szCs w:val="17"/>
          <w:color w:val="auto"/>
        </w:rPr>
      </w:pPr>
    </w:p>
    <w:p>
      <w:pPr>
        <w:ind w:right="3239" w:firstLine="509"/>
        <w:spacing w:after="0" w:line="239" w:lineRule="auto"/>
        <w:tabs>
          <w:tab w:leader="none" w:pos="101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any change so long as no senior debt securities are outstanding.</w:t>
      </w:r>
    </w:p>
    <w:p>
      <w:pPr>
        <w:spacing w:after="0" w:line="200"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 principal amount of such series of senior debt securities outstanding; provided, however, that each affected holder must consent to any modification, amendment or waiver that,</w:t>
      </w:r>
    </w:p>
    <w:p>
      <w:pPr>
        <w:spacing w:after="0" w:line="191" w:lineRule="exact"/>
        <w:rPr>
          <w:sz w:val="20"/>
          <w:szCs w:val="20"/>
          <w:color w:val="auto"/>
        </w:rPr>
      </w:pPr>
    </w:p>
    <w:p>
      <w:pPr>
        <w:ind w:right="2439" w:firstLine="509"/>
        <w:spacing w:after="0" w:line="239" w:lineRule="auto"/>
        <w:tabs>
          <w:tab w:leader="none" w:pos="101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the stated maturity of the principal of, or any installment of interest on, any senior debt securities of such series;</w:t>
      </w:r>
    </w:p>
    <w:p>
      <w:pPr>
        <w:spacing w:after="0" w:line="199" w:lineRule="exact"/>
        <w:rPr>
          <w:rFonts w:ascii="Courier New" w:cs="Courier New" w:eastAsia="Courier New" w:hAnsi="Courier New"/>
          <w:sz w:val="17"/>
          <w:szCs w:val="17"/>
          <w:color w:val="auto"/>
        </w:rPr>
      </w:pPr>
    </w:p>
    <w:p>
      <w:pPr>
        <w:ind w:right="2319" w:firstLine="509"/>
        <w:spacing w:after="0" w:line="239" w:lineRule="auto"/>
        <w:tabs>
          <w:tab w:leader="none" w:pos="101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reduces the principal amount of, or premium, if any, or interest on, any senior debt securities of such series;</w:t>
      </w:r>
    </w:p>
    <w:p>
      <w:pPr>
        <w:spacing w:after="0" w:line="199" w:lineRule="exact"/>
        <w:rPr>
          <w:rFonts w:ascii="Courier New" w:cs="Courier New" w:eastAsia="Courier New" w:hAnsi="Courier New"/>
          <w:sz w:val="17"/>
          <w:szCs w:val="17"/>
          <w:color w:val="auto"/>
        </w:rPr>
      </w:pPr>
    </w:p>
    <w:p>
      <w:pPr>
        <w:ind w:right="2219" w:firstLine="509"/>
        <w:spacing w:after="0" w:line="239" w:lineRule="auto"/>
        <w:tabs>
          <w:tab w:leader="none" w:pos="101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the place or currency of payment of principal of, or premium, if any, or interest on, any senior debt securities of such series;</w:t>
      </w:r>
    </w:p>
    <w:p>
      <w:pPr>
        <w:spacing w:after="0" w:line="394" w:lineRule="exact"/>
        <w:rPr>
          <w:rFonts w:ascii="Courier New" w:cs="Courier New" w:eastAsia="Courier New" w:hAnsi="Courier New"/>
          <w:sz w:val="17"/>
          <w:szCs w:val="17"/>
          <w:color w:val="auto"/>
        </w:rPr>
      </w:pPr>
    </w:p>
    <w:p>
      <w:pPr>
        <w:ind w:right="2219" w:firstLine="509"/>
        <w:spacing w:after="0" w:line="239" w:lineRule="auto"/>
        <w:tabs>
          <w:tab w:leader="none" w:pos="101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the provisions for calculating the optional redemption price, including the definitions relating thereto;</w:t>
      </w:r>
    </w:p>
    <w:p>
      <w:pPr>
        <w:spacing w:after="0" w:line="394" w:lineRule="exact"/>
        <w:rPr>
          <w:rFonts w:ascii="Courier New" w:cs="Courier New" w:eastAsia="Courier New" w:hAnsi="Courier New"/>
          <w:sz w:val="17"/>
          <w:szCs w:val="17"/>
          <w:color w:val="auto"/>
        </w:rPr>
      </w:pPr>
    </w:p>
    <w:p>
      <w:pPr>
        <w:ind w:right="2439" w:firstLine="509"/>
        <w:spacing w:after="0" w:line="263" w:lineRule="auto"/>
        <w:tabs>
          <w:tab w:leader="none" w:pos="101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relating to the waiver of past defaults or change or impair the right of holders to receive payment or to institute suit for the enforcement of any payment of any senior debt securities of such</w:t>
      </w:r>
    </w:p>
    <w:p>
      <w:pPr>
        <w:sectPr>
          <w:pgSz w:w="11900" w:h="16857" w:orient="portrait"/>
          <w:cols w:equalWidth="0" w:num="1">
            <w:col w:w="10219"/>
          </w:cols>
          <w:pgMar w:left="240" w:top="1088"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series on or after the due date therefor;</w:t>
      </w:r>
    </w:p>
    <w:p>
      <w:pPr>
        <w:spacing w:after="0" w:line="199" w:lineRule="exact"/>
        <w:rPr>
          <w:sz w:val="20"/>
          <w:szCs w:val="20"/>
          <w:color w:val="auto"/>
        </w:rPr>
      </w:pPr>
    </w:p>
    <w:p>
      <w:pPr>
        <w:ind w:right="2439" w:firstLine="509"/>
        <w:spacing w:after="0" w:line="263" w:lineRule="auto"/>
        <w:tabs>
          <w:tab w:leader="none" w:pos="101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above-stated percentage of outstanding senior debt securities of such series the consent of whose holders is necessary to modify or amend or to waive certain provisions of or defaults under the indenture;</w:t>
      </w:r>
    </w:p>
    <w:p>
      <w:pPr>
        <w:spacing w:after="0" w:line="18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40" w:right="1440" w:bottom="1440" w:gutter="0" w:footer="0" w:header="0"/>
        </w:sectPr>
      </w:pPr>
    </w:p>
    <w:bookmarkStart w:id="26" w:name="page27"/>
    <w:bookmarkEnd w:id="26"/>
    <w:p>
      <w:pPr>
        <w:ind w:right="2539" w:firstLine="509"/>
        <w:spacing w:after="0" w:line="239" w:lineRule="auto"/>
        <w:tabs>
          <w:tab w:leader="none" w:pos="101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alters or impairs the right to convert the senior debt security at the rate and upon the terms provided in the indenture;</w:t>
      </w:r>
    </w:p>
    <w:p>
      <w:pPr>
        <w:spacing w:after="0" w:line="199" w:lineRule="exact"/>
        <w:rPr>
          <w:rFonts w:ascii="Courier New" w:cs="Courier New" w:eastAsia="Courier New" w:hAnsi="Courier New"/>
          <w:sz w:val="17"/>
          <w:szCs w:val="17"/>
          <w:color w:val="auto"/>
        </w:rPr>
      </w:pPr>
    </w:p>
    <w:p>
      <w:pPr>
        <w:ind w:right="2539" w:firstLine="509"/>
        <w:spacing w:after="0" w:line="239" w:lineRule="auto"/>
        <w:tabs>
          <w:tab w:leader="none" w:pos="101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waives a default in the payment of principal of or interest on the senior debt securities;</w:t>
      </w:r>
    </w:p>
    <w:p>
      <w:pPr>
        <w:spacing w:after="0" w:line="394" w:lineRule="exact"/>
        <w:rPr>
          <w:rFonts w:ascii="Courier New" w:cs="Courier New" w:eastAsia="Courier New" w:hAnsi="Courier New"/>
          <w:sz w:val="17"/>
          <w:szCs w:val="17"/>
          <w:color w:val="auto"/>
        </w:rPr>
      </w:pPr>
    </w:p>
    <w:p>
      <w:pPr>
        <w:ind w:right="2319" w:firstLine="509"/>
        <w:spacing w:after="0"/>
        <w:tabs>
          <w:tab w:leader="none" w:pos="101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adversely affects the rights of such holder under any mandatory redemption or repurchase provision or any right of redemption or repurchase at the option of such holder; or</w:t>
      </w:r>
    </w:p>
    <w:p>
      <w:pPr>
        <w:spacing w:after="0" w:line="394" w:lineRule="exact"/>
        <w:rPr>
          <w:rFonts w:ascii="Courier New" w:cs="Courier New" w:eastAsia="Courier New" w:hAnsi="Courier New"/>
          <w:sz w:val="17"/>
          <w:szCs w:val="17"/>
          <w:color w:val="auto"/>
        </w:rPr>
      </w:pPr>
    </w:p>
    <w:p>
      <w:pPr>
        <w:ind w:right="2319" w:firstLine="509"/>
        <w:spacing w:after="0" w:line="241" w:lineRule="auto"/>
        <w:tabs>
          <w:tab w:leader="none" w:pos="101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199" w:lineRule="exact"/>
        <w:rPr>
          <w:sz w:val="20"/>
          <w:szCs w:val="20"/>
          <w:color w:val="auto"/>
        </w:rPr>
      </w:pPr>
    </w:p>
    <w:p>
      <w:pPr>
        <w:ind w:right="2539" w:firstLine="505"/>
        <w:spacing w:after="0" w:line="242" w:lineRule="auto"/>
        <w:rPr>
          <w:sz w:val="20"/>
          <w:szCs w:val="20"/>
          <w:color w:val="auto"/>
        </w:rPr>
      </w:pPr>
      <w:r>
        <w:rPr>
          <w:rFonts w:ascii="Courier New" w:cs="Courier New" w:eastAsia="Courier New" w:hAnsi="Courier New"/>
          <w:sz w:val="17"/>
          <w:szCs w:val="17"/>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197"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392" w:lineRule="exact"/>
        <w:rPr>
          <w:sz w:val="20"/>
          <w:szCs w:val="20"/>
          <w:color w:val="auto"/>
        </w:rPr>
      </w:pPr>
    </w:p>
    <w:p>
      <w:pPr>
        <w:ind w:left="300" w:right="2439"/>
        <w:spacing w:after="0" w:line="239" w:lineRule="auto"/>
        <w:rPr>
          <w:sz w:val="20"/>
          <w:szCs w:val="20"/>
          <w:color w:val="auto"/>
        </w:rPr>
      </w:pPr>
      <w:r>
        <w:rPr>
          <w:rFonts w:ascii="Courier New" w:cs="Courier New" w:eastAsia="Courier New" w:hAnsi="Courier New"/>
          <w:sz w:val="17"/>
          <w:szCs w:val="17"/>
          <w:color w:val="auto"/>
        </w:rPr>
        <w:t>No Personal Liability of Incorporators, Stockholders, Officers, Directors, or Employees</w:t>
      </w:r>
    </w:p>
    <w:p>
      <w:pPr>
        <w:spacing w:after="0" w:line="394"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39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Concerning the Trustee</w:t>
      </w:r>
    </w:p>
    <w:p>
      <w:pPr>
        <w:spacing w:after="0" w:line="393"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37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Governing Law</w:t>
      </w:r>
    </w:p>
    <w:p>
      <w:pPr>
        <w:spacing w:after="0" w:line="393"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The indentures and the debt securities will be governed by, and construed in accordance with, the internal laws of the State of New York.</w:t>
      </w:r>
    </w:p>
    <w:p>
      <w:pPr>
        <w:spacing w:after="0" w:line="39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Trustees</w:t>
      </w:r>
    </w:p>
    <w:p>
      <w:pPr>
        <w:spacing w:after="0" w:line="393" w:lineRule="exact"/>
        <w:rPr>
          <w:sz w:val="20"/>
          <w:szCs w:val="20"/>
          <w:color w:val="auto"/>
        </w:rPr>
      </w:pPr>
    </w:p>
    <w:p>
      <w:pPr>
        <w:ind w:right="2839" w:firstLine="505"/>
        <w:spacing w:after="0" w:line="239" w:lineRule="auto"/>
        <w:rPr>
          <w:sz w:val="20"/>
          <w:szCs w:val="20"/>
          <w:color w:val="auto"/>
        </w:rPr>
      </w:pPr>
      <w:r>
        <w:rPr>
          <w:rFonts w:ascii="Courier New" w:cs="Courier New" w:eastAsia="Courier New" w:hAnsi="Courier New"/>
          <w:sz w:val="17"/>
          <w:szCs w:val="17"/>
          <w:color w:val="auto"/>
        </w:rPr>
        <w:t>We may have normal banking relationships with the trustees under the indentures in the ordinary course of business.</w:t>
      </w:r>
    </w:p>
    <w:p>
      <w:pPr>
        <w:sectPr>
          <w:pgSz w:w="11900" w:h="16838" w:orient="portrait"/>
          <w:cols w:equalWidth="0" w:num="1">
            <w:col w:w="10219"/>
          </w:cols>
          <w:pgMar w:left="240" w:top="1088"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Certain Terms of the Subordinated Debt Securities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39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34" w:right="1440" w:bottom="1440" w:gutter="0" w:footer="0" w:header="0"/>
        </w:sectPr>
      </w:pPr>
    </w:p>
    <w:bookmarkStart w:id="28" w:name="page29"/>
    <w:bookmarkEnd w:id="28"/>
    <w:p>
      <w:pPr>
        <w:spacing w:after="0" w:line="2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Subordination</w:t>
      </w:r>
    </w:p>
    <w:p>
      <w:pPr>
        <w:spacing w:after="0" w:line="393"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200" w:lineRule="exact"/>
        <w:rPr>
          <w:sz w:val="20"/>
          <w:szCs w:val="20"/>
          <w:color w:val="auto"/>
        </w:rPr>
      </w:pPr>
    </w:p>
    <w:p>
      <w:pPr>
        <w:spacing w:after="0" w:line="377"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The term "Senior Indebtedness" means the principal of, premium, if any, interest on, and any other payment due pursuant to any of the following, whether outstanding today or incurred by us in the future:</w:t>
      </w:r>
    </w:p>
    <w:p>
      <w:pPr>
        <w:spacing w:after="0" w:line="198" w:lineRule="exact"/>
        <w:rPr>
          <w:sz w:val="20"/>
          <w:szCs w:val="20"/>
          <w:color w:val="auto"/>
        </w:rPr>
      </w:pPr>
    </w:p>
    <w:p>
      <w:pPr>
        <w:ind w:left="1020" w:hanging="511"/>
        <w:spacing w:after="0"/>
        <w:tabs>
          <w:tab w:leader="none" w:pos="10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our indebtedness for money borrowed, including any</w:t>
      </w:r>
    </w:p>
    <w:p>
      <w:pPr>
        <w:spacing w:after="0" w:line="4" w:lineRule="exact"/>
        <w:rPr>
          <w:rFonts w:ascii="Courier New" w:cs="Courier New" w:eastAsia="Courier New" w:hAnsi="Courier New"/>
          <w:sz w:val="17"/>
          <w:szCs w:val="17"/>
          <w:color w:val="auto"/>
        </w:rPr>
      </w:pPr>
    </w:p>
    <w:p>
      <w:pPr>
        <w:ind w:right="23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98" w:lineRule="exact"/>
        <w:rPr>
          <w:rFonts w:ascii="Courier New" w:cs="Courier New" w:eastAsia="Courier New" w:hAnsi="Courier New"/>
          <w:sz w:val="17"/>
          <w:szCs w:val="17"/>
          <w:color w:val="auto"/>
        </w:rPr>
      </w:pPr>
    </w:p>
    <w:p>
      <w:pPr>
        <w:ind w:right="2739" w:firstLine="509"/>
        <w:spacing w:after="0" w:line="239" w:lineRule="auto"/>
        <w:tabs>
          <w:tab w:leader="none" w:pos="101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our indebtedness evidences by notes, debentures, bonds or other securities sold by us for money;</w:t>
      </w:r>
    </w:p>
    <w:p>
      <w:pPr>
        <w:spacing w:after="0" w:line="199" w:lineRule="exact"/>
        <w:rPr>
          <w:rFonts w:ascii="Courier New" w:cs="Courier New" w:eastAsia="Courier New" w:hAnsi="Courier New"/>
          <w:sz w:val="17"/>
          <w:szCs w:val="17"/>
          <w:color w:val="auto"/>
        </w:rPr>
      </w:pPr>
    </w:p>
    <w:p>
      <w:pPr>
        <w:ind w:right="2539" w:firstLine="509"/>
        <w:spacing w:after="0" w:line="239" w:lineRule="auto"/>
        <w:tabs>
          <w:tab w:leader="none" w:pos="101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our lease obligations which are capitalized on our books in accordance with generally accepted accounting principles;</w:t>
      </w:r>
    </w:p>
    <w:p>
      <w:pPr>
        <w:spacing w:after="0" w:line="199" w:lineRule="exact"/>
        <w:rPr>
          <w:rFonts w:ascii="Courier New" w:cs="Courier New" w:eastAsia="Courier New" w:hAnsi="Courier New"/>
          <w:sz w:val="17"/>
          <w:szCs w:val="17"/>
          <w:color w:val="auto"/>
        </w:rPr>
      </w:pPr>
    </w:p>
    <w:p>
      <w:pPr>
        <w:ind w:right="2319" w:firstLine="509"/>
        <w:spacing w:after="0" w:line="241" w:lineRule="auto"/>
        <w:tabs>
          <w:tab w:leader="none" w:pos="101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99" w:lineRule="exact"/>
        <w:rPr>
          <w:rFonts w:ascii="Courier New" w:cs="Courier New" w:eastAsia="Courier New" w:hAnsi="Courier New"/>
          <w:sz w:val="17"/>
          <w:szCs w:val="17"/>
          <w:color w:val="auto"/>
        </w:rPr>
      </w:pPr>
    </w:p>
    <w:p>
      <w:pPr>
        <w:ind w:right="2439" w:firstLine="509"/>
        <w:spacing w:after="0" w:line="241" w:lineRule="auto"/>
        <w:tabs>
          <w:tab w:leader="none" w:pos="101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39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 between us and Morgan Guaranty Trust Company of New York, as trustee, constitute Senior Indebtedness for purposes of the subordinated debt indenture.</w:t>
      </w:r>
    </w:p>
    <w:p>
      <w:pPr>
        <w:spacing w:after="0" w:line="399" w:lineRule="exact"/>
        <w:rPr>
          <w:sz w:val="20"/>
          <w:szCs w:val="20"/>
          <w:color w:val="auto"/>
        </w:rPr>
      </w:pPr>
    </w:p>
    <w:p>
      <w:pPr>
        <w:ind w:right="4039"/>
        <w:spacing w:after="0" w:line="239" w:lineRule="auto"/>
        <w:rPr>
          <w:sz w:val="20"/>
          <w:szCs w:val="20"/>
          <w:color w:val="auto"/>
        </w:rPr>
      </w:pPr>
      <w:r>
        <w:rPr>
          <w:rFonts w:ascii="Courier New" w:cs="Courier New" w:eastAsia="Courier New" w:hAnsi="Courier New"/>
          <w:sz w:val="17"/>
          <w:szCs w:val="17"/>
          <w:color w:val="auto"/>
        </w:rPr>
        <w:t>Special Terms Applicable to the Issuance of Subordinated Debt Securities to one of our Trust Subsidiaries</w:t>
      </w:r>
    </w:p>
    <w:p>
      <w:pPr>
        <w:spacing w:after="0" w:line="394"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3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Certain Covenants</w:t>
      </w:r>
    </w:p>
    <w:p>
      <w:pPr>
        <w:spacing w:after="0" w:line="393" w:lineRule="exact"/>
        <w:rPr>
          <w:sz w:val="20"/>
          <w:szCs w:val="20"/>
          <w:color w:val="auto"/>
        </w:rPr>
      </w:pPr>
    </w:p>
    <w:p>
      <w:pPr>
        <w:ind w:right="2839" w:firstLine="505"/>
        <w:spacing w:after="0" w:line="269" w:lineRule="auto"/>
        <w:rPr>
          <w:sz w:val="20"/>
          <w:szCs w:val="20"/>
          <w:color w:val="auto"/>
        </w:rPr>
      </w:pPr>
      <w:r>
        <w:rPr>
          <w:rFonts w:ascii="Courier New" w:cs="Courier New" w:eastAsia="Courier New" w:hAnsi="Courier New"/>
          <w:sz w:val="16"/>
          <w:szCs w:val="16"/>
          <w:color w:val="auto"/>
        </w:rPr>
        <w:t>If we issue subordinated debt securities to a trust subsidiary or a trustee of such trust in connection with the issuance of guaranteed trust</w:t>
      </w:r>
    </w:p>
    <w:p>
      <w:pPr>
        <w:sectPr>
          <w:pgSz w:w="11900" w:h="16862" w:orient="portrait"/>
          <w:cols w:equalWidth="0" w:num="1">
            <w:col w:w="10219"/>
          </w:cols>
          <w:pgMar w:left="240" w:top="891"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preferred securities by such trust subsidiary and:</w:t>
      </w:r>
    </w:p>
    <w:p>
      <w:pPr>
        <w:spacing w:after="0" w:line="199" w:lineRule="exact"/>
        <w:rPr>
          <w:sz w:val="20"/>
          <w:szCs w:val="20"/>
          <w:color w:val="auto"/>
        </w:rPr>
      </w:pPr>
    </w:p>
    <w:p>
      <w:pPr>
        <w:ind w:left="100" w:right="2219" w:firstLine="409"/>
        <w:spacing w:after="0" w:line="239" w:lineRule="auto"/>
        <w:tabs>
          <w:tab w:leader="none" w:pos="101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occurred any event that would constitute an event of default; or</w:t>
      </w:r>
    </w:p>
    <w:p>
      <w:pPr>
        <w:spacing w:after="0" w:line="199" w:lineRule="exact"/>
        <w:rPr>
          <w:rFonts w:ascii="Courier New" w:cs="Courier New" w:eastAsia="Courier New" w:hAnsi="Courier New"/>
          <w:sz w:val="17"/>
          <w:szCs w:val="17"/>
          <w:color w:val="auto"/>
        </w:rPr>
      </w:pPr>
    </w:p>
    <w:p>
      <w:pPr>
        <w:ind w:right="2739" w:firstLine="509"/>
        <w:spacing w:after="0" w:line="239" w:lineRule="auto"/>
        <w:tabs>
          <w:tab w:leader="none" w:pos="101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in default with respect to our payment of any obligations under the related guaranteed trust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40" w:right="1440" w:bottom="1440" w:gutter="0" w:footer="0" w:header="0"/>
        </w:sectPr>
      </w:pPr>
    </w:p>
    <w:bookmarkStart w:id="30" w:name="page31"/>
    <w:bookmarkEnd w:id="30"/>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securities guarantee or common securities guarantee, then</w:t>
      </w:r>
    </w:p>
    <w:p>
      <w:pPr>
        <w:spacing w:after="0" w:line="393" w:lineRule="exact"/>
        <w:rPr>
          <w:sz w:val="20"/>
          <w:szCs w:val="20"/>
          <w:color w:val="auto"/>
        </w:rPr>
      </w:pPr>
    </w:p>
    <w:p>
      <w:pPr>
        <w:ind w:left="500" w:right="2319" w:firstLine="515"/>
        <w:spacing w:after="0" w:line="242" w:lineRule="auto"/>
        <w:tabs>
          <w:tab w:leader="none" w:pos="151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 (2) 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392" w:lineRule="exact"/>
        <w:rPr>
          <w:rFonts w:ascii="Courier New" w:cs="Courier New" w:eastAsia="Courier New" w:hAnsi="Courier New"/>
          <w:sz w:val="17"/>
          <w:szCs w:val="17"/>
          <w:color w:val="auto"/>
        </w:rPr>
      </w:pPr>
    </w:p>
    <w:p>
      <w:pPr>
        <w:ind w:left="500" w:right="2219" w:firstLine="515"/>
        <w:spacing w:after="0" w:line="260" w:lineRule="auto"/>
        <w:tabs>
          <w:tab w:leader="none" w:pos="151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85" w:lineRule="exact"/>
        <w:rPr>
          <w:sz w:val="20"/>
          <w:szCs w:val="20"/>
          <w:color w:val="auto"/>
        </w:rPr>
      </w:pPr>
    </w:p>
    <w:p>
      <w:pPr>
        <w:ind w:right="2439" w:firstLine="505"/>
        <w:spacing w:after="0" w:line="257" w:lineRule="auto"/>
        <w:rPr>
          <w:sz w:val="20"/>
          <w:szCs w:val="20"/>
          <w:color w:val="auto"/>
        </w:rPr>
      </w:pPr>
      <w:r>
        <w:rPr>
          <w:rFonts w:ascii="Courier New" w:cs="Courier New" w:eastAsia="Courier New" w:hAnsi="Courier New"/>
          <w:sz w:val="16"/>
          <w:szCs w:val="16"/>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w:t>
      </w:r>
    </w:p>
    <w:p>
      <w:pPr>
        <w:spacing w:after="0" w:line="3" w:lineRule="exact"/>
        <w:rPr>
          <w:sz w:val="20"/>
          <w:szCs w:val="20"/>
          <w:color w:val="auto"/>
        </w:rPr>
      </w:pPr>
    </w:p>
    <w:p>
      <w:pPr>
        <w:ind w:right="3239" w:firstLine="4"/>
        <w:spacing w:after="0" w:line="239" w:lineRule="auto"/>
        <w:tabs>
          <w:tab w:leader="none" w:pos="40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occurred any event of default, as defined in the subordinated indenture, then:</w:t>
      </w:r>
    </w:p>
    <w:p>
      <w:pPr>
        <w:spacing w:after="0" w:line="394" w:lineRule="exact"/>
        <w:rPr>
          <w:sz w:val="20"/>
          <w:szCs w:val="20"/>
          <w:color w:val="auto"/>
        </w:rPr>
      </w:pPr>
    </w:p>
    <w:p>
      <w:pPr>
        <w:ind w:right="2439" w:firstLine="509"/>
        <w:spacing w:after="0" w:line="258" w:lineRule="auto"/>
        <w:tabs>
          <w:tab w:leader="none" w:pos="101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384" w:lineRule="exact"/>
        <w:rPr>
          <w:rFonts w:ascii="Courier New" w:cs="Courier New" w:eastAsia="Courier New" w:hAnsi="Courier New"/>
          <w:sz w:val="16"/>
          <w:szCs w:val="16"/>
          <w:color w:val="auto"/>
        </w:rPr>
      </w:pPr>
    </w:p>
    <w:p>
      <w:pPr>
        <w:ind w:right="2439" w:firstLine="509"/>
        <w:spacing w:after="0" w:line="241" w:lineRule="auto"/>
        <w:tabs>
          <w:tab w:leader="none" w:pos="1011"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20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If we issue subordinated debt securities to a trust subsidiary or a trustee of such trust in connection with the issuance of guaranteed trust preferred securities of such trust subsidiary, for so long as such guaranteed trust preferred securities remain outstanding, we will:</w:t>
      </w:r>
    </w:p>
    <w:p>
      <w:pPr>
        <w:spacing w:after="0" w:line="199" w:lineRule="exact"/>
        <w:rPr>
          <w:sz w:val="20"/>
          <w:szCs w:val="20"/>
          <w:color w:val="auto"/>
        </w:rPr>
      </w:pPr>
    </w:p>
    <w:p>
      <w:pPr>
        <w:ind w:right="2739" w:firstLine="509"/>
        <w:spacing w:after="0" w:line="241" w:lineRule="auto"/>
        <w:tabs>
          <w:tab w:leader="none" w:pos="1011"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390"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our reasonable efforts to cause such trust subsidiary:</w:t>
      </w:r>
    </w:p>
    <w:p>
      <w:pPr>
        <w:spacing w:after="0" w:line="393" w:lineRule="exact"/>
        <w:rPr>
          <w:sz w:val="20"/>
          <w:szCs w:val="20"/>
          <w:color w:val="auto"/>
        </w:rPr>
      </w:pPr>
    </w:p>
    <w:p>
      <w:pPr>
        <w:ind w:left="500" w:right="2319" w:firstLine="515"/>
        <w:spacing w:after="0" w:line="241" w:lineRule="auto"/>
        <w:tabs>
          <w:tab w:leader="none" w:pos="1511"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 and</w:t>
      </w:r>
    </w:p>
    <w:p>
      <w:pPr>
        <w:spacing w:after="0" w:line="394" w:lineRule="exact"/>
        <w:rPr>
          <w:rFonts w:ascii="Courier New" w:cs="Courier New" w:eastAsia="Courier New" w:hAnsi="Courier New"/>
          <w:sz w:val="17"/>
          <w:szCs w:val="17"/>
          <w:color w:val="auto"/>
        </w:rPr>
      </w:pPr>
    </w:p>
    <w:p>
      <w:pPr>
        <w:ind w:left="500" w:right="2439" w:firstLine="515"/>
        <w:spacing w:after="0"/>
        <w:tabs>
          <w:tab w:leader="none" w:pos="1511"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otherwise continue not to be treated as an association taxable as a corporation or partnership for United States federal income tax purposes; and</w:t>
      </w:r>
    </w:p>
    <w:p>
      <w:pPr>
        <w:spacing w:after="0" w:line="394" w:lineRule="exact"/>
        <w:rPr>
          <w:rFonts w:ascii="Courier New" w:cs="Courier New" w:eastAsia="Courier New" w:hAnsi="Courier New"/>
          <w:sz w:val="17"/>
          <w:szCs w:val="17"/>
          <w:color w:val="auto"/>
        </w:rPr>
      </w:pPr>
    </w:p>
    <w:p>
      <w:pPr>
        <w:ind w:left="500" w:right="2219" w:firstLine="515"/>
        <w:spacing w:after="0" w:line="269" w:lineRule="auto"/>
        <w:tabs>
          <w:tab w:leader="none" w:pos="151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our reasonable efforts to cause each holder of guaranteed trust preferred securities to be treated as owning an individual</w:t>
      </w:r>
    </w:p>
    <w:p>
      <w:pPr>
        <w:sectPr>
          <w:pgSz w:w="11900" w:h="16862" w:orient="portrait"/>
          <w:cols w:equalWidth="0" w:num="1">
            <w:col w:w="10219"/>
          </w:cols>
          <w:pgMar w:left="240" w:top="1086"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beneficial interest in the subordinated debt securities.</w:t>
      </w:r>
    </w:p>
    <w:p>
      <w:pPr>
        <w:sectPr>
          <w:pgSz w:w="11900" w:h="16838" w:orient="portrait"/>
          <w:cols w:equalWidth="0" w:num="1">
            <w:col w:w="9719"/>
          </w:cols>
          <w:pgMar w:left="740" w:top="142"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19"/>
          </w:cols>
          <w:pgMar w:left="740" w:top="142" w:right="1440" w:bottom="1440" w:gutter="0" w:footer="0" w:header="0"/>
          <w:type w:val="continuous"/>
        </w:sectPr>
      </w:pPr>
    </w:p>
    <w:bookmarkStart w:id="32" w:name="page33"/>
    <w:bookmarkEnd w:id="32"/>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Events of Default, Waiver and Notice</w:t>
      </w:r>
    </w:p>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addition to the events of default applicable to</w:t>
      </w:r>
    </w:p>
    <w:p>
      <w:pPr>
        <w:spacing w:after="0" w:line="4"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199" w:lineRule="exact"/>
        <w:rPr>
          <w:sz w:val="20"/>
          <w:szCs w:val="20"/>
          <w:color w:val="auto"/>
        </w:rPr>
      </w:pPr>
    </w:p>
    <w:p>
      <w:pPr>
        <w:ind w:left="500" w:right="2319"/>
        <w:spacing w:after="0" w:line="241" w:lineRule="auto"/>
        <w:rPr>
          <w:sz w:val="20"/>
          <w:szCs w:val="20"/>
          <w:color w:val="auto"/>
        </w:rPr>
      </w:pPr>
      <w:r>
        <w:rPr>
          <w:rFonts w:ascii="Courier New" w:cs="Courier New" w:eastAsia="Courier New" w:hAnsi="Courier New"/>
          <w:sz w:val="17"/>
          <w:szCs w:val="17"/>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Debt Securities</w:t>
      </w:r>
    </w:p>
    <w:p>
      <w:pPr>
        <w:spacing w:after="0" w:line="39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203" w:lineRule="exact"/>
        <w:rPr>
          <w:sz w:val="20"/>
          <w:szCs w:val="20"/>
          <w:color w:val="auto"/>
        </w:rPr>
      </w:pPr>
    </w:p>
    <w:p>
      <w:pPr>
        <w:jc w:val="both"/>
        <w:ind w:right="2539" w:firstLine="505"/>
        <w:spacing w:after="0"/>
        <w:rPr>
          <w:sz w:val="20"/>
          <w:szCs w:val="20"/>
          <w:color w:val="auto"/>
        </w:rPr>
      </w:pPr>
      <w:r>
        <w:rPr>
          <w:rFonts w:ascii="Courier New" w:cs="Courier New" w:eastAsia="Courier New" w:hAnsi="Courier New"/>
          <w:sz w:val="17"/>
          <w:szCs w:val="17"/>
          <w:color w:val="auto"/>
        </w:rPr>
        <w:t>Unless otherwise indicated in the prospectus supplement, the following provisions will apply to debt securities being offered that may be exchanged for or converted into capital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ind w:left="500"/>
              <w:spacing w:after="0"/>
              <w:rPr>
                <w:sz w:val="20"/>
                <w:szCs w:val="20"/>
                <w:color w:val="auto"/>
              </w:rPr>
            </w:pPr>
            <w:r>
              <w:rPr>
                <w:rFonts w:ascii="Courier New" w:cs="Courier New" w:eastAsia="Courier New" w:hAnsi="Courier New"/>
                <w:sz w:val="17"/>
                <w:szCs w:val="17"/>
                <w:color w:val="auto"/>
              </w:rPr>
              <w:t>The holder of any</w:t>
            </w:r>
          </w:p>
        </w:tc>
        <w:tc>
          <w:tcPr>
            <w:tcW w:w="56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debt securities convertible into capital stock will</w:t>
            </w:r>
          </w:p>
        </w:tc>
      </w:tr>
      <w:tr>
        <w:trPr>
          <w:trHeight w:val="194"/>
        </w:trPr>
        <w:tc>
          <w:tcPr>
            <w:tcW w:w="5000" w:type="dxa"/>
            <w:vAlign w:val="bottom"/>
            <w:gridSpan w:val="3"/>
          </w:tcPr>
          <w:p>
            <w:pPr>
              <w:spacing w:after="0"/>
              <w:rPr>
                <w:sz w:val="20"/>
                <w:szCs w:val="20"/>
                <w:color w:val="auto"/>
              </w:rPr>
            </w:pPr>
            <w:r>
              <w:rPr>
                <w:rFonts w:ascii="Courier New" w:cs="Courier New" w:eastAsia="Courier New" w:hAnsi="Courier New"/>
                <w:sz w:val="17"/>
                <w:szCs w:val="17"/>
                <w:color w:val="auto"/>
                <w:w w:val="99"/>
              </w:rPr>
              <w:t>have the right exercisable at any time during the</w:t>
            </w:r>
          </w:p>
        </w:tc>
        <w:tc>
          <w:tcPr>
            <w:tcW w:w="2900" w:type="dxa"/>
            <w:vAlign w:val="bottom"/>
          </w:tcPr>
          <w:p>
            <w:pPr>
              <w:ind w:left="60"/>
              <w:spacing w:after="0"/>
              <w:rPr>
                <w:sz w:val="20"/>
                <w:szCs w:val="20"/>
                <w:color w:val="auto"/>
              </w:rPr>
            </w:pPr>
            <w:r>
              <w:rPr>
                <w:rFonts w:ascii="Courier New" w:cs="Courier New" w:eastAsia="Courier New" w:hAnsi="Courier New"/>
                <w:sz w:val="17"/>
                <w:szCs w:val="17"/>
                <w:color w:val="auto"/>
                <w:w w:val="98"/>
              </w:rPr>
              <w:t>time period specified in the</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prospectus supplement,</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unless previously</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redeemed</w:t>
            </w:r>
          </w:p>
        </w:tc>
        <w:tc>
          <w:tcPr>
            <w:tcW w:w="2900" w:type="dxa"/>
            <w:vAlign w:val="bottom"/>
          </w:tcPr>
          <w:p>
            <w:pPr>
              <w:ind w:left="60"/>
              <w:spacing w:after="0"/>
              <w:rPr>
                <w:sz w:val="20"/>
                <w:szCs w:val="20"/>
                <w:color w:val="auto"/>
              </w:rPr>
            </w:pPr>
            <w:r>
              <w:rPr>
                <w:rFonts w:ascii="Courier New" w:cs="Courier New" w:eastAsia="Courier New" w:hAnsi="Courier New"/>
                <w:sz w:val="17"/>
                <w:szCs w:val="17"/>
                <w:color w:val="auto"/>
              </w:rPr>
              <w:t>by us, to convert such debt</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securities into shares</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of capital stock,</w:t>
            </w:r>
          </w:p>
        </w:tc>
        <w:tc>
          <w:tcPr>
            <w:tcW w:w="3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which may include preferred stock,</w:t>
            </w:r>
          </w:p>
        </w:tc>
      </w:tr>
      <w:tr>
        <w:trPr>
          <w:trHeight w:val="194"/>
        </w:trPr>
        <w:tc>
          <w:tcPr>
            <w:tcW w:w="7900" w:type="dxa"/>
            <w:vAlign w:val="bottom"/>
            <w:gridSpan w:val="4"/>
          </w:tcPr>
          <w:p>
            <w:pPr>
              <w:spacing w:after="0"/>
              <w:rPr>
                <w:sz w:val="20"/>
                <w:szCs w:val="20"/>
                <w:color w:val="auto"/>
              </w:rPr>
            </w:pPr>
            <w:r>
              <w:rPr>
                <w:rFonts w:ascii="Courier New" w:cs="Courier New" w:eastAsia="Courier New" w:hAnsi="Courier New"/>
                <w:sz w:val="17"/>
                <w:szCs w:val="17"/>
                <w:color w:val="auto"/>
              </w:rPr>
              <w:t>class A common stock or class A special common stock, as specified in the</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prospectus supplement,</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at the conversion</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rate for</w:t>
            </w:r>
          </w:p>
        </w:tc>
        <w:tc>
          <w:tcPr>
            <w:tcW w:w="2900" w:type="dxa"/>
            <w:vAlign w:val="bottom"/>
          </w:tcPr>
          <w:p>
            <w:pPr>
              <w:ind w:left="60"/>
              <w:spacing w:after="0"/>
              <w:rPr>
                <w:sz w:val="20"/>
                <w:szCs w:val="20"/>
                <w:color w:val="auto"/>
              </w:rPr>
            </w:pPr>
            <w:r>
              <w:rPr>
                <w:rFonts w:ascii="Courier New" w:cs="Courier New" w:eastAsia="Courier New" w:hAnsi="Courier New"/>
                <w:sz w:val="17"/>
                <w:szCs w:val="17"/>
                <w:color w:val="auto"/>
                <w:w w:val="98"/>
              </w:rPr>
              <w:t>each $1,000 principal amount</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of debt securities set</w:t>
            </w:r>
          </w:p>
        </w:tc>
        <w:tc>
          <w:tcPr>
            <w:tcW w:w="56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forth in the prospectus supplement, subject to</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adjustment.</w:t>
            </w:r>
          </w:p>
        </w:tc>
        <w:tc>
          <w:tcPr>
            <w:tcW w:w="1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00" w:type="dxa"/>
            <w:vAlign w:val="bottom"/>
          </w:tcPr>
          <w:p>
            <w:pPr>
              <w:spacing w:after="0"/>
              <w:rPr>
                <w:sz w:val="16"/>
                <w:szCs w:val="16"/>
                <w:color w:val="auto"/>
              </w:rPr>
            </w:pPr>
          </w:p>
        </w:tc>
      </w:tr>
    </w:tbl>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203" w:lineRule="exact"/>
        <w:rPr>
          <w:sz w:val="20"/>
          <w:szCs w:val="20"/>
          <w:color w:val="auto"/>
        </w:rPr>
      </w:pPr>
    </w:p>
    <w:p>
      <w:pPr>
        <w:ind w:right="2639" w:firstLine="505"/>
        <w:spacing w:after="0"/>
        <w:rPr>
          <w:sz w:val="20"/>
          <w:szCs w:val="20"/>
          <w:color w:val="auto"/>
        </w:rPr>
      </w:pPr>
      <w:r>
        <w:rPr>
          <w:rFonts w:ascii="Courier New" w:cs="Courier New" w:eastAsia="Courier New" w:hAnsi="Courier New"/>
          <w:sz w:val="17"/>
          <w:szCs w:val="17"/>
          <w:color w:val="auto"/>
        </w:rPr>
        <w:t>Unless the terms of the specific debt securities being offered provide otherwise, in certain events, the conversion rate will be subject to adjustment as set forth in the indentures. Such events include:</w:t>
      </w:r>
    </w:p>
    <w:p>
      <w:pPr>
        <w:spacing w:after="0" w:line="200" w:lineRule="exact"/>
        <w:rPr>
          <w:sz w:val="20"/>
          <w:szCs w:val="20"/>
          <w:color w:val="auto"/>
        </w:rPr>
      </w:pPr>
    </w:p>
    <w:p>
      <w:pPr>
        <w:ind w:right="2439" w:firstLine="509"/>
        <w:spacing w:after="0"/>
        <w:tabs>
          <w:tab w:leader="none" w:pos="1011"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issuance of shares of any class of capital stock of ours as a dividend on the class of capital stock into which the debt securities of such series are convertible;</w:t>
      </w:r>
    </w:p>
    <w:p>
      <w:pPr>
        <w:spacing w:after="0" w:line="200" w:lineRule="exact"/>
        <w:rPr>
          <w:rFonts w:ascii="Courier New" w:cs="Courier New" w:eastAsia="Courier New" w:hAnsi="Courier New"/>
          <w:sz w:val="17"/>
          <w:szCs w:val="17"/>
          <w:color w:val="auto"/>
        </w:rPr>
      </w:pPr>
    </w:p>
    <w:p>
      <w:pPr>
        <w:ind w:right="2639" w:firstLine="509"/>
        <w:spacing w:after="0" w:line="269" w:lineRule="auto"/>
        <w:tabs>
          <w:tab w:leader="none" w:pos="11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subdivisions, combinations and reclassifications of the class of capital stock into which debt securities of such series are convertible;</w:t>
      </w:r>
    </w:p>
    <w:p>
      <w:pPr>
        <w:spacing w:after="0" w:line="177" w:lineRule="exact"/>
        <w:rPr>
          <w:rFonts w:ascii="Courier New" w:cs="Courier New" w:eastAsia="Courier New" w:hAnsi="Courier New"/>
          <w:sz w:val="16"/>
          <w:szCs w:val="16"/>
          <w:color w:val="auto"/>
        </w:rPr>
      </w:pPr>
    </w:p>
    <w:p>
      <w:pPr>
        <w:ind w:right="2319" w:firstLine="509"/>
        <w:spacing w:after="0" w:line="260" w:lineRule="auto"/>
        <w:tabs>
          <w:tab w:leader="none" w:pos="101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84" w:lineRule="exact"/>
        <w:rPr>
          <w:rFonts w:ascii="Courier New" w:cs="Courier New" w:eastAsia="Courier New" w:hAnsi="Courier New"/>
          <w:sz w:val="16"/>
          <w:szCs w:val="16"/>
          <w:color w:val="auto"/>
        </w:rPr>
      </w:pPr>
    </w:p>
    <w:p>
      <w:pPr>
        <w:ind w:right="2539" w:firstLine="509"/>
        <w:spacing w:after="0" w:line="241" w:lineRule="auto"/>
        <w:tabs>
          <w:tab w:leader="none" w:pos="1011"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390"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of cash in excess of certain threshold amounts.</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ectPr>
          <w:pgSz w:w="11900" w:h="16840" w:orient="portrait"/>
          <w:cols w:equalWidth="0" w:num="1">
            <w:col w:w="10219"/>
          </w:cols>
          <w:pgMar w:left="240" w:top="891"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No adjustment of the conversion rate will be</w:t>
      </w:r>
    </w:p>
    <w:p>
      <w:pPr>
        <w:sectPr>
          <w:pgSz w:w="11900" w:h="16838" w:orient="portrait"/>
          <w:cols w:equalWidth="0" w:num="1">
            <w:col w:w="9719"/>
          </w:cols>
          <w:pgMar w:left="740" w:top="531" w:right="1440" w:bottom="1440" w:gutter="0" w:footer="0" w:header="0"/>
        </w:sect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19"/>
          </w:cols>
          <w:pgMar w:left="740" w:top="531" w:right="1440" w:bottom="1440" w:gutter="0" w:footer="0" w:header="0"/>
          <w:type w:val="continuous"/>
        </w:sectPr>
      </w:pPr>
    </w:p>
    <w:bookmarkStart w:id="34" w:name="page35"/>
    <w:bookmarkEnd w:id="34"/>
    <w:p>
      <w:pPr>
        <w:ind w:right="2319"/>
        <w:spacing w:after="0" w:line="241" w:lineRule="auto"/>
        <w:rPr>
          <w:sz w:val="20"/>
          <w:szCs w:val="20"/>
          <w:color w:val="auto"/>
        </w:rPr>
      </w:pPr>
      <w:r>
        <w:rPr>
          <w:rFonts w:ascii="Courier New" w:cs="Courier New" w:eastAsia="Courier New" w:hAnsi="Courier New"/>
          <w:sz w:val="17"/>
          <w:szCs w:val="17"/>
          <w:color w:val="auto"/>
        </w:rPr>
        <w:t>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200" w:lineRule="exact"/>
        <w:rPr>
          <w:sz w:val="20"/>
          <w:szCs w:val="20"/>
          <w:color w:val="auto"/>
        </w:rPr>
      </w:pPr>
    </w:p>
    <w:p>
      <w:pPr>
        <w:spacing w:after="0" w:line="39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DESCRIPTION OF WARRANTS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393" w:lineRule="exact"/>
        <w:rPr>
          <w:sz w:val="20"/>
          <w:szCs w:val="20"/>
          <w:color w:val="auto"/>
        </w:rPr>
      </w:pPr>
    </w:p>
    <w:p>
      <w:pPr>
        <w:ind w:right="2439" w:firstLine="505"/>
        <w:spacing w:after="0" w:line="242" w:lineRule="auto"/>
        <w:rPr>
          <w:sz w:val="20"/>
          <w:szCs w:val="20"/>
          <w:color w:val="auto"/>
        </w:rPr>
      </w:pPr>
      <w:r>
        <w:rPr>
          <w:rFonts w:ascii="Courier New" w:cs="Courier New" w:eastAsia="Courier New" w:hAnsi="Courier New"/>
          <w:sz w:val="17"/>
          <w:szCs w:val="17"/>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97"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The applicable prospectus supplement will describe the following terms of any warrants in respect of which this prospectus is being delivered:</w:t>
      </w:r>
    </w:p>
    <w:p>
      <w:pPr>
        <w:spacing w:after="0" w:line="198" w:lineRule="exact"/>
        <w:rPr>
          <w:sz w:val="20"/>
          <w:szCs w:val="20"/>
          <w:color w:val="auto"/>
        </w:rPr>
      </w:pPr>
    </w:p>
    <w:p>
      <w:pPr>
        <w:ind w:left="1020" w:hanging="511"/>
        <w:spacing w:after="0"/>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warrants;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number of such warrants;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or prices at which such warrants will be issued;</w:t>
      </w:r>
    </w:p>
    <w:p>
      <w:pPr>
        <w:spacing w:after="0" w:line="198" w:lineRule="exact"/>
        <w:rPr>
          <w:rFonts w:ascii="Courier New" w:cs="Courier New" w:eastAsia="Courier New" w:hAnsi="Courier New"/>
          <w:sz w:val="17"/>
          <w:szCs w:val="17"/>
          <w:color w:val="auto"/>
        </w:rPr>
      </w:pPr>
    </w:p>
    <w:p>
      <w:pPr>
        <w:ind w:right="231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currency or currencies, including composite currencies, in which the price of such warrants may be payable;</w:t>
      </w:r>
    </w:p>
    <w:p>
      <w:pPr>
        <w:spacing w:after="0" w:line="199" w:lineRule="exact"/>
        <w:rPr>
          <w:rFonts w:ascii="Courier New" w:cs="Courier New" w:eastAsia="Courier New" w:hAnsi="Courier New"/>
          <w:sz w:val="17"/>
          <w:szCs w:val="17"/>
          <w:color w:val="auto"/>
        </w:rPr>
      </w:pPr>
    </w:p>
    <w:p>
      <w:pPr>
        <w:ind w:right="2639" w:firstLine="509"/>
        <w:spacing w:after="0" w:line="241"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99" w:lineRule="exact"/>
        <w:rPr>
          <w:rFonts w:ascii="Courier New" w:cs="Courier New" w:eastAsia="Courier New" w:hAnsi="Courier New"/>
          <w:sz w:val="17"/>
          <w:szCs w:val="17"/>
          <w:color w:val="auto"/>
        </w:rPr>
      </w:pPr>
    </w:p>
    <w:p>
      <w:pPr>
        <w:ind w:right="2739" w:firstLine="509"/>
        <w:spacing w:after="0"/>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at which and the currency or currencies, including composite currencies, in which the securities purchasable upon exercise of such warrants may be purchased;</w:t>
      </w:r>
    </w:p>
    <w:p>
      <w:pPr>
        <w:spacing w:after="0" w:line="200" w:lineRule="exact"/>
        <w:rPr>
          <w:rFonts w:ascii="Courier New" w:cs="Courier New" w:eastAsia="Courier New" w:hAnsi="Courier New"/>
          <w:sz w:val="17"/>
          <w:szCs w:val="17"/>
          <w:color w:val="auto"/>
        </w:rPr>
      </w:pPr>
    </w:p>
    <w:p>
      <w:pPr>
        <w:ind w:right="231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the right to exercise such warrants shall commence and the date on which such right shall expire;</w:t>
      </w:r>
    </w:p>
    <w:p>
      <w:pPr>
        <w:spacing w:after="0" w:line="199" w:lineRule="exact"/>
        <w:rPr>
          <w:rFonts w:ascii="Courier New" w:cs="Courier New" w:eastAsia="Courier New" w:hAnsi="Courier New"/>
          <w:sz w:val="17"/>
          <w:szCs w:val="17"/>
          <w:color w:val="auto"/>
        </w:rPr>
      </w:pPr>
    </w:p>
    <w:p>
      <w:pPr>
        <w:ind w:right="243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the minimum or maximum amount of such warrants which may be exercised at any one time;</w:t>
      </w:r>
    </w:p>
    <w:p>
      <w:pPr>
        <w:spacing w:after="0" w:line="199" w:lineRule="exact"/>
        <w:rPr>
          <w:rFonts w:ascii="Courier New" w:cs="Courier New" w:eastAsia="Courier New" w:hAnsi="Courier New"/>
          <w:sz w:val="17"/>
          <w:szCs w:val="17"/>
          <w:color w:val="auto"/>
        </w:rPr>
      </w:pPr>
    </w:p>
    <w:p>
      <w:pPr>
        <w:ind w:right="2219" w:firstLine="509"/>
        <w:spacing w:after="0"/>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the designation and terms of the securities with which such warrants are issued and the number of such warrants issued with each such Security;</w:t>
      </w:r>
    </w:p>
    <w:p>
      <w:pPr>
        <w:spacing w:after="0" w:line="200" w:lineRule="exact"/>
        <w:rPr>
          <w:rFonts w:ascii="Courier New" w:cs="Courier New" w:eastAsia="Courier New" w:hAnsi="Courier New"/>
          <w:sz w:val="17"/>
          <w:szCs w:val="17"/>
          <w:color w:val="auto"/>
        </w:rPr>
      </w:pPr>
    </w:p>
    <w:p>
      <w:pPr>
        <w:ind w:right="273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the date on and after which such warrants and the related securities will be separately transferable;</w:t>
      </w:r>
    </w:p>
    <w:p>
      <w:pPr>
        <w:spacing w:after="0" w:line="392"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with respect to book-entry procedures, if any;</w:t>
      </w:r>
    </w:p>
    <w:p>
      <w:pPr>
        <w:spacing w:after="0" w:line="198" w:lineRule="exact"/>
        <w:rPr>
          <w:rFonts w:ascii="Courier New" w:cs="Courier New" w:eastAsia="Courier New" w:hAnsi="Courier New"/>
          <w:sz w:val="17"/>
          <w:szCs w:val="17"/>
          <w:color w:val="auto"/>
        </w:rPr>
      </w:pPr>
    </w:p>
    <w:p>
      <w:pPr>
        <w:ind w:right="243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a discussion of certain United States Federal income tax considerations; and</w:t>
      </w:r>
    </w:p>
    <w:p>
      <w:pPr>
        <w:spacing w:after="0" w:line="394" w:lineRule="exact"/>
        <w:rPr>
          <w:rFonts w:ascii="Courier New" w:cs="Courier New" w:eastAsia="Courier New" w:hAnsi="Courier New"/>
          <w:sz w:val="17"/>
          <w:szCs w:val="17"/>
          <w:color w:val="auto"/>
        </w:rPr>
      </w:pPr>
    </w:p>
    <w:p>
      <w:pPr>
        <w:ind w:right="2639" w:firstLine="509"/>
        <w:spacing w:after="0" w:line="239" w:lineRule="auto"/>
        <w:tabs>
          <w:tab w:leader="none" w:pos="10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warrants, including terms, procedures and limitations relating to the exchange and exercise of such warrants.</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088" w:right="1440" w:bottom="800" w:gutter="0" w:footer="0" w:header="0"/>
        </w:sectPr>
      </w:pPr>
    </w:p>
    <w:bookmarkStart w:id="35" w:name="page36"/>
    <w:bookmarkEnd w:id="35"/>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DESCRIPTION OF PURCHASE CONTRACTS</w:t>
      </w:r>
    </w:p>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may issue purchase contracts for the purchase or sale of:</w:t>
      </w:r>
    </w:p>
    <w:p>
      <w:pPr>
        <w:spacing w:after="0" w:line="199" w:lineRule="exact"/>
        <w:rPr>
          <w:sz w:val="20"/>
          <w:szCs w:val="20"/>
          <w:color w:val="auto"/>
        </w:rPr>
      </w:pPr>
    </w:p>
    <w:p>
      <w:pPr>
        <w:ind w:right="2319" w:firstLine="509"/>
        <w:spacing w:after="0" w:line="241" w:lineRule="auto"/>
        <w:tabs>
          <w:tab w:leader="none" w:pos="101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390"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currencies or composite currencies; or</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commodities.</w:t>
      </w:r>
    </w:p>
    <w:p>
      <w:pPr>
        <w:spacing w:after="0" w:line="393"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9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200" w:lineRule="exact"/>
        <w:rPr>
          <w:sz w:val="20"/>
          <w:szCs w:val="20"/>
          <w:color w:val="auto"/>
        </w:rPr>
      </w:pPr>
    </w:p>
    <w:p>
      <w:pPr>
        <w:spacing w:after="0" w:line="38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DESCRIPTION OF UNITS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200" w:lineRule="exact"/>
        <w:rPr>
          <w:sz w:val="20"/>
          <w:szCs w:val="20"/>
          <w:color w:val="auto"/>
        </w:rPr>
      </w:pPr>
    </w:p>
    <w:p>
      <w:pPr>
        <w:ind w:right="2319" w:firstLine="509"/>
        <w:spacing w:after="0" w:line="241" w:lineRule="auto"/>
        <w:tabs>
          <w:tab w:leader="none" w:pos="101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200"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terms of any unit agreement governing the units;</w:t>
      </w:r>
    </w:p>
    <w:p>
      <w:pPr>
        <w:spacing w:after="0" w:line="1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and</w:t>
      </w:r>
    </w:p>
    <w:p>
      <w:pPr>
        <w:spacing w:after="0" w:line="198" w:lineRule="exact"/>
        <w:rPr>
          <w:rFonts w:ascii="Courier New" w:cs="Courier New" w:eastAsia="Courier New" w:hAnsi="Courier New"/>
          <w:sz w:val="16"/>
          <w:szCs w:val="16"/>
          <w:color w:val="auto"/>
        </w:rPr>
      </w:pPr>
    </w:p>
    <w:p>
      <w:pPr>
        <w:ind w:right="2219" w:firstLine="509"/>
        <w:spacing w:after="0" w:line="239" w:lineRule="auto"/>
        <w:tabs>
          <w:tab w:leader="none" w:pos="101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description of the provisions for the payment, settlement, transfer or exchange of the units.</w:t>
      </w:r>
    </w:p>
    <w:p>
      <w:pPr>
        <w:spacing w:after="0" w:line="39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DESCRIPTION OF THE GUARANTEED TRUST PREFERRED SECURITIES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196" w:lineRule="exact"/>
        <w:rPr>
          <w:sz w:val="20"/>
          <w:szCs w:val="20"/>
          <w:color w:val="auto"/>
        </w:rPr>
      </w:pPr>
    </w:p>
    <w:p>
      <w:pPr>
        <w:ind w:left="500"/>
        <w:spacing w:after="0"/>
        <w:tabs>
          <w:tab w:leader="none" w:pos="100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7"/>
          <w:szCs w:val="17"/>
          <w:color w:val="auto"/>
        </w:rPr>
        <w:t>the distinctive designation and number of the guaranteed trust</w:t>
      </w:r>
    </w:p>
    <w:p>
      <w:pPr>
        <w:sectPr>
          <w:pgSz w:w="11900" w:h="16840" w:orient="portrait"/>
          <w:cols w:equalWidth="0" w:num="1">
            <w:col w:w="10219"/>
          </w:cols>
          <w:pgMar w:left="240" w:top="1280"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preferred securities;</w:t>
      </w:r>
    </w:p>
    <w:p>
      <w:pPr>
        <w:spacing w:after="0" w:line="19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40" w:right="1440" w:bottom="1440" w:gutter="0" w:footer="0" w:header="0"/>
        </w:sectPr>
      </w:pPr>
    </w:p>
    <w:bookmarkStart w:id="37" w:name="page38"/>
    <w:bookmarkEnd w:id="37"/>
    <w:p>
      <w:pPr>
        <w:spacing w:after="0" w:line="15" w:lineRule="exact"/>
        <w:rPr>
          <w:sz w:val="20"/>
          <w:szCs w:val="20"/>
          <w:color w:val="auto"/>
        </w:rPr>
      </w:pPr>
    </w:p>
    <w:p>
      <w:pPr>
        <w:ind w:right="2319" w:firstLine="509"/>
        <w:spacing w:after="0" w:line="241" w:lineRule="auto"/>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201" w:lineRule="exact"/>
        <w:rPr>
          <w:rFonts w:ascii="Courier New" w:cs="Courier New" w:eastAsia="Courier New" w:hAnsi="Courier New"/>
          <w:sz w:val="17"/>
          <w:szCs w:val="17"/>
          <w:color w:val="auto"/>
        </w:rPr>
      </w:pPr>
    </w:p>
    <w:p>
      <w:pPr>
        <w:ind w:right="2319" w:firstLine="509"/>
        <w:spacing w:after="0" w:line="241" w:lineRule="auto"/>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199" w:lineRule="exact"/>
        <w:rPr>
          <w:rFonts w:ascii="Courier New" w:cs="Courier New" w:eastAsia="Courier New" w:hAnsi="Courier New"/>
          <w:sz w:val="17"/>
          <w:szCs w:val="17"/>
          <w:color w:val="auto"/>
        </w:rPr>
      </w:pPr>
    </w:p>
    <w:p>
      <w:pPr>
        <w:jc w:val="both"/>
        <w:ind w:right="2539" w:firstLine="509"/>
        <w:spacing w:after="0" w:line="263" w:lineRule="auto"/>
        <w:tabs>
          <w:tab w:leader="none" w:pos="101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or amounts which shall be paid out of the assets of our trust subsidiary to the holders of its guaranteed trust preferred securities upon its voluntary or involuntary dissolution, winding-up or termination;</w:t>
      </w:r>
    </w:p>
    <w:p>
      <w:pPr>
        <w:spacing w:after="0" w:line="181" w:lineRule="exact"/>
        <w:rPr>
          <w:rFonts w:ascii="Courier New" w:cs="Courier New" w:eastAsia="Courier New" w:hAnsi="Courier New"/>
          <w:sz w:val="16"/>
          <w:szCs w:val="16"/>
          <w:color w:val="auto"/>
        </w:rPr>
      </w:pPr>
    </w:p>
    <w:p>
      <w:pPr>
        <w:ind w:right="2219" w:firstLine="509"/>
        <w:spacing w:after="0" w:line="241" w:lineRule="auto"/>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199" w:lineRule="exact"/>
        <w:rPr>
          <w:rFonts w:ascii="Courier New" w:cs="Courier New" w:eastAsia="Courier New" w:hAnsi="Courier New"/>
          <w:sz w:val="17"/>
          <w:szCs w:val="17"/>
          <w:color w:val="auto"/>
        </w:rPr>
      </w:pPr>
    </w:p>
    <w:p>
      <w:pPr>
        <w:ind w:right="2219" w:firstLine="509"/>
        <w:spacing w:after="0" w:line="241" w:lineRule="auto"/>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200" w:lineRule="exact"/>
        <w:rPr>
          <w:rFonts w:ascii="Courier New" w:cs="Courier New" w:eastAsia="Courier New" w:hAnsi="Courier New"/>
          <w:sz w:val="17"/>
          <w:szCs w:val="17"/>
          <w:color w:val="auto"/>
        </w:rPr>
      </w:pPr>
    </w:p>
    <w:p>
      <w:pPr>
        <w:ind w:right="2319" w:firstLine="509"/>
        <w:spacing w:after="0"/>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any, upon which the underlying subordinated debt securities may be distributed to holders of guaranteed trust preferred securities;</w:t>
      </w:r>
    </w:p>
    <w:p>
      <w:pPr>
        <w:spacing w:after="0" w:line="200" w:lineRule="exact"/>
        <w:rPr>
          <w:rFonts w:ascii="Courier New" w:cs="Courier New" w:eastAsia="Courier New" w:hAnsi="Courier New"/>
          <w:sz w:val="17"/>
          <w:szCs w:val="17"/>
          <w:color w:val="auto"/>
        </w:rPr>
      </w:pPr>
    </w:p>
    <w:p>
      <w:pPr>
        <w:ind w:right="2739" w:firstLine="509"/>
        <w:spacing w:after="0" w:line="239" w:lineRule="auto"/>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any securities exchange upon which the guaranteed trust preferred securities shall be listed; and</w:t>
      </w:r>
    </w:p>
    <w:p>
      <w:pPr>
        <w:spacing w:after="0" w:line="199" w:lineRule="exact"/>
        <w:rPr>
          <w:rFonts w:ascii="Courier New" w:cs="Courier New" w:eastAsia="Courier New" w:hAnsi="Courier New"/>
          <w:sz w:val="17"/>
          <w:szCs w:val="17"/>
          <w:color w:val="auto"/>
        </w:rPr>
      </w:pPr>
    </w:p>
    <w:p>
      <w:pPr>
        <w:ind w:right="2539" w:firstLine="509"/>
        <w:spacing w:after="0"/>
        <w:tabs>
          <w:tab w:leader="none" w:pos="101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relevant rights, preferences, privileges, limitations or restrictions of guaranteed trust preferred securities not inconsistent with the declaration of our trust subsidiary or with applicable law.</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201"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382" w:lineRule="exact"/>
        <w:rPr>
          <w:sz w:val="20"/>
          <w:szCs w:val="20"/>
          <w:color w:val="auto"/>
        </w:rPr>
      </w:pPr>
    </w:p>
    <w:p>
      <w:pPr>
        <w:ind w:right="4759"/>
        <w:spacing w:after="0" w:line="239" w:lineRule="auto"/>
        <w:rPr>
          <w:sz w:val="20"/>
          <w:szCs w:val="20"/>
          <w:color w:val="auto"/>
        </w:rPr>
      </w:pPr>
      <w:r>
        <w:rPr>
          <w:rFonts w:ascii="Courier New" w:cs="Courier New" w:eastAsia="Courier New" w:hAnsi="Courier New"/>
          <w:sz w:val="17"/>
          <w:szCs w:val="17"/>
          <w:color w:val="auto"/>
        </w:rPr>
        <w:t>Enforcement of Certain Rights by Holders of Guaranteed Trust Preferred Securities</w:t>
      </w:r>
    </w:p>
    <w:p>
      <w:pPr>
        <w:spacing w:after="0" w:line="394" w:lineRule="exact"/>
        <w:rPr>
          <w:sz w:val="20"/>
          <w:szCs w:val="20"/>
          <w:color w:val="auto"/>
        </w:rPr>
      </w:pPr>
    </w:p>
    <w:p>
      <w:pPr>
        <w:ind w:right="2539" w:firstLine="505"/>
        <w:spacing w:after="0" w:line="259" w:lineRule="auto"/>
        <w:rPr>
          <w:sz w:val="20"/>
          <w:szCs w:val="20"/>
          <w:color w:val="auto"/>
        </w:rPr>
      </w:pPr>
      <w:r>
        <w:rPr>
          <w:rFonts w:ascii="Courier New" w:cs="Courier New" w:eastAsia="Courier New" w:hAnsi="Courier New"/>
          <w:sz w:val="16"/>
          <w:szCs w:val="16"/>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w:t>
      </w:r>
    </w:p>
    <w:p>
      <w:pPr>
        <w:sectPr>
          <w:pgSz w:w="11900" w:h="16854" w:orient="portrait"/>
          <w:cols w:equalWidth="0" w:num="1">
            <w:col w:w="10219"/>
          </w:cols>
          <w:pgMar w:left="240" w:top="1088"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conferred upon the</w:t>
      </w:r>
    </w:p>
    <w:p>
      <w:pPr>
        <w:spacing w:after="0" w:line="19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0" w:right="1440" w:bottom="1440" w:gutter="0" w:footer="0" w:header="0"/>
        </w:sectPr>
      </w:pPr>
    </w:p>
    <w:bookmarkStart w:id="39" w:name="page40"/>
    <w:bookmarkEnd w:id="39"/>
    <w:p>
      <w:pPr>
        <w:ind w:right="2319"/>
        <w:spacing w:after="0" w:line="242" w:lineRule="auto"/>
        <w:rPr>
          <w:sz w:val="20"/>
          <w:szCs w:val="20"/>
          <w:color w:val="auto"/>
        </w:rPr>
      </w:pPr>
      <w:r>
        <w:rPr>
          <w:rFonts w:ascii="Courier New" w:cs="Courier New" w:eastAsia="Courier New" w:hAnsi="Courier New"/>
          <w:sz w:val="17"/>
          <w:szCs w:val="17"/>
          <w:color w:val="auto"/>
        </w:rPr>
        <w:t>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200" w:lineRule="exact"/>
        <w:rPr>
          <w:sz w:val="20"/>
          <w:szCs w:val="20"/>
          <w:color w:val="auto"/>
        </w:rPr>
      </w:pPr>
    </w:p>
    <w:p>
      <w:pPr>
        <w:spacing w:after="0" w:line="38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DESCRIPTION OF THE GUARANTEED TRUST PREFERRED</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SECURITIES GUARANTEES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393"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191" w:lineRule="exact"/>
        <w:rPr>
          <w:sz w:val="20"/>
          <w:szCs w:val="20"/>
          <w:color w:val="auto"/>
        </w:rPr>
      </w:pPr>
    </w:p>
    <w:p>
      <w:pPr>
        <w:ind w:right="2219" w:firstLine="509"/>
        <w:spacing w:after="0"/>
        <w:tabs>
          <w:tab w:leader="none" w:pos="101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and unpaid distributions which are required to be paid on such guaranteed trust preferred securities, to the extent the applicable trust subsidiary has funds available for such payment;</w:t>
      </w:r>
    </w:p>
    <w:p>
      <w:pPr>
        <w:spacing w:after="0" w:line="200" w:lineRule="exact"/>
        <w:rPr>
          <w:rFonts w:ascii="Courier New" w:cs="Courier New" w:eastAsia="Courier New" w:hAnsi="Courier New"/>
          <w:sz w:val="17"/>
          <w:szCs w:val="17"/>
          <w:color w:val="auto"/>
        </w:rPr>
      </w:pPr>
    </w:p>
    <w:p>
      <w:pPr>
        <w:ind w:right="2219" w:firstLine="509"/>
        <w:spacing w:after="0" w:line="241" w:lineRule="auto"/>
        <w:tabs>
          <w:tab w:leader="none" w:pos="101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198" w:lineRule="exact"/>
        <w:rPr>
          <w:rFonts w:ascii="Courier New" w:cs="Courier New" w:eastAsia="Courier New" w:hAnsi="Courier New"/>
          <w:sz w:val="17"/>
          <w:szCs w:val="17"/>
          <w:color w:val="auto"/>
        </w:rPr>
      </w:pPr>
    </w:p>
    <w:p>
      <w:pPr>
        <w:ind w:right="2839" w:firstLine="509"/>
        <w:spacing w:after="0" w:line="241" w:lineRule="auto"/>
        <w:tabs>
          <w:tab w:leader="none" w:pos="101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 voluntary or involuntary dissolution, winding-up or termination of such trust subsidiary (other than in connection with the distribution of subordinated debt securities to the holders of guaranteed trust preferred securities or the redemption</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088" w:right="1440" w:bottom="411"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of all of the guaranteed trust preferred securities), the lesser of</w:t>
      </w:r>
    </w:p>
    <w:p>
      <w:pPr>
        <w:spacing w:after="0" w:line="199" w:lineRule="exact"/>
        <w:rPr>
          <w:sz w:val="20"/>
          <w:szCs w:val="20"/>
          <w:color w:val="auto"/>
        </w:rPr>
      </w:pPr>
    </w:p>
    <w:p>
      <w:pPr>
        <w:ind w:left="500" w:right="2319" w:firstLine="515"/>
        <w:spacing w:after="0" w:line="241" w:lineRule="auto"/>
        <w:tabs>
          <w:tab w:leader="none" w:pos="151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the liquidation amount and all accrued and unpaid distributions on such guaranteed trust preferred securities to the date of payment, to the extent such trust subsidiary has funds available therefor; and</w:t>
      </w:r>
    </w:p>
    <w:p>
      <w:pPr>
        <w:spacing w:after="0" w:line="198" w:lineRule="exact"/>
        <w:rPr>
          <w:rFonts w:ascii="Courier New" w:cs="Courier New" w:eastAsia="Courier New" w:hAnsi="Courier New"/>
          <w:sz w:val="17"/>
          <w:szCs w:val="17"/>
          <w:color w:val="auto"/>
        </w:rPr>
      </w:pPr>
    </w:p>
    <w:p>
      <w:pPr>
        <w:ind w:left="500" w:right="2439" w:firstLine="515"/>
        <w:spacing w:after="0"/>
        <w:tabs>
          <w:tab w:leader="none" w:pos="151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assets of such trust subsidiary remaining available for distribution to holders of such guaranteed trust preferred securities in liquidation of such trust subsidiary.</w:t>
      </w:r>
    </w:p>
    <w:p>
      <w:pPr>
        <w:spacing w:after="0" w:line="200"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185"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201" w:lineRule="exact"/>
        <w:rPr>
          <w:sz w:val="20"/>
          <w:szCs w:val="20"/>
          <w:color w:val="auto"/>
        </w:rPr>
      </w:pPr>
    </w:p>
    <w:p>
      <w:pPr>
        <w:ind w:right="2319" w:firstLine="509"/>
        <w:spacing w:after="0" w:line="242" w:lineRule="auto"/>
        <w:tabs>
          <w:tab w:leader="none" w:pos="101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 (ii) as a result of a reclassification of our capital stock or the exchange or conversion of one our class or series of capital stock for another of our class or series of capital stock or, (iii)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97" w:lineRule="exact"/>
        <w:rPr>
          <w:rFonts w:ascii="Courier New" w:cs="Courier New" w:eastAsia="Courier New" w:hAnsi="Courier New"/>
          <w:sz w:val="17"/>
          <w:szCs w:val="17"/>
          <w:color w:val="auto"/>
        </w:rPr>
      </w:pPr>
    </w:p>
    <w:p>
      <w:pPr>
        <w:ind w:right="2439" w:firstLine="509"/>
        <w:spacing w:after="0" w:line="241" w:lineRule="auto"/>
        <w:tabs>
          <w:tab w:leader="none" w:pos="70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Guaranteed Trust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Guarantees; Assignment</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ectPr>
          <w:pgSz w:w="11900" w:h="16838" w:orient="portrait"/>
          <w:cols w:equalWidth="0" w:num="1">
            <w:col w:w="10219"/>
          </w:cols>
          <w:pgMar w:left="240" w:top="1086" w:right="1440" w:bottom="0" w:gutter="0" w:footer="0" w:header="0"/>
        </w:sectPr>
      </w:pPr>
    </w:p>
    <w:bookmarkStart w:id="41" w:name="page42"/>
    <w:bookmarkEnd w:id="41"/>
    <w:p>
      <w:pPr>
        <w:ind w:left="2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336" w:right="1440" w:bottom="1440" w:gutter="0" w:footer="0" w:header="0"/>
        </w:sectPr>
      </w:pPr>
    </w:p>
    <w:bookmarkStart w:id="42" w:name="page43"/>
    <w:bookmarkEnd w:id="42"/>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393"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Each guaranteed trust preferred securities guarantee will terminate as to the guaranteed trust preferred securities issued by the applicable trust subsidiary:</w:t>
      </w:r>
    </w:p>
    <w:p>
      <w:pPr>
        <w:spacing w:after="0" w:line="200" w:lineRule="exact"/>
        <w:rPr>
          <w:sz w:val="20"/>
          <w:szCs w:val="20"/>
          <w:color w:val="auto"/>
        </w:rPr>
      </w:pPr>
    </w:p>
    <w:p>
      <w:pPr>
        <w:ind w:right="2319" w:firstLine="509"/>
        <w:spacing w:after="0" w:line="239" w:lineRule="auto"/>
        <w:tabs>
          <w:tab w:leader="none" w:pos="101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full payment of the redemption price, including all accrued and unpaid distributions, of all its guaranteed trust preferred securities;</w:t>
      </w:r>
    </w:p>
    <w:p>
      <w:pPr>
        <w:spacing w:after="0" w:line="199" w:lineRule="exact"/>
        <w:rPr>
          <w:rFonts w:ascii="Courier New" w:cs="Courier New" w:eastAsia="Courier New" w:hAnsi="Courier New"/>
          <w:sz w:val="17"/>
          <w:szCs w:val="17"/>
          <w:color w:val="auto"/>
        </w:rPr>
      </w:pPr>
    </w:p>
    <w:p>
      <w:pPr>
        <w:ind w:right="2439" w:firstLine="509"/>
        <w:spacing w:after="0" w:line="239" w:lineRule="auto"/>
        <w:tabs>
          <w:tab w:leader="none" w:pos="101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distribution of the subordinated debt securities held by it to the holders of its guaranteed trust preferred securities; or</w:t>
      </w:r>
    </w:p>
    <w:p>
      <w:pPr>
        <w:spacing w:after="0" w:line="199" w:lineRule="exact"/>
        <w:rPr>
          <w:rFonts w:ascii="Courier New" w:cs="Courier New" w:eastAsia="Courier New" w:hAnsi="Courier New"/>
          <w:sz w:val="17"/>
          <w:szCs w:val="17"/>
          <w:color w:val="auto"/>
        </w:rPr>
      </w:pPr>
    </w:p>
    <w:p>
      <w:pPr>
        <w:ind w:right="2839" w:firstLine="509"/>
        <w:spacing w:after="0" w:line="239" w:lineRule="auto"/>
        <w:tabs>
          <w:tab w:leader="none" w:pos="101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full payment of the amounts payable in accordance with its declaration upon its liquidation.</w:t>
      </w:r>
    </w:p>
    <w:p>
      <w:pPr>
        <w:spacing w:after="0" w:line="200"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w:t>
      </w:r>
    </w:p>
    <w:p>
      <w:pPr>
        <w:spacing w:after="0" w:line="393"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An event of default under a preferred securities guarantee will occur upon our failure to perform any of our payment or other obligations under the guarantee.</w:t>
      </w:r>
    </w:p>
    <w:p>
      <w:pPr>
        <w:spacing w:after="0" w:line="200"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200"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 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Status of the Preferred Securities Guarantees</w:t>
      </w:r>
    </w:p>
    <w:p>
      <w:pPr>
        <w:spacing w:after="0" w:line="393" w:lineRule="exact"/>
        <w:rPr>
          <w:sz w:val="20"/>
          <w:szCs w:val="20"/>
          <w:color w:val="auto"/>
        </w:rPr>
      </w:pPr>
    </w:p>
    <w:p>
      <w:pPr>
        <w:ind w:right="2539" w:firstLine="505"/>
        <w:spacing w:after="0" w:line="242" w:lineRule="auto"/>
        <w:rPr>
          <w:sz w:val="20"/>
          <w:szCs w:val="20"/>
          <w:color w:val="auto"/>
        </w:rPr>
      </w:pPr>
      <w:r>
        <w:rPr>
          <w:rFonts w:ascii="Courier New" w:cs="Courier New" w:eastAsia="Courier New" w:hAnsi="Courier New"/>
          <w:sz w:val="17"/>
          <w:szCs w:val="17"/>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guaranteed trust preferred securities guarantees will constitute a</w:t>
      </w:r>
    </w:p>
    <w:p>
      <w:pPr>
        <w:sectPr>
          <w:pgSz w:w="11900" w:h="16840" w:orient="portrait"/>
          <w:cols w:equalWidth="0" w:num="1">
            <w:col w:w="10219"/>
          </w:cols>
          <w:pgMar w:left="240" w:top="1086" w:right="1440" w:bottom="0" w:gutter="0" w:footer="0" w:header="0"/>
        </w:sectPr>
      </w:pPr>
    </w:p>
    <w:bookmarkStart w:id="43" w:name="page44"/>
    <w:bookmarkEnd w:id="43"/>
    <w:p>
      <w:pPr>
        <w:ind w:right="2539"/>
        <w:spacing w:after="0" w:line="241" w:lineRule="auto"/>
        <w:rPr>
          <w:sz w:val="20"/>
          <w:szCs w:val="20"/>
          <w:color w:val="auto"/>
        </w:rPr>
      </w:pPr>
      <w:r>
        <w:rPr>
          <w:rFonts w:ascii="Courier New" w:cs="Courier New" w:eastAsia="Courier New" w:hAnsi="Courier New"/>
          <w:sz w:val="17"/>
          <w:szCs w:val="17"/>
          <w:color w:val="auto"/>
        </w:rPr>
        <w:t>guarantee of payment and not of collection. In other words, the guaranteed party may institute a legal proceeding directly against us, as guarantor, to enforce its rights under the preferred securities guarantee without instituting a legal proceeding against any other person or entity.</w:t>
      </w: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142" w:right="1440" w:bottom="1440" w:gutter="0" w:footer="0" w:header="0"/>
        </w:sectPr>
      </w:pPr>
    </w:p>
    <w:bookmarkStart w:id="44" w:name="page45"/>
    <w:bookmarkEnd w:id="44"/>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the Preferred Guarantee Trustee</w:t>
      </w:r>
    </w:p>
    <w:p>
      <w:pPr>
        <w:spacing w:after="0" w:line="393"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We and certain of our affiliates may maintain a banking relationship with the preferred guarantee trustee.</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393"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guaranteed trust preferred securities guarantees will be governed by, and construed and interpreted in accordance with the laws of the State of New York.</w:t>
      </w:r>
    </w:p>
    <w:p>
      <w:pPr>
        <w:spacing w:after="0" w:line="200" w:lineRule="exact"/>
        <w:rPr>
          <w:sz w:val="20"/>
          <w:szCs w:val="20"/>
          <w:color w:val="auto"/>
        </w:rPr>
      </w:pPr>
    </w:p>
    <w:p>
      <w:pPr>
        <w:spacing w:after="0" w:line="38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GLOBAL SECURITIES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200"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w:t>
      </w:r>
    </w:p>
    <w:p>
      <w:pPr>
        <w:sectPr>
          <w:pgSz w:w="11900" w:h="16852" w:orient="portrait"/>
          <w:cols w:equalWidth="0" w:num="1">
            <w:col w:w="10219"/>
          </w:cols>
          <w:pgMar w:left="240" w:top="1086" w:right="1440" w:bottom="0" w:gutter="0" w:footer="0" w:header="0"/>
        </w:sectPr>
      </w:pPr>
    </w:p>
    <w:bookmarkStart w:id="45" w:name="page46"/>
    <w:bookmarkEnd w:id="45"/>
    <w:p>
      <w:pPr>
        <w:ind w:right="2839"/>
        <w:spacing w:after="0" w:line="239" w:lineRule="auto"/>
        <w:rPr>
          <w:sz w:val="20"/>
          <w:szCs w:val="20"/>
          <w:color w:val="auto"/>
        </w:rPr>
      </w:pPr>
      <w:r>
        <w:rPr>
          <w:rFonts w:ascii="Courier New" w:cs="Courier New" w:eastAsia="Courier New" w:hAnsi="Courier New"/>
          <w:sz w:val="17"/>
          <w:szCs w:val="17"/>
          <w:color w:val="auto"/>
        </w:rPr>
        <w:t>any action of holders or if an owner of a beneficial interest in a global security</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42" w:right="1440" w:bottom="1440" w:gutter="0" w:footer="0" w:header="0"/>
        </w:sectPr>
      </w:pPr>
    </w:p>
    <w:bookmarkStart w:id="46" w:name="page47"/>
    <w:bookmarkEnd w:id="46"/>
    <w:p>
      <w:pPr>
        <w:ind w:right="2319"/>
        <w:spacing w:after="0" w:line="241" w:lineRule="auto"/>
        <w:rPr>
          <w:sz w:val="20"/>
          <w:szCs w:val="20"/>
          <w:color w:val="auto"/>
        </w:rPr>
      </w:pPr>
      <w:r>
        <w:rPr>
          <w:rFonts w:ascii="Courier New" w:cs="Courier New" w:eastAsia="Courier New" w:hAnsi="Courier New"/>
          <w:sz w:val="17"/>
          <w:szCs w:val="17"/>
          <w:color w:val="auto"/>
        </w:rPr>
        <w:t>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98"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90"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91"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DESCRIPTION OF PREFERRED STOCK</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204"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The applicable prospectus supplement will describe the following terms to the extent that they may apply to an issuance of preferred stock in respect of which this prospectus is being delivered:</w:t>
      </w:r>
    </w:p>
    <w:p>
      <w:pPr>
        <w:spacing w:after="0" w:line="392" w:lineRule="exact"/>
        <w:rPr>
          <w:sz w:val="20"/>
          <w:szCs w:val="20"/>
          <w:color w:val="auto"/>
        </w:rPr>
      </w:pPr>
    </w:p>
    <w:p>
      <w:pPr>
        <w:ind w:left="1020" w:hanging="511"/>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specific designation, number of shares, seniority and purchase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liquidation preference per share;</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date of maturity;</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redemption, repayment or sinking fund provisions;</w:t>
      </w:r>
    </w:p>
    <w:p>
      <w:pPr>
        <w:sectPr>
          <w:pgSz w:w="11900" w:h="16838" w:orient="portrait"/>
          <w:cols w:equalWidth="0" w:num="1">
            <w:col w:w="10219"/>
          </w:cols>
          <w:pgMar w:left="240" w:top="894" w:right="1440" w:bottom="217" w:gutter="0" w:footer="0" w:header="0"/>
        </w:sectPr>
      </w:pPr>
    </w:p>
    <w:bookmarkStart w:id="47" w:name="page48"/>
    <w:bookmarkEnd w:id="47"/>
    <w:p>
      <w:pPr>
        <w:ind w:left="2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142" w:right="1440" w:bottom="1440" w:gutter="0" w:footer="0" w:header="0"/>
        </w:sectPr>
      </w:pPr>
    </w:p>
    <w:bookmarkStart w:id="48" w:name="page49"/>
    <w:bookmarkEnd w:id="48"/>
    <w:p>
      <w:pPr>
        <w:ind w:right="2319" w:firstLine="509"/>
        <w:spacing w:after="0"/>
        <w:tabs>
          <w:tab w:leader="none" w:pos="101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dividend rate or rates and the dates on which any such dividends will be payable (or the method by which such rates or dates will be determined);</w:t>
      </w:r>
    </w:p>
    <w:p>
      <w:pPr>
        <w:spacing w:after="0" w:line="197"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voting rights;</w:t>
      </w:r>
    </w:p>
    <w:p>
      <w:pPr>
        <w:spacing w:after="0" w:line="392" w:lineRule="exact"/>
        <w:rPr>
          <w:rFonts w:ascii="Courier New" w:cs="Courier New" w:eastAsia="Courier New" w:hAnsi="Courier New"/>
          <w:sz w:val="17"/>
          <w:szCs w:val="17"/>
          <w:color w:val="auto"/>
        </w:rPr>
      </w:pPr>
    </w:p>
    <w:p>
      <w:pPr>
        <w:ind w:right="2439" w:firstLine="509"/>
        <w:spacing w:after="0" w:line="263" w:lineRule="auto"/>
        <w:tabs>
          <w:tab w:leader="none" w:pos="101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or currencies including composite currencies in which such preferred stock is denominated and/or in which payments will or may be payable;</w:t>
      </w:r>
    </w:p>
    <w:p>
      <w:pPr>
        <w:spacing w:after="0" w:line="181" w:lineRule="exact"/>
        <w:rPr>
          <w:rFonts w:ascii="Courier New" w:cs="Courier New" w:eastAsia="Courier New" w:hAnsi="Courier New"/>
          <w:sz w:val="16"/>
          <w:szCs w:val="16"/>
          <w:color w:val="auto"/>
        </w:rPr>
      </w:pPr>
    </w:p>
    <w:p>
      <w:pPr>
        <w:ind w:right="2219" w:firstLine="509"/>
        <w:spacing w:after="0"/>
        <w:tabs>
          <w:tab w:leader="none" w:pos="101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method by which amounts in respect of such preferred stock may be calculated and any commodities, currencies or indices, or value, rate or price, relevant to such calculation;</w:t>
      </w:r>
    </w:p>
    <w:p>
      <w:pPr>
        <w:spacing w:after="0" w:line="200" w:lineRule="exact"/>
        <w:rPr>
          <w:rFonts w:ascii="Courier New" w:cs="Courier New" w:eastAsia="Courier New" w:hAnsi="Courier New"/>
          <w:sz w:val="17"/>
          <w:szCs w:val="17"/>
          <w:color w:val="auto"/>
        </w:rPr>
      </w:pPr>
    </w:p>
    <w:p>
      <w:pPr>
        <w:ind w:right="2319" w:firstLine="509"/>
        <w:spacing w:after="0" w:line="260" w:lineRule="auto"/>
        <w:tabs>
          <w:tab w:leader="none" w:pos="101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184" w:lineRule="exact"/>
        <w:rPr>
          <w:rFonts w:ascii="Courier New" w:cs="Courier New" w:eastAsia="Courier New" w:hAnsi="Courier New"/>
          <w:sz w:val="16"/>
          <w:szCs w:val="16"/>
          <w:color w:val="auto"/>
        </w:rPr>
      </w:pPr>
    </w:p>
    <w:p>
      <w:pPr>
        <w:ind w:right="3039" w:firstLine="509"/>
        <w:spacing w:after="0" w:line="239" w:lineRule="auto"/>
        <w:tabs>
          <w:tab w:leader="none" w:pos="101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dividends and other payments on the preferred stock will be payable; and</w:t>
      </w:r>
    </w:p>
    <w:p>
      <w:pPr>
        <w:spacing w:after="0" w:line="394" w:lineRule="exact"/>
        <w:rPr>
          <w:rFonts w:ascii="Courier New" w:cs="Courier New" w:eastAsia="Courier New" w:hAnsi="Courier New"/>
          <w:sz w:val="17"/>
          <w:szCs w:val="17"/>
          <w:color w:val="auto"/>
        </w:rPr>
      </w:pPr>
    </w:p>
    <w:p>
      <w:pPr>
        <w:ind w:right="2539" w:firstLine="509"/>
        <w:spacing w:after="0" w:line="239" w:lineRule="auto"/>
        <w:tabs>
          <w:tab w:leader="none" w:pos="101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additional voting, dividend, liquidation, redemption and other rights, preferences, privileges, limitations and restrictions.</w:t>
      </w:r>
    </w:p>
    <w:p>
      <w:pPr>
        <w:spacing w:after="0" w:line="394"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200" w:lineRule="exact"/>
        <w:rPr>
          <w:sz w:val="20"/>
          <w:szCs w:val="20"/>
          <w:color w:val="auto"/>
        </w:rPr>
      </w:pPr>
    </w:p>
    <w:p>
      <w:pPr>
        <w:spacing w:after="0" w:line="385"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DESCRIPTION OF DEPOSITARY SHARES</w:t>
      </w:r>
    </w:p>
    <w:p>
      <w:pPr>
        <w:spacing w:after="0" w:line="393" w:lineRule="exact"/>
        <w:rPr>
          <w:sz w:val="20"/>
          <w:szCs w:val="20"/>
          <w:color w:val="auto"/>
        </w:rPr>
      </w:pPr>
    </w:p>
    <w:p>
      <w:pPr>
        <w:ind w:right="2539" w:firstLine="505"/>
        <w:spacing w:after="0" w:line="260" w:lineRule="auto"/>
        <w:rPr>
          <w:sz w:val="20"/>
          <w:szCs w:val="20"/>
          <w:color w:val="auto"/>
        </w:rPr>
      </w:pPr>
      <w:r>
        <w:rPr>
          <w:rFonts w:ascii="Courier New" w:cs="Courier New" w:eastAsia="Courier New" w:hAnsi="Courier New"/>
          <w:sz w:val="16"/>
          <w:szCs w:val="16"/>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393"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9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99" w:lineRule="exact"/>
        <w:rPr>
          <w:sz w:val="20"/>
          <w:szCs w:val="20"/>
          <w:color w:val="auto"/>
        </w:rPr>
      </w:pPr>
    </w:p>
    <w:p>
      <w:pPr>
        <w:jc w:val="both"/>
        <w:ind w:right="2739" w:firstLine="505"/>
        <w:spacing w:after="0"/>
        <w:rPr>
          <w:sz w:val="20"/>
          <w:szCs w:val="20"/>
          <w:color w:val="auto"/>
        </w:rPr>
      </w:pPr>
      <w:r>
        <w:rPr>
          <w:rFonts w:ascii="Courier New" w:cs="Courier New" w:eastAsia="Courier New" w:hAnsi="Courier New"/>
          <w:sz w:val="17"/>
          <w:szCs w:val="17"/>
          <w:color w:val="auto"/>
        </w:rPr>
        <w:t>Unless otherwise specified in the prospectus supplement, a holder of depositary shares is not entitled to receive the shares of preferred stock underlying the depositary shares.</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1088" w:right="1440" w:bottom="0" w:gutter="0" w:footer="0" w:header="0"/>
        </w:sectPr>
      </w:pPr>
    </w:p>
    <w:bookmarkStart w:id="49" w:name="page50"/>
    <w:bookmarkEnd w:id="49"/>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Other Distributions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200"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 agreement also contains provisions relating to the manner in which any subscription or similar rights offered by us to holders of preferred stock shall be made available to holders of depositary shares.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and Exchange</w:t>
      </w:r>
    </w:p>
    <w:p>
      <w:pPr>
        <w:spacing w:after="0" w:line="393" w:lineRule="exact"/>
        <w:rPr>
          <w:sz w:val="20"/>
          <w:szCs w:val="20"/>
          <w:color w:val="auto"/>
        </w:rPr>
      </w:pPr>
    </w:p>
    <w:p>
      <w:pPr>
        <w:ind w:right="2739" w:firstLine="505"/>
        <w:spacing w:after="0" w:line="241" w:lineRule="auto"/>
        <w:rPr>
          <w:sz w:val="20"/>
          <w:szCs w:val="20"/>
          <w:color w:val="auto"/>
        </w:rPr>
      </w:pPr>
      <w:r>
        <w:rPr>
          <w:rFonts w:ascii="Courier New" w:cs="Courier New" w:eastAsia="Courier New" w:hAnsi="Courier New"/>
          <w:sz w:val="17"/>
          <w:szCs w:val="17"/>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of Depositary Shares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97"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w:t>
      </w:r>
    </w:p>
    <w:p>
      <w:pPr>
        <w:spacing w:after="0" w:line="393"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of the Deposit Agreement</w:t>
      </w:r>
    </w:p>
    <w:p>
      <w:pPr>
        <w:spacing w:after="0" w:line="393" w:lineRule="exact"/>
        <w:rPr>
          <w:sz w:val="20"/>
          <w:szCs w:val="20"/>
          <w:color w:val="auto"/>
        </w:rPr>
      </w:pPr>
    </w:p>
    <w:p>
      <w:pPr>
        <w:ind w:right="2539" w:firstLine="505"/>
        <w:spacing w:after="0" w:line="260" w:lineRule="auto"/>
        <w:rPr>
          <w:sz w:val="20"/>
          <w:szCs w:val="20"/>
          <w:color w:val="auto"/>
        </w:rPr>
      </w:pPr>
      <w:r>
        <w:rPr>
          <w:rFonts w:ascii="Courier New" w:cs="Courier New" w:eastAsia="Courier New" w:hAnsi="Courier New"/>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w:t>
      </w:r>
    </w:p>
    <w:p>
      <w:pPr>
        <w:sectPr>
          <w:pgSz w:w="11900" w:h="16854" w:orient="portrait"/>
          <w:cols w:equalWidth="0" w:num="1">
            <w:col w:w="10219"/>
          </w:cols>
          <w:pgMar w:left="240" w:top="1086"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approved by at least a majority of the depositary shares then outstanding.</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of Depositary</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w:t>
      </w:r>
    </w:p>
    <w:p>
      <w:pPr>
        <w:spacing w:after="0" w:line="19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40" w:right="1440" w:bottom="1440" w:gutter="0" w:footer="0" w:header="0"/>
        </w:sectPr>
      </w:pPr>
    </w:p>
    <w:bookmarkStart w:id="51" w:name="page52"/>
    <w:bookmarkEnd w:id="51"/>
    <w:p>
      <w:pPr>
        <w:ind w:right="2739"/>
        <w:spacing w:after="0" w:line="239" w:lineRule="auto"/>
        <w:rPr>
          <w:sz w:val="20"/>
          <w:szCs w:val="20"/>
          <w:color w:val="auto"/>
        </w:rPr>
      </w:pPr>
      <w:r>
        <w:rPr>
          <w:rFonts w:ascii="Courier New" w:cs="Courier New" w:eastAsia="Courier New" w:hAnsi="Courier New"/>
          <w:sz w:val="17"/>
          <w:szCs w:val="17"/>
          <w:color w:val="auto"/>
        </w:rPr>
        <w:t>other charges as are expressly provided in the deposit agreement to be for their accounts.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393"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We, or at our option, the depositary, will forward to the holders of depositary shares all reports and communications from us which we are required to furnish to the holders of preferred stock.</w:t>
      </w:r>
    </w:p>
    <w:p>
      <w:pPr>
        <w:spacing w:after="0" w:line="200"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392" w:lineRule="exact"/>
        <w:rPr>
          <w:sz w:val="20"/>
          <w:szCs w:val="20"/>
          <w:color w:val="auto"/>
        </w:rPr>
      </w:pPr>
    </w:p>
    <w:p>
      <w:pPr>
        <w:ind w:right="4459"/>
        <w:spacing w:after="0" w:line="239" w:lineRule="auto"/>
        <w:rPr>
          <w:sz w:val="20"/>
          <w:szCs w:val="20"/>
          <w:color w:val="auto"/>
        </w:rPr>
      </w:pPr>
      <w:r>
        <w:rPr>
          <w:rFonts w:ascii="Courier New" w:cs="Courier New" w:eastAsia="Courier New" w:hAnsi="Courier New"/>
          <w:sz w:val="17"/>
          <w:szCs w:val="17"/>
          <w:color w:val="auto"/>
        </w:rPr>
        <w:t>Resignation and Removal of Depositary; Termination of the Deposit Agreement</w:t>
      </w:r>
    </w:p>
    <w:p>
      <w:pPr>
        <w:spacing w:after="0" w:line="394"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DESCRIPTION OF COMMON STOCK</w:t>
      </w:r>
    </w:p>
    <w:p>
      <w:pPr>
        <w:spacing w:after="0" w:line="393"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99"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May 3, 1999, there were 699,622,625 shares of class A special common stock, 31,498,791 shares of class A common stock and 9,444,375 shares of class B common stock outstanding.</w:t>
      </w:r>
    </w:p>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Dividends</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Subject to the preferential rights of any preferred stock then outstanding, the holders of class A special common stock, class A common stock and class B common stock are entitled to receive pro rata per share such cash dividends as from time to time may be declared by our board of directors out of funds legally available therefor. Each class of our common stock is to receive dividends, as declared, on an equal basis per share.</w:t>
      </w:r>
    </w:p>
    <w:p>
      <w:pPr>
        <w:sectPr>
          <w:pgSz w:w="11900" w:h="16838" w:orient="portrait"/>
          <w:cols w:equalWidth="0" w:num="1">
            <w:col w:w="10219"/>
          </w:cols>
          <w:pgMar w:left="240" w:top="1088" w:right="1440" w:bottom="25" w:gutter="0" w:footer="0" w:header="0"/>
        </w:sectPr>
      </w:pPr>
    </w:p>
    <w:bookmarkStart w:id="52" w:name="page53"/>
    <w:bookmarkEnd w:id="52"/>
    <w:p>
      <w:pPr>
        <w:ind w:left="2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142" w:right="1440" w:bottom="1440" w:gutter="0" w:footer="0" w:header="0"/>
        </w:sectPr>
      </w:pPr>
    </w:p>
    <w:bookmarkStart w:id="53" w:name="page54"/>
    <w:bookmarkEnd w:id="53"/>
    <w:p>
      <w:pPr>
        <w:spacing w:after="0" w:line="15"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Stock dividends on, and stock splits of, any class of common stock shall not be paid or issued unless paid or issued on all classes of common stock, in which case they are to be paid or issued only in shares of that class or in shares of either class common stock or class A special common stock.</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Shareholder</w:t>
      </w:r>
    </w:p>
    <w:p>
      <w:pPr>
        <w:spacing w:after="0" w:line="393"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At June 30, 1999, Sural Corporation,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9,585,349 shares of class A common stock, which is approximately 24% of the class A common stock.</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of Class B Common Stock</w:t>
      </w:r>
    </w:p>
    <w:p>
      <w:pPr>
        <w:spacing w:after="0" w:line="393"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The class B common stock is convertible share for share into either the class A common stock or the class A special common stock.</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Preference on liquidation</w:t>
      </w:r>
    </w:p>
    <w:p>
      <w:pPr>
        <w:spacing w:after="0" w:line="393"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393"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w:t>
      </w:r>
    </w:p>
    <w:p>
      <w:pPr>
        <w:sectPr>
          <w:pgSz w:w="11900" w:h="16854" w:orient="portrait"/>
          <w:cols w:equalWidth="0" w:num="1">
            <w:col w:w="10219"/>
          </w:cols>
          <w:pgMar w:left="240" w:top="1088" w:right="1440" w:bottom="0" w:gutter="0" w:footer="0" w:header="0"/>
        </w:sectPr>
      </w:pPr>
    </w:p>
    <w:bookmarkStart w:id="54" w:name="page55"/>
    <w:bookmarkEnd w:id="54"/>
    <w:p>
      <w:pPr>
        <w:ind w:right="2439"/>
        <w:spacing w:after="0" w:line="241" w:lineRule="auto"/>
        <w:rPr>
          <w:sz w:val="20"/>
          <w:szCs w:val="20"/>
          <w:color w:val="auto"/>
        </w:rPr>
      </w:pPr>
      <w:r>
        <w:rPr>
          <w:rFonts w:ascii="Courier New" w:cs="Courier New" w:eastAsia="Courier New" w:hAnsi="Courier New"/>
          <w:sz w:val="17"/>
          <w:szCs w:val="17"/>
          <w:color w:val="auto"/>
        </w:rPr>
        <w:t>conversion, exchange or exercise of securities, will, when issued, be, fully paid and non-assessable. We have been advised that the class A special common stock and class A common stock are exempt from existing Pennsylvania personal property tax.</w:t>
      </w:r>
    </w:p>
    <w:p>
      <w:pPr>
        <w:spacing w:after="0" w:line="199"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transfer agent and registrar for our class A special common stock and class A common stock is The Bank of New York, One Wall Street, New York, New York 10286.</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142" w:right="1440" w:bottom="1440" w:gutter="0" w:footer="0" w:header="0"/>
        </w:sectPr>
      </w:pPr>
    </w:p>
    <w:bookmarkStart w:id="55" w:name="page56"/>
    <w:bookmarkEnd w:id="55"/>
    <w:p>
      <w:pPr>
        <w:spacing w:after="0" w:line="1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PLAN OF DISTRIBUTION</w:t>
      </w:r>
    </w:p>
    <w:p>
      <w:pPr>
        <w:spacing w:after="0" w:line="199"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We and/or our trust subsidiaries may sell the Securities being offered hereby in four ways:</w:t>
      </w:r>
    </w:p>
    <w:p>
      <w:pPr>
        <w:spacing w:after="0" w:line="198" w:lineRule="exact"/>
        <w:rPr>
          <w:sz w:val="20"/>
          <w:szCs w:val="20"/>
          <w:color w:val="auto"/>
        </w:rPr>
      </w:pPr>
    </w:p>
    <w:p>
      <w:pPr>
        <w:ind w:left="1020" w:hanging="511"/>
        <w:spacing w:after="0"/>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to purchasers;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agents;</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underwriters; and</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dealers.</w:t>
      </w:r>
    </w:p>
    <w:p>
      <w:pPr>
        <w:spacing w:after="0" w:line="393" w:lineRule="exact"/>
        <w:rPr>
          <w:sz w:val="20"/>
          <w:szCs w:val="20"/>
          <w:color w:val="auto"/>
        </w:rPr>
      </w:pPr>
    </w:p>
    <w:p>
      <w:pPr>
        <w:ind w:right="2439" w:firstLine="505"/>
        <w:spacing w:after="0" w:line="242" w:lineRule="auto"/>
        <w:rPr>
          <w:sz w:val="20"/>
          <w:szCs w:val="20"/>
          <w:color w:val="auto"/>
        </w:rPr>
      </w:pPr>
      <w:r>
        <w:rPr>
          <w:rFonts w:ascii="Courier New" w:cs="Courier New" w:eastAsia="Courier New" w:hAnsi="Courier New"/>
          <w:sz w:val="17"/>
          <w:szCs w:val="17"/>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97"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200" w:lineRule="exact"/>
        <w:rPr>
          <w:sz w:val="20"/>
          <w:szCs w:val="20"/>
          <w:color w:val="auto"/>
        </w:rPr>
      </w:pPr>
    </w:p>
    <w:p>
      <w:pPr>
        <w:ind w:right="2319" w:firstLine="505"/>
        <w:spacing w:after="0" w:line="261" w:lineRule="auto"/>
        <w:rPr>
          <w:sz w:val="20"/>
          <w:szCs w:val="20"/>
          <w:color w:val="auto"/>
        </w:rPr>
      </w:pPr>
      <w:r>
        <w:rPr>
          <w:rFonts w:ascii="Courier New" w:cs="Courier New" w:eastAsia="Courier New" w:hAnsi="Courier New"/>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37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394"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9" w:lineRule="exact"/>
        <w:rPr>
          <w:sz w:val="20"/>
          <w:szCs w:val="20"/>
          <w:color w:val="auto"/>
        </w:rPr>
      </w:pPr>
    </w:p>
    <w:p>
      <w:pPr>
        <w:ind w:right="2739" w:firstLine="505"/>
        <w:spacing w:after="0" w:line="241" w:lineRule="auto"/>
        <w:rPr>
          <w:sz w:val="20"/>
          <w:szCs w:val="20"/>
          <w:color w:val="auto"/>
        </w:rPr>
      </w:pPr>
      <w:r>
        <w:rPr>
          <w:rFonts w:ascii="Courier New" w:cs="Courier New" w:eastAsia="Courier New" w:hAnsi="Courier New"/>
          <w:sz w:val="17"/>
          <w:szCs w:val="17"/>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00" w:lineRule="exact"/>
        <w:rPr>
          <w:sz w:val="20"/>
          <w:szCs w:val="20"/>
          <w:color w:val="auto"/>
        </w:rPr>
      </w:pPr>
    </w:p>
    <w:p>
      <w:pPr>
        <w:spacing w:after="0" w:line="385"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LEGAL MATTERS</w:t>
      </w:r>
    </w:p>
    <w:p>
      <w:pPr>
        <w:spacing w:after="0" w:line="393"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w:t>
      </w:r>
    </w:p>
    <w:p>
      <w:pPr>
        <w:sectPr>
          <w:pgSz w:w="11900" w:h="16853" w:orient="portrait"/>
          <w:cols w:equalWidth="0" w:num="1">
            <w:col w:w="10219"/>
          </w:cols>
          <w:pgMar w:left="240" w:top="1280" w:right="1440" w:bottom="0" w:gutter="0" w:footer="0" w:header="0"/>
        </w:sectPr>
      </w:pPr>
    </w:p>
    <w:bookmarkStart w:id="56" w:name="page57"/>
    <w:bookmarkEnd w:id="56"/>
    <w:p>
      <w:pPr>
        <w:ind w:right="2739"/>
        <w:spacing w:after="0"/>
        <w:rPr>
          <w:sz w:val="20"/>
          <w:szCs w:val="20"/>
          <w:color w:val="auto"/>
        </w:rPr>
      </w:pPr>
      <w:r>
        <w:rPr>
          <w:rFonts w:ascii="Courier New" w:cs="Courier New" w:eastAsia="Courier New" w:hAnsi="Courier New"/>
          <w:sz w:val="17"/>
          <w:szCs w:val="17"/>
          <w:color w:val="auto"/>
        </w:rPr>
        <w:t>indicated in the accompanying prospectus supplement, legal matters will be passed upon for the underwriters or agents by Cahill Gordon &amp; Reindel (a partnership including a professional organization).</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142" w:right="1440" w:bottom="1440" w:gutter="0" w:footer="0" w:header="0"/>
        </w:sectPr>
      </w:pPr>
    </w:p>
    <w:bookmarkStart w:id="57" w:name="page58"/>
    <w:bookmarkEnd w:id="57"/>
    <w:p>
      <w:pPr>
        <w:ind w:left="3640"/>
        <w:spacing w:after="0"/>
        <w:rPr>
          <w:sz w:val="20"/>
          <w:szCs w:val="20"/>
          <w:color w:val="auto"/>
        </w:rPr>
      </w:pPr>
      <w:r>
        <w:rPr>
          <w:rFonts w:ascii="Courier New" w:cs="Courier New" w:eastAsia="Courier New" w:hAnsi="Courier New"/>
          <w:sz w:val="17"/>
          <w:szCs w:val="17"/>
          <w:color w:val="auto"/>
        </w:rPr>
        <w:t>EXPERTS</w:t>
      </w:r>
    </w:p>
    <w:p>
      <w:pPr>
        <w:spacing w:after="0" w:line="393" w:lineRule="exact"/>
        <w:rPr>
          <w:sz w:val="20"/>
          <w:szCs w:val="20"/>
          <w:color w:val="auto"/>
        </w:rPr>
      </w:pPr>
    </w:p>
    <w:p>
      <w:pPr>
        <w:ind w:right="2739" w:firstLine="505"/>
        <w:spacing w:after="0" w:line="241" w:lineRule="auto"/>
        <w:rPr>
          <w:sz w:val="20"/>
          <w:szCs w:val="20"/>
          <w:color w:val="auto"/>
        </w:rPr>
      </w:pPr>
      <w:r>
        <w:rPr>
          <w:rFonts w:ascii="Courier New" w:cs="Courier New" w:eastAsia="Courier New" w:hAnsi="Courier New"/>
          <w:sz w:val="17"/>
          <w:szCs w:val="17"/>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394" w:lineRule="exact"/>
        <w:rPr>
          <w:sz w:val="20"/>
          <w:szCs w:val="20"/>
          <w:color w:val="auto"/>
        </w:rPr>
      </w:pPr>
    </w:p>
    <w:p>
      <w:pPr>
        <w:ind w:right="2739" w:firstLine="505"/>
        <w:spacing w:after="0" w:line="241" w:lineRule="auto"/>
        <w:rPr>
          <w:sz w:val="20"/>
          <w:szCs w:val="20"/>
          <w:color w:val="auto"/>
        </w:rPr>
      </w:pPr>
      <w:r>
        <w:rPr>
          <w:rFonts w:ascii="Courier New" w:cs="Courier New" w:eastAsia="Courier New" w:hAnsi="Courier New"/>
          <w:sz w:val="17"/>
          <w:szCs w:val="17"/>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393" w:lineRule="exact"/>
        <w:rPr>
          <w:sz w:val="20"/>
          <w:szCs w:val="20"/>
          <w:color w:val="auto"/>
        </w:rPr>
      </w:pPr>
    </w:p>
    <w:p>
      <w:pPr>
        <w:ind w:right="2319" w:firstLine="505"/>
        <w:spacing w:after="0" w:line="257" w:lineRule="auto"/>
        <w:rPr>
          <w:sz w:val="20"/>
          <w:szCs w:val="20"/>
          <w:color w:val="auto"/>
        </w:rPr>
      </w:pPr>
      <w:r>
        <w:rPr>
          <w:rFonts w:ascii="Courier New" w:cs="Courier New" w:eastAsia="Courier New" w:hAnsi="Courier New"/>
          <w:sz w:val="16"/>
          <w:szCs w:val="16"/>
          <w:color w:val="auto"/>
        </w:rPr>
        <w:t>The financial statements of QVC, Inc. and subsidiaries, as of December 31, 1998 and 1997 and for each of the three years in the period ended December 31, 1998, have been audited by KPMG LLP, independent auditors, as stated in their report, which is included as an exhibit to our annual report on Form</w:t>
      </w:r>
    </w:p>
    <w:p>
      <w:pPr>
        <w:spacing w:after="0" w:line="1"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10-K for the fiscal year ended December 31, 1998 and incorporated herein by reference in reliance upon their authority as experts in accounting and auditing.</w:t>
      </w: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AVAILABLE INFORMATION</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We, along with our trust subsidiaries, have filed this prospectus as part of a combine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to be adopted in connection with the issuance of any guaranteed trust preferred securities, a form of trust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alone, a form of warrant for warrants sold alone, a form of warrant agreement for warrants sold attached to securities, a form of warrant for warrants sold attached to securities, a form of deposit agreement and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38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 SEC-0330 for further information on the public reference rooms. You may also read our SEC filings, including the complete registration statement and all of the exhibits to it, through the SEC's web site at http://www.sec.gov.</w:t>
      </w:r>
    </w:p>
    <w:p>
      <w:pPr>
        <w:spacing w:after="0" w:line="204"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19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891" w:right="1440" w:bottom="1440" w:gutter="0" w:footer="0" w:header="0"/>
        </w:sectPr>
      </w:pPr>
    </w:p>
    <w:bookmarkStart w:id="58" w:name="page59"/>
    <w:bookmarkEnd w:id="58"/>
    <w:p>
      <w:pPr>
        <w:ind w:left="162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190" w:lineRule="exact"/>
        <w:rPr>
          <w:sz w:val="20"/>
          <w:szCs w:val="20"/>
          <w:color w:val="auto"/>
        </w:rPr>
      </w:pPr>
    </w:p>
    <w:p>
      <w:pPr>
        <w:ind w:left="1020" w:hanging="511"/>
        <w:spacing w:after="0"/>
        <w:tabs>
          <w:tab w:leader="none" w:pos="10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December 31, 1998;</w:t>
      </w:r>
    </w:p>
    <w:p>
      <w:pPr>
        <w:spacing w:after="0" w:line="207" w:lineRule="exact"/>
        <w:rPr>
          <w:rFonts w:ascii="Courier New" w:cs="Courier New" w:eastAsia="Courier New" w:hAnsi="Courier New"/>
          <w:sz w:val="16"/>
          <w:szCs w:val="16"/>
          <w:color w:val="auto"/>
        </w:rPr>
      </w:pPr>
    </w:p>
    <w:p>
      <w:pPr>
        <w:ind w:left="1020" w:right="2319" w:hanging="511"/>
        <w:spacing w:after="0" w:line="239" w:lineRule="auto"/>
        <w:tabs>
          <w:tab w:leader="none" w:pos="10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 on Form 10-Q for the fiscal quarter ended March 31, 1999;</w:t>
      </w:r>
    </w:p>
    <w:p>
      <w:pPr>
        <w:spacing w:after="0" w:line="199" w:lineRule="exact"/>
        <w:rPr>
          <w:rFonts w:ascii="Courier New" w:cs="Courier New" w:eastAsia="Courier New" w:hAnsi="Courier New"/>
          <w:sz w:val="17"/>
          <w:szCs w:val="17"/>
          <w:color w:val="auto"/>
        </w:rPr>
      </w:pPr>
    </w:p>
    <w:p>
      <w:pPr>
        <w:ind w:left="1020" w:right="2539" w:hanging="511"/>
        <w:spacing w:after="0"/>
        <w:tabs>
          <w:tab w:leader="none" w:pos="10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dated July 7, 1999, May 26, 1999, May 26, 1999, May 4, 1999, April 7, 1999, March 22, 1999, March 9, 1999, March 9, 1999 and January 20, 1999; and</w:t>
      </w:r>
    </w:p>
    <w:p>
      <w:pPr>
        <w:spacing w:after="0" w:line="200" w:lineRule="exact"/>
        <w:rPr>
          <w:rFonts w:ascii="Courier New" w:cs="Courier New" w:eastAsia="Courier New" w:hAnsi="Courier New"/>
          <w:sz w:val="17"/>
          <w:szCs w:val="17"/>
          <w:color w:val="auto"/>
        </w:rPr>
      </w:pPr>
    </w:p>
    <w:p>
      <w:pPr>
        <w:ind w:left="1020" w:right="2639" w:hanging="511"/>
        <w:spacing w:after="0"/>
        <w:tabs>
          <w:tab w:leader="none" w:pos="10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class A special common stock and class A common stock contained in the first amendment to our registration statement on Form 8-A/A dated July 16, 1996.</w:t>
      </w:r>
    </w:p>
    <w:p>
      <w:pPr>
        <w:spacing w:after="0" w:line="200"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We will provide free copies of any of those documents, if you write or telephone us at: 1500 Market Street, Philadelphia, Pennsylvania 19102-2148, (215) 665-1700.</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086" w:right="1440" w:bottom="1440" w:gutter="0" w:footer="0" w:header="0"/>
        </w:sectPr>
      </w:pPr>
    </w:p>
    <w:bookmarkStart w:id="59" w:name="page60"/>
    <w:bookmarkEnd w:id="59"/>
    <w:p>
      <w:pPr>
        <w:jc w:val="center"/>
        <w:ind w:right="2219"/>
        <w:spacing w:after="0"/>
        <w:rPr>
          <w:sz w:val="20"/>
          <w:szCs w:val="20"/>
          <w:color w:val="auto"/>
        </w:rPr>
      </w:pPr>
      <w:r>
        <w:rPr>
          <w:rFonts w:ascii="Courier New" w:cs="Courier New" w:eastAsia="Courier New" w:hAnsi="Courier New"/>
          <w:sz w:val="17"/>
          <w:szCs w:val="17"/>
          <w:color w:val="auto"/>
        </w:rPr>
        <w:t>PART II</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Other Expenses of Issuance and Distribution</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All of the expenses in connection with the offering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Securities</w:t>
            </w:r>
          </w:p>
        </w:tc>
        <w:tc>
          <w:tcPr>
            <w:tcW w:w="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w:t>
            </w:r>
          </w:p>
        </w:tc>
        <w:tc>
          <w:tcPr>
            <w:tcW w:w="5100" w:type="dxa"/>
            <w:vAlign w:val="bottom"/>
          </w:tcPr>
          <w:p>
            <w:pPr>
              <w:jc w:val="right"/>
              <w:spacing w:after="0"/>
              <w:rPr>
                <w:sz w:val="20"/>
                <w:szCs w:val="20"/>
                <w:color w:val="auto"/>
              </w:rPr>
            </w:pPr>
            <w:r>
              <w:rPr>
                <w:rFonts w:ascii="Courier New" w:cs="Courier New" w:eastAsia="Courier New" w:hAnsi="Courier New"/>
                <w:sz w:val="17"/>
                <w:szCs w:val="17"/>
                <w:color w:val="auto"/>
                <w:w w:val="98"/>
              </w:rPr>
              <w:t>Exchange Commission registration fee..............</w:t>
            </w:r>
          </w:p>
        </w:tc>
        <w:tc>
          <w:tcPr>
            <w:tcW w:w="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834,000</w:t>
            </w:r>
          </w:p>
        </w:tc>
        <w:tc>
          <w:tcPr>
            <w:tcW w:w="160" w:type="dxa"/>
            <w:vAlign w:val="bottom"/>
          </w:tcPr>
          <w:p>
            <w:pPr>
              <w:spacing w:after="0"/>
              <w:rPr>
                <w:sz w:val="16"/>
                <w:szCs w:val="16"/>
                <w:color w:val="auto"/>
              </w:rPr>
            </w:pP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Legal fees</w:t>
            </w:r>
          </w:p>
        </w:tc>
        <w:tc>
          <w:tcPr>
            <w:tcW w:w="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w:t>
            </w:r>
          </w:p>
        </w:tc>
        <w:tc>
          <w:tcPr>
            <w:tcW w:w="5100" w:type="dxa"/>
            <w:vAlign w:val="bottom"/>
          </w:tcPr>
          <w:p>
            <w:pPr>
              <w:jc w:val="right"/>
              <w:spacing w:after="0"/>
              <w:rPr>
                <w:sz w:val="20"/>
                <w:szCs w:val="20"/>
                <w:color w:val="auto"/>
              </w:rPr>
            </w:pPr>
            <w:r>
              <w:rPr>
                <w:rFonts w:ascii="Courier New" w:cs="Courier New" w:eastAsia="Courier New" w:hAnsi="Courier New"/>
                <w:sz w:val="17"/>
                <w:szCs w:val="17"/>
                <w:color w:val="auto"/>
                <w:w w:val="98"/>
              </w:rPr>
              <w:t>expenses..........................................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320" w:type="dxa"/>
            <w:vAlign w:val="bottom"/>
            <w:gridSpan w:val="2"/>
          </w:tcPr>
          <w:p>
            <w:pPr>
              <w:spacing w:after="0"/>
              <w:rPr>
                <w:sz w:val="20"/>
                <w:szCs w:val="20"/>
                <w:color w:val="auto"/>
              </w:rPr>
            </w:pPr>
            <w:r>
              <w:rPr>
                <w:rFonts w:ascii="Courier New" w:cs="Courier New" w:eastAsia="Courier New" w:hAnsi="Courier New"/>
                <w:sz w:val="17"/>
                <w:szCs w:val="17"/>
                <w:color w:val="auto"/>
              </w:rPr>
              <w:t>Printing and</w:t>
            </w:r>
          </w:p>
        </w:tc>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engraving fees......................................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75,000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320" w:type="dxa"/>
            <w:vAlign w:val="bottom"/>
            <w:gridSpan w:val="2"/>
          </w:tcPr>
          <w:p>
            <w:pPr>
              <w:spacing w:after="0"/>
              <w:rPr>
                <w:sz w:val="20"/>
                <w:szCs w:val="20"/>
                <w:color w:val="auto"/>
              </w:rPr>
            </w:pPr>
            <w:r>
              <w:rPr>
                <w:rFonts w:ascii="Courier New" w:cs="Courier New" w:eastAsia="Courier New" w:hAnsi="Courier New"/>
                <w:sz w:val="17"/>
                <w:szCs w:val="17"/>
                <w:color w:val="auto"/>
              </w:rPr>
              <w:t>Accountants'</w:t>
            </w:r>
          </w:p>
        </w:tc>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fees and expenses...................................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320" w:type="dxa"/>
            <w:vAlign w:val="bottom"/>
            <w:gridSpan w:val="2"/>
          </w:tcPr>
          <w:p>
            <w:pPr>
              <w:spacing w:after="0"/>
              <w:rPr>
                <w:sz w:val="20"/>
                <w:szCs w:val="20"/>
                <w:color w:val="auto"/>
              </w:rPr>
            </w:pPr>
            <w:r>
              <w:rPr>
                <w:rFonts w:ascii="Courier New" w:cs="Courier New" w:eastAsia="Courier New" w:hAnsi="Courier New"/>
                <w:sz w:val="17"/>
                <w:szCs w:val="17"/>
                <w:color w:val="auto"/>
                <w:w w:val="98"/>
              </w:rPr>
              <w:t>Miscellaneous</w:t>
            </w:r>
          </w:p>
        </w:tc>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16,000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 w:lineRule="exact"/>
        <w:rPr>
          <w:sz w:val="20"/>
          <w:szCs w:val="20"/>
          <w:color w:val="auto"/>
        </w:rPr>
      </w:pPr>
    </w:p>
    <w:p>
      <w:pPr>
        <w:ind w:left="66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Total....................................................... $ 1,000,000 *</w:t>
      </w:r>
    </w:p>
    <w:p>
      <w:pPr>
        <w:spacing w:after="0" w:line="11" w:lineRule="exact"/>
        <w:rPr>
          <w:sz w:val="20"/>
          <w:szCs w:val="20"/>
          <w:color w:val="auto"/>
        </w:rPr>
      </w:pPr>
    </w:p>
    <w:p>
      <w:pPr>
        <w:ind w:left="668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Estimated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Indemnification of Directors and Officers.</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199" w:lineRule="exact"/>
        <w:rPr>
          <w:sz w:val="20"/>
          <w:szCs w:val="20"/>
          <w:color w:val="auto"/>
        </w:rPr>
      </w:pPr>
    </w:p>
    <w:p>
      <w:pPr>
        <w:ind w:right="2319" w:firstLine="505"/>
        <w:spacing w:after="0" w:line="242" w:lineRule="auto"/>
        <w:rPr>
          <w:sz w:val="20"/>
          <w:szCs w:val="20"/>
          <w:color w:val="auto"/>
        </w:rPr>
      </w:pPr>
      <w:r>
        <w:rPr>
          <w:rFonts w:ascii="Courier New" w:cs="Courier New" w:eastAsia="Courier New" w:hAnsi="Courier New"/>
          <w:sz w:val="17"/>
          <w:szCs w:val="17"/>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99"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188" w:lineRule="exact"/>
        <w:rPr>
          <w:sz w:val="20"/>
          <w:szCs w:val="20"/>
          <w:color w:val="auto"/>
        </w:rPr>
      </w:pPr>
    </w:p>
    <w:p>
      <w:pPr>
        <w:ind w:right="2219" w:firstLine="505"/>
        <w:spacing w:after="0" w:line="259"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185"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99"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891" w:right="1440" w:bottom="1440" w:gutter="0" w:footer="0" w:header="0"/>
        </w:sectPr>
      </w:pPr>
    </w:p>
    <w:bookmarkStart w:id="60" w:name="page61"/>
    <w:bookmarkEnd w:id="60"/>
    <w:p>
      <w:pPr>
        <w:ind w:right="2319" w:firstLine="505"/>
        <w:spacing w:after="0" w:line="241" w:lineRule="auto"/>
        <w:rPr>
          <w:sz w:val="20"/>
          <w:szCs w:val="20"/>
          <w:color w:val="auto"/>
        </w:rPr>
      </w:pPr>
      <w:r>
        <w:rPr>
          <w:rFonts w:ascii="Courier New" w:cs="Courier New" w:eastAsia="Courier New" w:hAnsi="Courier New"/>
          <w:sz w:val="17"/>
          <w:szCs w:val="17"/>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204"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200" w:lineRule="exact"/>
        <w:rPr>
          <w:sz w:val="20"/>
          <w:szCs w:val="20"/>
          <w:color w:val="auto"/>
        </w:rPr>
      </w:pPr>
    </w:p>
    <w:p>
      <w:pPr>
        <w:ind w:right="2639" w:firstLine="505"/>
        <w:spacing w:after="0" w:line="241" w:lineRule="auto"/>
        <w:rPr>
          <w:sz w:val="20"/>
          <w:szCs w:val="20"/>
          <w:color w:val="auto"/>
        </w:rPr>
      </w:pPr>
      <w:r>
        <w:rPr>
          <w:rFonts w:ascii="Courier New" w:cs="Courier New" w:eastAsia="Courier New" w:hAnsi="Courier New"/>
          <w:sz w:val="17"/>
          <w:szCs w:val="17"/>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99"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85"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For information regarding provisions under which a director or officer of the Company may be insured or indemnified in any manner against any liability which he may incur in his capacity as such, reference is made to Article VII of the Company's By-Laws.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following exhibits are filed as part of the Registration Statement: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94"/>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 -------</w:t>
            </w:r>
          </w:p>
        </w:tc>
        <w:tc>
          <w:tcPr>
            <w:tcW w:w="228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83"/>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w:t>
            </w:r>
          </w:p>
        </w:tc>
        <w:tc>
          <w:tcPr>
            <w:tcW w:w="46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Agreement (Debt Securities, Warrants,</w:t>
            </w:r>
          </w:p>
        </w:tc>
      </w:tr>
      <w:tr>
        <w:trPr>
          <w:trHeight w:val="194"/>
        </w:trPr>
        <w:tc>
          <w:tcPr>
            <w:tcW w:w="1120" w:type="dxa"/>
            <w:vAlign w:val="bottom"/>
          </w:tcPr>
          <w:p>
            <w:pPr>
              <w:spacing w:after="0"/>
              <w:rPr>
                <w:sz w:val="16"/>
                <w:szCs w:val="16"/>
                <w:color w:val="auto"/>
              </w:rPr>
            </w:pPr>
          </w:p>
        </w:tc>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Purchase Contracts and Units).</w:t>
            </w:r>
          </w:p>
        </w:tc>
        <w:tc>
          <w:tcPr>
            <w:tcW w:w="2280" w:type="dxa"/>
            <w:vAlign w:val="bottom"/>
          </w:tcPr>
          <w:p>
            <w:pPr>
              <w:spacing w:after="0"/>
              <w:rPr>
                <w:sz w:val="16"/>
                <w:szCs w:val="16"/>
                <w:color w:val="auto"/>
              </w:rPr>
            </w:pP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w:t>
            </w:r>
          </w:p>
        </w:tc>
        <w:tc>
          <w:tcPr>
            <w:tcW w:w="46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Agreement (Preferred Stock, Depositary</w:t>
            </w:r>
          </w:p>
        </w:tc>
      </w:tr>
      <w:tr>
        <w:trPr>
          <w:trHeight w:val="194"/>
        </w:trPr>
        <w:tc>
          <w:tcPr>
            <w:tcW w:w="1120" w:type="dxa"/>
            <w:vAlign w:val="bottom"/>
          </w:tcPr>
          <w:p>
            <w:pPr>
              <w:spacing w:after="0"/>
              <w:rPr>
                <w:sz w:val="16"/>
                <w:szCs w:val="16"/>
                <w:color w:val="auto"/>
              </w:rPr>
            </w:pPr>
          </w:p>
        </w:tc>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Shares, Common Stock).</w:t>
            </w:r>
          </w:p>
        </w:tc>
        <w:tc>
          <w:tcPr>
            <w:tcW w:w="2280" w:type="dxa"/>
            <w:vAlign w:val="bottom"/>
          </w:tcPr>
          <w:p>
            <w:pPr>
              <w:spacing w:after="0"/>
              <w:rPr>
                <w:sz w:val="16"/>
                <w:szCs w:val="16"/>
                <w:color w:val="auto"/>
              </w:rPr>
            </w:pP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w:t>
            </w:r>
          </w:p>
        </w:tc>
        <w:tc>
          <w:tcPr>
            <w:tcW w:w="46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Agreement (Preferred Securities).</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3(ii)</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w:t>
            </w:r>
          </w:p>
        </w:tc>
        <w:tc>
          <w:tcPr>
            <w:tcW w:w="46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By-Laws (incorporated by reference to Exhibit</w:t>
            </w:r>
          </w:p>
        </w:tc>
      </w:tr>
      <w:tr>
        <w:trPr>
          <w:trHeight w:val="194"/>
        </w:trPr>
        <w:tc>
          <w:tcPr>
            <w:tcW w:w="1120" w:type="dxa"/>
            <w:vAlign w:val="bottom"/>
          </w:tcPr>
          <w:p>
            <w:pPr>
              <w:spacing w:after="0"/>
              <w:rPr>
                <w:sz w:val="16"/>
                <w:szCs w:val="16"/>
                <w:color w:val="auto"/>
              </w:rPr>
            </w:pPr>
          </w:p>
        </w:tc>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3(ii) to our Annual Report on Form 10-K for</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the year ended</w:t>
            </w:r>
          </w:p>
        </w:tc>
      </w:tr>
      <w:tr>
        <w:trPr>
          <w:trHeight w:val="194"/>
        </w:trPr>
        <w:tc>
          <w:tcPr>
            <w:tcW w:w="1120" w:type="dxa"/>
            <w:vAlign w:val="bottom"/>
          </w:tcPr>
          <w:p>
            <w:pPr>
              <w:spacing w:after="0"/>
              <w:rPr>
                <w:sz w:val="16"/>
                <w:szCs w:val="16"/>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December 31, 1993).</w:t>
            </w: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w:t>
            </w:r>
          </w:p>
        </w:tc>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Senior Indenture to be dated as of June 15,</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1999 between the</w:t>
            </w:r>
          </w:p>
        </w:tc>
      </w:tr>
      <w:tr>
        <w:trPr>
          <w:trHeight w:val="194"/>
        </w:trPr>
        <w:tc>
          <w:tcPr>
            <w:tcW w:w="1120" w:type="dxa"/>
            <w:vAlign w:val="bottom"/>
          </w:tcPr>
          <w:p>
            <w:pPr>
              <w:spacing w:after="0"/>
              <w:rPr>
                <w:sz w:val="16"/>
                <w:szCs w:val="16"/>
                <w:color w:val="auto"/>
              </w:rPr>
            </w:pPr>
          </w:p>
        </w:tc>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Company and Bank of Montreal Trust Company,</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as Trustee.</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w:t>
            </w:r>
          </w:p>
        </w:tc>
        <w:tc>
          <w:tcPr>
            <w:tcW w:w="6880" w:type="dxa"/>
            <w:vAlign w:val="bottom"/>
            <w:gridSpan w:val="3"/>
          </w:tcPr>
          <w:p>
            <w:pPr>
              <w:ind w:left="200"/>
              <w:spacing w:after="0"/>
              <w:rPr>
                <w:sz w:val="20"/>
                <w:szCs w:val="20"/>
                <w:color w:val="auto"/>
              </w:rPr>
            </w:pPr>
            <w:r>
              <w:rPr>
                <w:rFonts w:ascii="Courier New" w:cs="Courier New" w:eastAsia="Courier New" w:hAnsi="Courier New"/>
                <w:sz w:val="17"/>
                <w:szCs w:val="17"/>
                <w:color w:val="auto"/>
                <w:w w:val="98"/>
              </w:rPr>
              <w:t>Subordinated Indenture to be dated as of June 15, 1999 between the</w:t>
            </w:r>
          </w:p>
        </w:tc>
      </w:tr>
      <w:tr>
        <w:trPr>
          <w:trHeight w:val="194"/>
        </w:trPr>
        <w:tc>
          <w:tcPr>
            <w:tcW w:w="1120" w:type="dxa"/>
            <w:vAlign w:val="bottom"/>
          </w:tcPr>
          <w:p>
            <w:pPr>
              <w:spacing w:after="0"/>
              <w:rPr>
                <w:sz w:val="16"/>
                <w:szCs w:val="16"/>
                <w:color w:val="auto"/>
              </w:rPr>
            </w:pPr>
          </w:p>
        </w:tc>
        <w:tc>
          <w:tcPr>
            <w:tcW w:w="68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Company and Bankers Trust Company, as Trustee.</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Certificate of Trust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of Comcast Corporation</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Trust I.</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Certificate of Trust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of Comcast Corporation</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Trust II.</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Certificate of Trust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of Comcast Corporation</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Trust III.</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Declaration of Trust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of Comcast Corporation</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Trust I.</w:t>
            </w:r>
          </w:p>
        </w:tc>
      </w:tr>
      <w:tr>
        <w:trPr>
          <w:trHeight w:val="389"/>
        </w:trPr>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Declaration of Trust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of Comcast Corporation</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Trust II.</w:t>
            </w:r>
          </w:p>
        </w:tc>
      </w:tr>
    </w:tbl>
    <w:p>
      <w:pPr>
        <w:spacing w:after="0" w:line="39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894"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4.8**</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Declaration of Trust of Comcast Corporation Trust III.</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4.9**</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Amended and Restated Declaration of Trust for each of</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Comcast Corporation Trust I, Comcast Corporation Trust II and</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Comcast Corporation Trust III.</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4.10**</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Senior Debt Security.</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Subordinated Debt Security.</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4.12</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Preferred Security (included in Exhibit 4.9).</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4.13**</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Preferred Securities Guarantee with respect to Preferred</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Securities.</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4.14*</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Purchase Contract Agreement relating to Purchase Contracts</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(to be included in Exhibit 4.15).</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4.15*</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Unit Agreement.</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4.16**</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Warrant Agreement for Warrants Sold Alone.</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4.17</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w w:val="98"/>
              </w:rPr>
              <w:t>Form of Warrant for Warrants Sold Alone (included in Exhibit 4.16).</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4.18**</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w w:val="98"/>
              </w:rPr>
              <w:t>Form of Warrant Agreement for Warrants Sold Attached to Securities.</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4.19</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Warrant for Warrants Sold Attached to Securities (included</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in Exhibit 4.18).</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4.20**</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Pledge Agreement.</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Deposit Agreement.</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4.22</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Form of Depositary Share (included in Exhibit 4.21).</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5.1**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Opinion of Arthur R. Block, Esquire.</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5.2**</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Opinion of Davis Polk &amp; Wardwell.</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5.3**</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Opinion of Richards, Layton &amp; Finger.</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12.1**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Statement re: Computation of Ratios of Earnings to Fixed Charges</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and Combined Fixed Charges and Preferred Dividends.</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Consent of KPMG LLP.</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Consent of Arthur R. Block, Esquire (included in Exhibit 5.1).</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23.4</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Consent of Davis Polk &amp; Wardwell (included in Exhibit 5.2).</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23.5</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Consent of Richards, Layton &amp; Finger (included in Exhibit 5.3).</w:t>
            </w:r>
          </w:p>
        </w:tc>
      </w:tr>
      <w:tr>
        <w:trPr>
          <w:trHeight w:val="583"/>
        </w:trPr>
        <w:tc>
          <w:tcPr>
            <w:tcW w:w="86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Powers of Attorney.</w:t>
            </w:r>
          </w:p>
        </w:tc>
      </w:tr>
      <w:tr>
        <w:trPr>
          <w:trHeight w:val="583"/>
        </w:trPr>
        <w:tc>
          <w:tcPr>
            <w:tcW w:w="860" w:type="dxa"/>
            <w:vAlign w:val="bottom"/>
          </w:tcPr>
          <w:p>
            <w:pPr>
              <w:spacing w:after="0"/>
              <w:rPr>
                <w:sz w:val="20"/>
                <w:szCs w:val="20"/>
                <w:color w:val="auto"/>
              </w:rPr>
            </w:pPr>
            <w:r>
              <w:rPr>
                <w:rFonts w:ascii="Courier New" w:cs="Courier New" w:eastAsia="Courier New" w:hAnsi="Courier New"/>
                <w:sz w:val="17"/>
                <w:szCs w:val="17"/>
                <w:color w:val="auto"/>
              </w:rPr>
              <w:t>25.1**</w:t>
            </w: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Statement of Eligibility under the Trust Indenture Act of 1939, as</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amended, of Bank of Montreal Trust Company, as Trustee under the</w:t>
            </w:r>
          </w:p>
        </w:tc>
      </w:tr>
      <w:tr>
        <w:trPr>
          <w:trHeight w:val="194"/>
        </w:trPr>
        <w:tc>
          <w:tcPr>
            <w:tcW w:w="860" w:type="dxa"/>
            <w:vAlign w:val="bottom"/>
          </w:tcPr>
          <w:p>
            <w:pPr>
              <w:spacing w:after="0"/>
              <w:rPr>
                <w:sz w:val="16"/>
                <w:szCs w:val="16"/>
                <w:color w:val="auto"/>
              </w:rPr>
            </w:pPr>
          </w:p>
        </w:tc>
        <w:tc>
          <w:tcPr>
            <w:tcW w:w="6940" w:type="dxa"/>
            <w:vAlign w:val="bottom"/>
          </w:tcPr>
          <w:p>
            <w:pPr>
              <w:ind w:left="160"/>
              <w:spacing w:after="0"/>
              <w:rPr>
                <w:sz w:val="20"/>
                <w:szCs w:val="20"/>
                <w:color w:val="auto"/>
              </w:rPr>
            </w:pPr>
            <w:r>
              <w:rPr>
                <w:rFonts w:ascii="Courier New" w:cs="Courier New" w:eastAsia="Courier New" w:hAnsi="Courier New"/>
                <w:sz w:val="17"/>
                <w:szCs w:val="17"/>
                <w:color w:val="auto"/>
              </w:rPr>
              <w:t>Senior Indenture.</w:t>
            </w:r>
          </w:p>
        </w:tc>
      </w:tr>
    </w:tbl>
    <w:p>
      <w:pPr>
        <w:spacing w:after="0" w:line="39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9919"/>
          </w:cols>
          <w:pgMar w:left="540" w:top="891" w:right="1440" w:bottom="1440" w:gutter="0" w:footer="0" w:header="0"/>
        </w:sectPr>
      </w:pPr>
    </w:p>
    <w:bookmarkStart w:id="62" w:name="page63"/>
    <w:bookmarkEnd w:id="62"/>
    <w:tbl>
      <w:tblPr>
        <w:tblLayout w:type="fixed"/>
        <w:tblInd w:w="30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Courier New" w:cs="Courier New" w:eastAsia="Courier New" w:hAnsi="Courier New"/>
                <w:sz w:val="17"/>
                <w:szCs w:val="17"/>
                <w:color w:val="auto"/>
              </w:rPr>
              <w:t>25.2**</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Statement of</w:t>
            </w:r>
          </w:p>
        </w:tc>
        <w:tc>
          <w:tcPr>
            <w:tcW w:w="2220" w:type="dxa"/>
            <w:vAlign w:val="bottom"/>
          </w:tcPr>
          <w:p>
            <w:pPr>
              <w:ind w:left="60"/>
              <w:spacing w:after="0"/>
              <w:rPr>
                <w:sz w:val="20"/>
                <w:szCs w:val="20"/>
                <w:color w:val="auto"/>
              </w:rPr>
            </w:pPr>
            <w:r>
              <w:rPr>
                <w:rFonts w:ascii="Courier New" w:cs="Courier New" w:eastAsia="Courier New" w:hAnsi="Courier New"/>
                <w:sz w:val="17"/>
                <w:szCs w:val="17"/>
                <w:color w:val="auto"/>
                <w:w w:val="99"/>
              </w:rPr>
              <w:t>Eligibility under the</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w w:val="98"/>
              </w:rPr>
              <w:t>Trust Indenture Act of 1939, as</w:t>
            </w:r>
          </w:p>
        </w:tc>
      </w:tr>
      <w:tr>
        <w:trPr>
          <w:trHeight w:val="194"/>
        </w:trPr>
        <w:tc>
          <w:tcPr>
            <w:tcW w:w="820" w:type="dxa"/>
            <w:vAlign w:val="bottom"/>
          </w:tcPr>
          <w:p>
            <w:pPr>
              <w:spacing w:after="0"/>
              <w:rPr>
                <w:sz w:val="16"/>
                <w:szCs w:val="16"/>
                <w:color w:val="auto"/>
              </w:rPr>
            </w:pPr>
          </w:p>
        </w:tc>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amended, of Bankers Trust Company,</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as Trustee under the</w:t>
            </w:r>
          </w:p>
        </w:tc>
      </w:tr>
      <w:tr>
        <w:trPr>
          <w:trHeight w:val="194"/>
        </w:trPr>
        <w:tc>
          <w:tcPr>
            <w:tcW w:w="820" w:type="dxa"/>
            <w:vAlign w:val="bottom"/>
          </w:tcPr>
          <w:p>
            <w:pPr>
              <w:spacing w:after="0"/>
              <w:rPr>
                <w:sz w:val="16"/>
                <w:szCs w:val="16"/>
                <w:color w:val="auto"/>
              </w:rPr>
            </w:pPr>
          </w:p>
        </w:tc>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Subordinated Indenture.</w:t>
            </w:r>
          </w:p>
        </w:tc>
        <w:tc>
          <w:tcPr>
            <w:tcW w:w="3200" w:type="dxa"/>
            <w:vAlign w:val="bottom"/>
          </w:tcPr>
          <w:p>
            <w:pPr>
              <w:spacing w:after="0"/>
              <w:rPr>
                <w:sz w:val="16"/>
                <w:szCs w:val="16"/>
                <w:color w:val="auto"/>
              </w:rPr>
            </w:pPr>
          </w:p>
        </w:tc>
      </w:tr>
      <w:tr>
        <w:trPr>
          <w:trHeight w:val="389"/>
        </w:trPr>
        <w:tc>
          <w:tcPr>
            <w:tcW w:w="820" w:type="dxa"/>
            <w:vAlign w:val="bottom"/>
          </w:tcPr>
          <w:p>
            <w:pPr>
              <w:spacing w:after="0"/>
              <w:rPr>
                <w:sz w:val="20"/>
                <w:szCs w:val="20"/>
                <w:color w:val="auto"/>
              </w:rPr>
            </w:pPr>
            <w:r>
              <w:rPr>
                <w:rFonts w:ascii="Courier New" w:cs="Courier New" w:eastAsia="Courier New" w:hAnsi="Courier New"/>
                <w:sz w:val="17"/>
                <w:szCs w:val="17"/>
                <w:color w:val="auto"/>
              </w:rPr>
              <w:t>25.3*</w:t>
            </w:r>
          </w:p>
        </w:tc>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Statement of Eligibility under the</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w w:val="98"/>
              </w:rPr>
              <w:t>Trust Indenture Act of 1939, as</w:t>
            </w:r>
          </w:p>
        </w:tc>
      </w:tr>
      <w:tr>
        <w:trPr>
          <w:trHeight w:val="194"/>
        </w:trPr>
        <w:tc>
          <w:tcPr>
            <w:tcW w:w="820" w:type="dxa"/>
            <w:vAlign w:val="bottom"/>
          </w:tcPr>
          <w:p>
            <w:pPr>
              <w:spacing w:after="0"/>
              <w:rPr>
                <w:sz w:val="16"/>
                <w:szCs w:val="16"/>
                <w:color w:val="auto"/>
              </w:rPr>
            </w:pPr>
          </w:p>
        </w:tc>
        <w:tc>
          <w:tcPr>
            <w:tcW w:w="68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amended, of the Institutional Trustee for Comcast Corporation</w:t>
            </w:r>
          </w:p>
        </w:tc>
      </w:tr>
      <w:tr>
        <w:trPr>
          <w:trHeight w:val="194"/>
        </w:trPr>
        <w:tc>
          <w:tcPr>
            <w:tcW w:w="820" w:type="dxa"/>
            <w:vAlign w:val="bottom"/>
          </w:tcPr>
          <w:p>
            <w:pPr>
              <w:spacing w:after="0"/>
              <w:rPr>
                <w:sz w:val="16"/>
                <w:szCs w:val="16"/>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Trust I.</w:t>
            </w:r>
          </w:p>
        </w:tc>
        <w:tc>
          <w:tcPr>
            <w:tcW w:w="222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89"/>
        </w:trPr>
        <w:tc>
          <w:tcPr>
            <w:tcW w:w="820" w:type="dxa"/>
            <w:vAlign w:val="bottom"/>
          </w:tcPr>
          <w:p>
            <w:pPr>
              <w:spacing w:after="0"/>
              <w:rPr>
                <w:sz w:val="20"/>
                <w:szCs w:val="20"/>
                <w:color w:val="auto"/>
              </w:rPr>
            </w:pPr>
            <w:r>
              <w:rPr>
                <w:rFonts w:ascii="Courier New" w:cs="Courier New" w:eastAsia="Courier New" w:hAnsi="Courier New"/>
                <w:sz w:val="17"/>
                <w:szCs w:val="17"/>
                <w:color w:val="auto"/>
              </w:rPr>
              <w:t>25.4*</w:t>
            </w:r>
          </w:p>
        </w:tc>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Statement of Eligibility under the</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w w:val="98"/>
              </w:rPr>
              <w:t>Trust Indenture Act of 1939, as</w:t>
            </w:r>
          </w:p>
        </w:tc>
      </w:tr>
      <w:tr>
        <w:trPr>
          <w:trHeight w:val="194"/>
        </w:trPr>
        <w:tc>
          <w:tcPr>
            <w:tcW w:w="820" w:type="dxa"/>
            <w:vAlign w:val="bottom"/>
          </w:tcPr>
          <w:p>
            <w:pPr>
              <w:spacing w:after="0"/>
              <w:rPr>
                <w:sz w:val="16"/>
                <w:szCs w:val="16"/>
                <w:color w:val="auto"/>
              </w:rPr>
            </w:pPr>
          </w:p>
        </w:tc>
        <w:tc>
          <w:tcPr>
            <w:tcW w:w="68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amended, of the Institutional Trustee for Comcast Corporation</w:t>
            </w:r>
          </w:p>
        </w:tc>
      </w:tr>
      <w:tr>
        <w:trPr>
          <w:trHeight w:val="194"/>
        </w:trPr>
        <w:tc>
          <w:tcPr>
            <w:tcW w:w="820" w:type="dxa"/>
            <w:vAlign w:val="bottom"/>
          </w:tcPr>
          <w:p>
            <w:pPr>
              <w:spacing w:after="0"/>
              <w:rPr>
                <w:sz w:val="16"/>
                <w:szCs w:val="16"/>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Trust II.</w:t>
            </w:r>
          </w:p>
        </w:tc>
        <w:tc>
          <w:tcPr>
            <w:tcW w:w="222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89"/>
        </w:trPr>
        <w:tc>
          <w:tcPr>
            <w:tcW w:w="820" w:type="dxa"/>
            <w:vAlign w:val="bottom"/>
          </w:tcPr>
          <w:p>
            <w:pPr>
              <w:spacing w:after="0"/>
              <w:rPr>
                <w:sz w:val="20"/>
                <w:szCs w:val="20"/>
                <w:color w:val="auto"/>
              </w:rPr>
            </w:pPr>
            <w:r>
              <w:rPr>
                <w:rFonts w:ascii="Courier New" w:cs="Courier New" w:eastAsia="Courier New" w:hAnsi="Courier New"/>
                <w:sz w:val="17"/>
                <w:szCs w:val="17"/>
                <w:color w:val="auto"/>
              </w:rPr>
              <w:t>25.5*</w:t>
            </w:r>
          </w:p>
        </w:tc>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Statement of Eligibility under the</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w w:val="98"/>
              </w:rPr>
              <w:t>Trust Indenture Act of 1939, as</w:t>
            </w:r>
          </w:p>
        </w:tc>
      </w:tr>
      <w:tr>
        <w:trPr>
          <w:trHeight w:val="194"/>
        </w:trPr>
        <w:tc>
          <w:tcPr>
            <w:tcW w:w="820" w:type="dxa"/>
            <w:vAlign w:val="bottom"/>
          </w:tcPr>
          <w:p>
            <w:pPr>
              <w:spacing w:after="0"/>
              <w:rPr>
                <w:sz w:val="16"/>
                <w:szCs w:val="16"/>
                <w:color w:val="auto"/>
              </w:rPr>
            </w:pPr>
          </w:p>
        </w:tc>
        <w:tc>
          <w:tcPr>
            <w:tcW w:w="68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amended, of the Institutional Trustee for Comcast Corporation</w:t>
            </w:r>
          </w:p>
        </w:tc>
      </w:tr>
    </w:tbl>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Trust III.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500" w:hanging="496"/>
        <w:spacing w:after="0"/>
        <w:tabs>
          <w:tab w:leader="none" w:pos="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with subsequent Current Report on Form 8-K.</w:t>
      </w:r>
    </w:p>
    <w:p>
      <w:pPr>
        <w:spacing w:after="0" w:line="393" w:lineRule="exact"/>
        <w:rPr>
          <w:sz w:val="20"/>
          <w:szCs w:val="20"/>
          <w:color w:val="auto"/>
        </w:rPr>
      </w:pPr>
    </w:p>
    <w:p>
      <w:pPr>
        <w:ind w:right="6279" w:firstLine="4"/>
        <w:spacing w:after="0" w:line="481" w:lineRule="auto"/>
        <w:tabs>
          <w:tab w:leader="none" w:pos="50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Originally filed on June 23, 1999. Item 17. Undertakings.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9" w:lineRule="exact"/>
        <w:rPr>
          <w:sz w:val="20"/>
          <w:szCs w:val="20"/>
          <w:color w:val="auto"/>
        </w:rPr>
      </w:pPr>
    </w:p>
    <w:p>
      <w:pPr>
        <w:ind w:right="2639" w:firstLine="711"/>
        <w:spacing w:after="0" w:line="239" w:lineRule="auto"/>
        <w:tabs>
          <w:tab w:leader="none" w:pos="1011"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left="1020" w:right="2839" w:firstLine="1410"/>
        <w:spacing w:after="0" w:line="269" w:lineRule="auto"/>
        <w:tabs>
          <w:tab w:leader="none" w:pos="284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(the "Securities Act");</w:t>
      </w:r>
    </w:p>
    <w:p>
      <w:pPr>
        <w:spacing w:after="0" w:line="177" w:lineRule="exact"/>
        <w:rPr>
          <w:rFonts w:ascii="Courier New" w:cs="Courier New" w:eastAsia="Courier New" w:hAnsi="Courier New"/>
          <w:sz w:val="16"/>
          <w:szCs w:val="16"/>
          <w:color w:val="auto"/>
        </w:rPr>
      </w:pPr>
    </w:p>
    <w:p>
      <w:pPr>
        <w:ind w:left="1020" w:right="2439" w:firstLine="1309"/>
        <w:spacing w:after="0" w:line="241" w:lineRule="auto"/>
        <w:tabs>
          <w:tab w:leader="none" w:pos="28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020" w:right="2319" w:firstLine="1208"/>
        <w:spacing w:after="0" w:line="241" w:lineRule="auto"/>
        <w:tabs>
          <w:tab w:leader="none" w:pos="28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9" w:lineRule="exact"/>
        <w:rPr>
          <w:sz w:val="20"/>
          <w:szCs w:val="20"/>
          <w:color w:val="auto"/>
        </w:rPr>
      </w:pPr>
    </w:p>
    <w:p>
      <w:pPr>
        <w:ind w:left="500" w:right="2439"/>
        <w:spacing w:after="0" w:line="241" w:lineRule="auto"/>
        <w:rPr>
          <w:sz w:val="20"/>
          <w:szCs w:val="20"/>
          <w:color w:val="auto"/>
        </w:rPr>
      </w:pPr>
      <w:r>
        <w:rPr>
          <w:rFonts w:ascii="Courier New" w:cs="Courier New" w:eastAsia="Courier New" w:hAnsi="Courier New"/>
          <w:sz w:val="17"/>
          <w:szCs w:val="17"/>
          <w:color w:val="auto"/>
        </w:rPr>
        <w:t>provided, however, that subparagraphs (a)(i) and (a)(ii)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201" w:lineRule="exact"/>
        <w:rPr>
          <w:sz w:val="20"/>
          <w:szCs w:val="20"/>
          <w:color w:val="auto"/>
        </w:rPr>
      </w:pPr>
    </w:p>
    <w:p>
      <w:pPr>
        <w:ind w:left="500" w:right="2439" w:firstLine="515"/>
        <w:spacing w:after="0" w:line="241" w:lineRule="auto"/>
        <w:tabs>
          <w:tab w:leader="none" w:pos="14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500" w:right="2119" w:firstLine="515"/>
        <w:spacing w:after="0"/>
        <w:tabs>
          <w:tab w:leader="none" w:pos="14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rFonts w:ascii="Courier New" w:cs="Courier New" w:eastAsia="Courier New" w:hAnsi="Courier New"/>
          <w:sz w:val="17"/>
          <w:szCs w:val="17"/>
          <w:color w:val="auto"/>
        </w:rPr>
      </w:pPr>
    </w:p>
    <w:p>
      <w:pPr>
        <w:ind w:right="2439" w:firstLine="711"/>
        <w:spacing w:after="0" w:line="241" w:lineRule="auto"/>
        <w:tabs>
          <w:tab w:leader="none" w:pos="1011"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1280" w:right="1440" w:bottom="1440" w:gutter="0" w:footer="0" w:header="0"/>
        </w:sectPr>
      </w:pPr>
    </w:p>
    <w:bookmarkStart w:id="63" w:name="page64"/>
    <w:bookmarkEnd w:id="63"/>
    <w:p>
      <w:pPr>
        <w:ind w:right="2539"/>
        <w:spacing w:after="0"/>
        <w:rPr>
          <w:sz w:val="20"/>
          <w:szCs w:val="20"/>
          <w:color w:val="auto"/>
        </w:rPr>
      </w:pPr>
      <w:r>
        <w:rPr>
          <w:rFonts w:ascii="Courier New" w:cs="Courier New" w:eastAsia="Courier New" w:hAnsi="Courier New"/>
          <w:sz w:val="17"/>
          <w:szCs w:val="17"/>
          <w:color w:val="auto"/>
        </w:rPr>
        <w:t>relating to the securities offered therein, and the offering of such securities at that time shall be deemed to be the initial bona fide offering thereof.</w:t>
      </w:r>
    </w:p>
    <w:p>
      <w:pPr>
        <w:spacing w:after="0" w:line="200" w:lineRule="exact"/>
        <w:rPr>
          <w:sz w:val="20"/>
          <w:szCs w:val="20"/>
          <w:color w:val="auto"/>
        </w:rPr>
      </w:pPr>
    </w:p>
    <w:p>
      <w:pPr>
        <w:ind w:right="2319" w:firstLine="711"/>
        <w:spacing w:after="0" w:line="242" w:lineRule="auto"/>
        <w:tabs>
          <w:tab w:leader="none" w:pos="1011"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to be registered are to be offered at competitive bidding, the undersigned registrant hereby undertakes (1) to use its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thin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198" w:lineRule="exact"/>
        <w:rPr>
          <w:rFonts w:ascii="Courier New" w:cs="Courier New" w:eastAsia="Courier New" w:hAnsi="Courier New"/>
          <w:sz w:val="17"/>
          <w:szCs w:val="17"/>
          <w:color w:val="auto"/>
        </w:rPr>
      </w:pPr>
    </w:p>
    <w:p>
      <w:pPr>
        <w:ind w:right="2319" w:firstLine="711"/>
        <w:spacing w:after="0" w:line="258" w:lineRule="auto"/>
        <w:tabs>
          <w:tab w:leader="none" w:pos="101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1088" w:right="1440" w:bottom="1440" w:gutter="0" w:footer="0" w:header="0"/>
        </w:sectPr>
      </w:pPr>
    </w:p>
    <w:bookmarkStart w:id="64" w:name="page65"/>
    <w:bookmarkEnd w:id="64"/>
    <w:p>
      <w:pPr>
        <w:ind w:left="2320"/>
        <w:spacing w:after="0"/>
        <w:rPr>
          <w:sz w:val="20"/>
          <w:szCs w:val="20"/>
          <w:color w:val="auto"/>
        </w:rPr>
      </w:pPr>
      <w:r>
        <w:rPr>
          <w:rFonts w:ascii="Courier New" w:cs="Courier New" w:eastAsia="Courier New" w:hAnsi="Courier New"/>
          <w:sz w:val="17"/>
          <w:szCs w:val="17"/>
          <w:color w:val="auto"/>
        </w:rPr>
        <w:t>SIGNATURES AND POWER OF ATTORNEY</w:t>
      </w:r>
    </w:p>
    <w:p>
      <w:pPr>
        <w:spacing w:after="0" w:line="39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Comcast Corporation certifies that it has reasonable grounds to believe that it meets all of the requirements for filing on Form S-3 and has duly caused this Amendment No. 1 to be signed on its behalf by the undersigned, thereunto duly authorized in Philadelphia, Pennsylvania, on August 6, 1999.</w:t>
      </w:r>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COMCAST CORPORATION</w:t>
      </w:r>
    </w:p>
    <w:p>
      <w:pPr>
        <w:spacing w:after="0" w:line="391" w:lineRule="exact"/>
        <w:rPr>
          <w:sz w:val="20"/>
          <w:szCs w:val="20"/>
          <w:color w:val="auto"/>
        </w:rPr>
      </w:pPr>
    </w:p>
    <w:p>
      <w:pPr>
        <w:jc w:val="center"/>
        <w:spacing w:after="0"/>
        <w:tabs>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John R. Alchin</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John R. Alchin, Senior Vice President</w:t>
      </w:r>
    </w:p>
    <w:p>
      <w:pPr>
        <w:spacing w:after="0" w:line="11"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and Treasurer</w:t>
      </w:r>
    </w:p>
    <w:p>
      <w:pPr>
        <w:spacing w:after="0" w:line="393"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19"/>
          </w:cols>
          <w:pgMar w:left="240" w:top="1086"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3">
            <w:col w:w="3740" w:space="720"/>
            <w:col w:w="1900" w:space="720"/>
            <w:col w:w="3139"/>
          </w:cols>
          <w:pgMar w:left="240" w:top="1086"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J. Roberts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firstLine="202"/>
        <w:spacing w:after="0" w:line="239" w:lineRule="auto"/>
        <w:rPr>
          <w:sz w:val="20"/>
          <w:szCs w:val="20"/>
          <w:color w:val="auto"/>
        </w:rPr>
      </w:pPr>
      <w:r>
        <w:rPr>
          <w:rFonts w:ascii="Courier New" w:cs="Courier New" w:eastAsia="Courier New" w:hAnsi="Courier New"/>
          <w:sz w:val="17"/>
          <w:szCs w:val="17"/>
          <w:color w:val="auto"/>
        </w:rPr>
        <w:t>Chairman of the Board of Directors and Director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5" w:lineRule="exact"/>
        <w:rPr>
          <w:sz w:val="20"/>
          <w:szCs w:val="20"/>
          <w:color w:val="auto"/>
        </w:rPr>
      </w:pPr>
    </w:p>
    <w:p>
      <w:pPr>
        <w:sectPr>
          <w:pgSz w:w="11900" w:h="16838" w:orient="portrait"/>
          <w:cols w:equalWidth="0" w:num="3">
            <w:col w:w="2840" w:space="0"/>
            <w:col w:w="3640" w:space="100"/>
            <w:col w:w="3639"/>
          </w:cols>
          <w:pgMar w:left="240" w:top="1086"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Julian A. Brodsky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and Director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9" w:lineRule="exact"/>
        <w:rPr>
          <w:sz w:val="20"/>
          <w:szCs w:val="20"/>
          <w:color w:val="auto"/>
        </w:rPr>
      </w:pPr>
    </w:p>
    <w:p>
      <w:pPr>
        <w:sectPr>
          <w:pgSz w:w="11900" w:h="16838" w:orient="portrait"/>
          <w:cols w:equalWidth="0" w:num="3">
            <w:col w:w="2840" w:space="0"/>
            <w:col w:w="3020" w:space="720"/>
            <w:col w:w="3639"/>
          </w:cols>
          <w:pgMar w:left="240" w:top="1086" w:right="1440" w:bottom="1440" w:gutter="0" w:footer="0" w:header="0"/>
          <w:type w:val="continuous"/>
        </w:sectPr>
      </w:pPr>
    </w:p>
    <w:p>
      <w:pPr>
        <w:spacing w:after="0" w:line="19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Brian L. Roberts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President (Principal Executive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5" w:lineRule="exact"/>
        <w:rPr>
          <w:sz w:val="20"/>
          <w:szCs w:val="20"/>
          <w:color w:val="auto"/>
        </w:rPr>
      </w:pPr>
    </w:p>
    <w:p>
      <w:pPr>
        <w:sectPr>
          <w:pgSz w:w="11900" w:h="16838" w:orient="portrait"/>
          <w:cols w:equalWidth="0" w:num="3">
            <w:col w:w="2840" w:space="0"/>
            <w:col w:w="3240" w:space="500"/>
            <w:col w:w="3639"/>
          </w:cols>
          <w:pgMar w:left="240" w:top="1086"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S. Smith</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5" w:lineRule="exact"/>
        <w:rPr>
          <w:sz w:val="20"/>
          <w:szCs w:val="20"/>
          <w:color w:val="auto"/>
        </w:rPr>
      </w:pPr>
    </w:p>
    <w:p>
      <w:pPr>
        <w:sectPr>
          <w:pgSz w:w="11900" w:h="16838" w:orient="portrait"/>
          <w:cols w:equalWidth="0" w:num="3">
            <w:col w:w="2840" w:space="0"/>
            <w:col w:w="3020" w:space="720"/>
            <w:col w:w="3639"/>
          </w:cols>
          <w:pgMar w:left="240" w:top="108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John R. Alchin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R. Alchin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Vice President and Treasurer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Officer)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8" w:lineRule="exact"/>
        <w:rPr>
          <w:sz w:val="20"/>
          <w:szCs w:val="20"/>
          <w:color w:val="auto"/>
        </w:rPr>
      </w:pPr>
    </w:p>
    <w:p>
      <w:pPr>
        <w:sectPr>
          <w:pgSz w:w="11900" w:h="16838" w:orient="portrait"/>
          <w:cols w:equalWidth="0" w:num="3">
            <w:col w:w="2840" w:space="0"/>
            <w:col w:w="3740" w:space="0"/>
            <w:col w:w="3639"/>
          </w:cols>
          <w:pgMar w:left="240" w:top="1086"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August 6, 1999</w:t>
      </w:r>
    </w:p>
    <w:p>
      <w:pPr>
        <w:spacing w:after="0" w:line="11" w:lineRule="exact"/>
        <w:rPr>
          <w:sz w:val="20"/>
          <w:szCs w:val="20"/>
          <w:color w:val="auto"/>
        </w:rPr>
      </w:pPr>
    </w:p>
    <w:p>
      <w:pPr>
        <w:sectPr>
          <w:pgSz w:w="11900" w:h="16838" w:orient="portrait"/>
          <w:cols w:equalWidth="0" w:num="3">
            <w:col w:w="2840" w:space="200"/>
            <w:col w:w="3020" w:space="720"/>
            <w:col w:w="3439"/>
          </w:cols>
          <w:pgMar w:left="240" w:top="108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Gustave G. Amsterdam</w:t>
      </w:r>
    </w:p>
    <w:p>
      <w:pPr>
        <w:spacing w:after="0" w:line="3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1086" w:right="1440" w:bottom="1440" w:gutter="0" w:footer="0" w:header="0"/>
          <w:type w:val="continuous"/>
        </w:sectPr>
      </w:pPr>
    </w:p>
    <w:bookmarkStart w:id="65" w:name="page66"/>
    <w:bookmarkEnd w:id="65"/>
    <w:p>
      <w:pPr>
        <w:ind w:left="1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282" w:right="1440" w:bottom="1440" w:gutter="0" w:footer="0" w:header="0"/>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Sheldon M. Bonovitz</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L. Castle II</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Bernard C. Watson</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Irving A. Wechsler</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August 6, 1999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1999</w:t>
      </w:r>
    </w:p>
    <w:p>
      <w:pPr>
        <w:spacing w:after="0" w:line="11" w:lineRule="exact"/>
        <w:rPr>
          <w:sz w:val="20"/>
          <w:szCs w:val="20"/>
          <w:color w:val="auto"/>
        </w:rPr>
      </w:pPr>
    </w:p>
    <w:p>
      <w:pPr>
        <w:sectPr>
          <w:pgSz w:w="11900" w:h="16838" w:orient="portrait"/>
          <w:cols w:equalWidth="0" w:num="3">
            <w:col w:w="2840" w:space="200"/>
            <w:col w:w="3020" w:space="720"/>
            <w:col w:w="3439"/>
          </w:cols>
          <w:pgMar w:left="240" w:top="128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Anne Wexler</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John R. Alchin</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John R. Alchin</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1282" w:right="1440" w:bottom="1440" w:gutter="0" w:footer="0" w:header="0"/>
          <w:type w:val="continuous"/>
        </w:sectPr>
      </w:pPr>
    </w:p>
    <w:bookmarkStart w:id="66" w:name="page67"/>
    <w:bookmarkEnd w:id="66"/>
    <w:p>
      <w:pPr>
        <w:jc w:val="center"/>
        <w:ind w:right="2319"/>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Comcast Corporation Trust I, Comcast Corporation Trust II and Comcast Corporation III certify that they have reasonable grounds to believe that they meet all of the requirements for filing on Form S-3 and that they have duly caused this Registration Statement or amendment thereto to be signed on their behalf by the undersigned, thereunto duly authorized, in the City of Newark, State of Delaware, and the City of Philadelphia and State of Pennsylvania on August 6, 1999.</w:t>
      </w:r>
    </w:p>
    <w:p>
      <w:pPr>
        <w:spacing w:after="0" w:line="201"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COMCAST CORPORATION TRUST I</w:t>
      </w:r>
    </w:p>
    <w:p>
      <w:pPr>
        <w:spacing w:after="0" w:line="391" w:lineRule="exact"/>
        <w:rPr>
          <w:sz w:val="20"/>
          <w:szCs w:val="20"/>
          <w:color w:val="auto"/>
        </w:rPr>
      </w:pPr>
    </w:p>
    <w:tbl>
      <w:tblPr>
        <w:tblLayout w:type="fixed"/>
        <w:tblInd w:w="4460" w:type="dxa"/>
        <w:tblCellMar>
          <w:top w:w="0" w:type="dxa"/>
          <w:left w:w="0" w:type="dxa"/>
          <w:bottom w:w="0" w:type="dxa"/>
          <w:right w:w="0" w:type="dxa"/>
        </w:tblCellMar>
      </w:tblPr>
      <w:tr>
        <w:trPr>
          <w:trHeight w:val="193"/>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Donald J. Puglisi</w:t>
            </w:r>
          </w:p>
        </w:tc>
      </w:tr>
      <w:tr>
        <w:trPr>
          <w:trHeight w:val="194"/>
        </w:trPr>
        <w:tc>
          <w:tcPr>
            <w:tcW w:w="3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Donald J. Puglisi</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r>
      <w:tr>
        <w:trPr>
          <w:trHeight w:val="583"/>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William E. Dordelman</w:t>
            </w:r>
          </w:p>
        </w:tc>
      </w:tr>
      <w:tr>
        <w:trPr>
          <w:trHeight w:val="194"/>
        </w:trPr>
        <w:tc>
          <w:tcPr>
            <w:tcW w:w="3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William E. Dordelman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r>
    </w:tbl>
    <w:p>
      <w:pPr>
        <w:spacing w:after="0" w:line="200" w:lineRule="exact"/>
        <w:rPr>
          <w:sz w:val="20"/>
          <w:szCs w:val="20"/>
          <w:color w:val="auto"/>
        </w:rPr>
      </w:pPr>
    </w:p>
    <w:p>
      <w:pPr>
        <w:spacing w:after="0" w:line="385"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COMCAST CORPORATION TRUST II</w:t>
      </w:r>
    </w:p>
    <w:p>
      <w:pPr>
        <w:spacing w:after="0" w:line="391" w:lineRule="exact"/>
        <w:rPr>
          <w:sz w:val="20"/>
          <w:szCs w:val="20"/>
          <w:color w:val="auto"/>
        </w:rPr>
      </w:pPr>
    </w:p>
    <w:tbl>
      <w:tblPr>
        <w:tblLayout w:type="fixed"/>
        <w:tblInd w:w="4460" w:type="dxa"/>
        <w:tblCellMar>
          <w:top w:w="0" w:type="dxa"/>
          <w:left w:w="0" w:type="dxa"/>
          <w:bottom w:w="0" w:type="dxa"/>
          <w:right w:w="0" w:type="dxa"/>
        </w:tblCellMar>
      </w:tblPr>
      <w:tr>
        <w:trPr>
          <w:trHeight w:val="193"/>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Donald J. Puglisi</w:t>
            </w:r>
          </w:p>
        </w:tc>
      </w:tr>
      <w:tr>
        <w:trPr>
          <w:trHeight w:val="194"/>
        </w:trPr>
        <w:tc>
          <w:tcPr>
            <w:tcW w:w="3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Donald J. Puglisi</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r>
      <w:tr>
        <w:trPr>
          <w:trHeight w:val="583"/>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William E. Dordelman</w:t>
            </w:r>
          </w:p>
        </w:tc>
      </w:tr>
      <w:tr>
        <w:trPr>
          <w:trHeight w:val="194"/>
        </w:trPr>
        <w:tc>
          <w:tcPr>
            <w:tcW w:w="3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William E. Dordelman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258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r>
    </w:tbl>
    <w:p>
      <w:pPr>
        <w:spacing w:after="0" w:line="200" w:lineRule="exact"/>
        <w:rPr>
          <w:sz w:val="20"/>
          <w:szCs w:val="20"/>
          <w:color w:val="auto"/>
        </w:rPr>
      </w:pPr>
    </w:p>
    <w:p>
      <w:pPr>
        <w:spacing w:after="0" w:line="385"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COMCAST CORPORATION TRUST III</w:t>
      </w:r>
    </w:p>
    <w:p>
      <w:pPr>
        <w:spacing w:after="0" w:line="391" w:lineRule="exact"/>
        <w:rPr>
          <w:sz w:val="20"/>
          <w:szCs w:val="20"/>
          <w:color w:val="auto"/>
        </w:rPr>
      </w:pPr>
    </w:p>
    <w:p>
      <w:pPr>
        <w:ind w:left="4460"/>
        <w:spacing w:after="0"/>
        <w:tabs>
          <w:tab w:leader="none" w:pos="49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Donald J. Puglisi</w:t>
      </w:r>
    </w:p>
    <w:p>
      <w:pPr>
        <w:spacing w:after="0" w:line="4"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760"/>
        <w:spacing w:after="0"/>
        <w:tabs>
          <w:tab w:leader="none" w:pos="54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Donald J. Puglisi</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Title: Trustee</w:t>
      </w:r>
    </w:p>
    <w:p>
      <w:pPr>
        <w:spacing w:after="0" w:line="391"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By: /s/ William E. Dordelman</w:t>
      </w:r>
    </w:p>
    <w:p>
      <w:pPr>
        <w:spacing w:after="0" w:line="4"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760"/>
        <w:spacing w:after="0"/>
        <w:tabs>
          <w:tab w:leader="none" w:pos="54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William E. Dordelman</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Title: Trustee</w:t>
      </w:r>
    </w:p>
    <w:p>
      <w:pPr>
        <w:spacing w:after="0" w:line="200" w:lineRule="exact"/>
        <w:rPr>
          <w:sz w:val="20"/>
          <w:szCs w:val="20"/>
          <w:color w:val="auto"/>
        </w:rPr>
      </w:pPr>
    </w:p>
    <w:p>
      <w:pPr>
        <w:spacing w:after="0" w:line="38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1086"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6840" w:type="dxa"/>
            <w:vAlign w:val="bottom"/>
          </w:tcPr>
          <w:p>
            <w:pPr>
              <w:ind w:left="2180"/>
              <w:spacing w:after="0"/>
              <w:rPr>
                <w:sz w:val="20"/>
                <w:szCs w:val="20"/>
                <w:color w:val="auto"/>
              </w:rPr>
            </w:pPr>
            <w:r>
              <w:rPr>
                <w:rFonts w:ascii="Courier New" w:cs="Courier New" w:eastAsia="Courier New" w:hAnsi="Courier New"/>
                <w:sz w:val="17"/>
                <w:szCs w:val="17"/>
                <w:color w:val="auto"/>
              </w:rPr>
              <w:t>EXHIBIT INDEX</w:t>
            </w: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840" w:type="dxa"/>
            <w:vAlign w:val="bottom"/>
          </w:tcPr>
          <w:p>
            <w:pPr>
              <w:spacing w:after="0"/>
              <w:rPr>
                <w:sz w:val="24"/>
                <w:szCs w:val="24"/>
                <w:color w:val="auto"/>
              </w:rPr>
            </w:pP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840" w:type="dxa"/>
            <w:vAlign w:val="bottom"/>
          </w:tcPr>
          <w:p>
            <w:pPr>
              <w:ind w:left="260"/>
              <w:spacing w:after="0"/>
              <w:rPr>
                <w:sz w:val="20"/>
                <w:szCs w:val="20"/>
                <w:color w:val="auto"/>
              </w:rPr>
            </w:pPr>
            <w:r>
              <w:rPr>
                <w:rFonts w:ascii="Courier New" w:cs="Courier New" w:eastAsia="Courier New" w:hAnsi="Courier New"/>
                <w:sz w:val="17"/>
                <w:szCs w:val="17"/>
                <w:color w:val="auto"/>
              </w:rPr>
              <w:t>Description</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8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1.1**</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Underwriting Agreement (Debt Securities, Warrants,</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Purchase Contracts and Units).</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1.2**</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Underwriting Agreement (Preferred Stock, Depositary</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Shares, Common Stock).</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1.3**</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Underwriting Agreement (Preferred Securities).</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3(ii)</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w w:val="98"/>
              </w:rPr>
              <w:t>Amended and Restated By-Laws (incorporated by reference to Exhibit</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3(ii) to our Annual Report on Form 10-K for the year ended</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December 31, 1993).</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Senior Indenture to be dated as of June 15, 1999 between the</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Company and Bank of Montreal Trust Company, as Trustee.</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4.2**</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w w:val="98"/>
              </w:rPr>
              <w:t>Subordinated Indenture to be dated as of June 15, 1999 between the</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Company and Bankers Trust Company, as Trustee.</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4.3**</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Trust of Comcast Corporation Trust 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4.4**</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Trust of Comcast Corporation Trust II.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4.5**</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Trust of Comcast Corporation Trust III.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4.6**</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Declaration of Trust of Comcast Corporation Trust 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4.7**</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Declaration of Trust of Comcast Corporation Trust II.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4.8**</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Declaration of Trust of Comcast Corporation Trust III.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4.9**</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Amended and Restated Declaration of Trust for each of</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Comcast Corporation Trust I, Comcast Corporation Trust II and</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Comcast Corporation Trust III.</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4.10**</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Senior Debt Security.</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4.11**</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Subordinated Debt Security.</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4.12</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Preferred Security (included in Exhibit 4.9).</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4.13**</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Preferred Securities Guarantee with respect to Preferred</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Securities.</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4.14*</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w w:val="98"/>
              </w:rPr>
              <w:t>Form of Purchase Contract Agreement relating to Purchase Contracts</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(to be included in Exhibit 4.15).</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4.15*</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Unit Agreement.</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4.16**</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Warrant Agreement for Warrants Sold Alone.</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4.17</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Warrant for Warrants Sold Alone (included in Exhibit</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4.16).</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4.18**</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Warrant Agreement for Warrants Sold Attached to</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Securities.</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4.19</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w w:val="98"/>
              </w:rPr>
              <w:t>Form of Warrant for Warrants Sold Attached to Securities (included</w:t>
            </w:r>
          </w:p>
        </w:tc>
      </w:tr>
      <w:tr>
        <w:trPr>
          <w:trHeight w:val="194"/>
        </w:trPr>
        <w:tc>
          <w:tcPr>
            <w:tcW w:w="1060" w:type="dxa"/>
            <w:vAlign w:val="bottom"/>
          </w:tcPr>
          <w:p>
            <w:pPr>
              <w:spacing w:after="0"/>
              <w:rPr>
                <w:sz w:val="16"/>
                <w:szCs w:val="16"/>
                <w:color w:val="auto"/>
              </w:rPr>
            </w:pP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in Exhibit 4.18).</w:t>
            </w:r>
          </w:p>
        </w:tc>
      </w:tr>
      <w:tr>
        <w:trPr>
          <w:trHeight w:val="389"/>
        </w:trPr>
        <w:tc>
          <w:tcPr>
            <w:tcW w:w="1060" w:type="dxa"/>
            <w:vAlign w:val="bottom"/>
          </w:tcPr>
          <w:p>
            <w:pPr>
              <w:ind w:left="300"/>
              <w:spacing w:after="0"/>
              <w:rPr>
                <w:sz w:val="20"/>
                <w:szCs w:val="20"/>
                <w:color w:val="auto"/>
              </w:rPr>
            </w:pPr>
            <w:r>
              <w:rPr>
                <w:rFonts w:ascii="Courier New" w:cs="Courier New" w:eastAsia="Courier New" w:hAnsi="Courier New"/>
                <w:sz w:val="17"/>
                <w:szCs w:val="17"/>
                <w:color w:val="auto"/>
              </w:rPr>
              <w:t>4.20**</w:t>
            </w:r>
          </w:p>
        </w:tc>
        <w:tc>
          <w:tcPr>
            <w:tcW w:w="6840" w:type="dxa"/>
            <w:vAlign w:val="bottom"/>
          </w:tcPr>
          <w:p>
            <w:pPr>
              <w:ind w:left="160"/>
              <w:spacing w:after="0"/>
              <w:rPr>
                <w:sz w:val="20"/>
                <w:szCs w:val="20"/>
                <w:color w:val="auto"/>
              </w:rPr>
            </w:pPr>
            <w:r>
              <w:rPr>
                <w:rFonts w:ascii="Courier New" w:cs="Courier New" w:eastAsia="Courier New" w:hAnsi="Courier New"/>
                <w:sz w:val="17"/>
                <w:szCs w:val="17"/>
                <w:color w:val="auto"/>
              </w:rPr>
              <w:t>Form of Pledge Agreement.</w:t>
            </w:r>
          </w:p>
        </w:tc>
      </w:tr>
    </w:tbl>
    <w:p>
      <w:pPr>
        <w:spacing w:after="0" w:line="39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II-9</w:t>
      </w:r>
    </w:p>
    <w:p>
      <w:pPr>
        <w:sectPr>
          <w:pgSz w:w="11900" w:h="16838" w:orient="portrait"/>
          <w:cols w:equalWidth="0" w:num="1">
            <w:col w:w="10119"/>
          </w:cols>
          <w:pgMar w:left="340" w:top="891" w:right="1440" w:bottom="1440" w:gutter="0" w:footer="0" w:header="0"/>
        </w:sectPr>
      </w:pPr>
    </w:p>
    <w:bookmarkStart w:id="68" w:name="page69"/>
    <w:bookmarkEnd w:id="68"/>
    <w:tbl>
      <w:tblPr>
        <w:tblLayout w:type="fixed"/>
        <w:tblInd w:w="300" w:type="dxa"/>
        <w:tblCellMar>
          <w:top w:w="0" w:type="dxa"/>
          <w:left w:w="0" w:type="dxa"/>
          <w:bottom w:w="0" w:type="dxa"/>
          <w:right w:w="0" w:type="dxa"/>
        </w:tblCellMar>
      </w:tblP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4.21**</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Form of</w:t>
            </w:r>
          </w:p>
        </w:tc>
        <w:tc>
          <w:tcPr>
            <w:tcW w:w="5920" w:type="dxa"/>
            <w:vAlign w:val="bottom"/>
          </w:tcPr>
          <w:p>
            <w:pPr>
              <w:ind w:left="40"/>
              <w:spacing w:after="0"/>
              <w:rPr>
                <w:sz w:val="20"/>
                <w:szCs w:val="20"/>
                <w:color w:val="auto"/>
              </w:rPr>
            </w:pPr>
            <w:r>
              <w:rPr>
                <w:rFonts w:ascii="Courier New" w:cs="Courier New" w:eastAsia="Courier New" w:hAnsi="Courier New"/>
                <w:sz w:val="17"/>
                <w:szCs w:val="17"/>
                <w:color w:val="auto"/>
              </w:rPr>
              <w:t>Deposit Agreement.</w:t>
            </w:r>
          </w:p>
        </w:tc>
      </w:tr>
      <w:tr>
        <w:trPr>
          <w:trHeight w:val="389"/>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4.22</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Form of</w:t>
            </w:r>
          </w:p>
        </w:tc>
        <w:tc>
          <w:tcPr>
            <w:tcW w:w="5920" w:type="dxa"/>
            <w:vAlign w:val="bottom"/>
          </w:tcPr>
          <w:p>
            <w:pPr>
              <w:ind w:left="40"/>
              <w:spacing w:after="0"/>
              <w:rPr>
                <w:sz w:val="20"/>
                <w:szCs w:val="20"/>
                <w:color w:val="auto"/>
              </w:rPr>
            </w:pPr>
            <w:r>
              <w:rPr>
                <w:rFonts w:ascii="Courier New" w:cs="Courier New" w:eastAsia="Courier New" w:hAnsi="Courier New"/>
                <w:sz w:val="17"/>
                <w:szCs w:val="17"/>
                <w:color w:val="auto"/>
              </w:rPr>
              <w:t>Depositary Share (included in Exhibit 4.21).</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5.1**</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Opinion</w:t>
            </w:r>
          </w:p>
        </w:tc>
        <w:tc>
          <w:tcPr>
            <w:tcW w:w="5920" w:type="dxa"/>
            <w:vAlign w:val="bottom"/>
          </w:tcPr>
          <w:p>
            <w:pPr>
              <w:ind w:left="40"/>
              <w:spacing w:after="0"/>
              <w:rPr>
                <w:sz w:val="20"/>
                <w:szCs w:val="20"/>
                <w:color w:val="auto"/>
              </w:rPr>
            </w:pPr>
            <w:r>
              <w:rPr>
                <w:rFonts w:ascii="Courier New" w:cs="Courier New" w:eastAsia="Courier New" w:hAnsi="Courier New"/>
                <w:sz w:val="17"/>
                <w:szCs w:val="17"/>
                <w:color w:val="auto"/>
              </w:rPr>
              <w:t>of Arthur R. Block, Esquire.</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5.2**</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Opinion</w:t>
            </w:r>
          </w:p>
        </w:tc>
        <w:tc>
          <w:tcPr>
            <w:tcW w:w="5920" w:type="dxa"/>
            <w:vAlign w:val="bottom"/>
          </w:tcPr>
          <w:p>
            <w:pPr>
              <w:ind w:left="40"/>
              <w:spacing w:after="0"/>
              <w:rPr>
                <w:sz w:val="20"/>
                <w:szCs w:val="20"/>
                <w:color w:val="auto"/>
              </w:rPr>
            </w:pPr>
            <w:r>
              <w:rPr>
                <w:rFonts w:ascii="Courier New" w:cs="Courier New" w:eastAsia="Courier New" w:hAnsi="Courier New"/>
                <w:sz w:val="17"/>
                <w:szCs w:val="17"/>
                <w:color w:val="auto"/>
              </w:rPr>
              <w:t>of Davis Polk &amp; Wardwell.</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Opinion of Richards, Layton &amp; Finger.</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12.1**</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Statement re: Computation of Ratios of Earnings to Fixed Charges</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to Combined Fixed Charges and Preferred Dividends.</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23.1**</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23.2**</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KPMG LLP.</w:t>
            </w:r>
          </w:p>
        </w:tc>
      </w:tr>
      <w:tr>
        <w:trPr>
          <w:trHeight w:val="389"/>
        </w:trPr>
        <w:tc>
          <w:tcPr>
            <w:tcW w:w="86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7"/>
              </w:rPr>
              <w:t>23.3</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Arthur R. Block, Esquire (included in Exhibit 5.1).</w:t>
            </w:r>
          </w:p>
        </w:tc>
      </w:tr>
      <w:tr>
        <w:trPr>
          <w:trHeight w:val="389"/>
        </w:trPr>
        <w:tc>
          <w:tcPr>
            <w:tcW w:w="86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7"/>
              </w:rPr>
              <w:t>23.4</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Davis Polk &amp; Wardwell (included in Exhibit 5.2).</w:t>
            </w:r>
          </w:p>
        </w:tc>
      </w:tr>
      <w:tr>
        <w:trPr>
          <w:trHeight w:val="389"/>
        </w:trPr>
        <w:tc>
          <w:tcPr>
            <w:tcW w:w="86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7"/>
              </w:rPr>
              <w:t>23.5</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Richards, Layton &amp; Finger (included in Exhibit 5.3).</w:t>
            </w:r>
          </w:p>
        </w:tc>
      </w:tr>
      <w:tr>
        <w:trPr>
          <w:trHeight w:val="583"/>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24.1**</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Powers of Attorney.</w:t>
            </w:r>
          </w:p>
        </w:tc>
      </w:tr>
      <w:tr>
        <w:trPr>
          <w:trHeight w:val="583"/>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25.1**</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Statement of Eligibility under the Trust Indenture Act of 1939, as</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amended, of Bank of Montreal Trust Company, as Trustee under the</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Senior Indenture.</w:t>
            </w:r>
          </w:p>
        </w:tc>
      </w:tr>
      <w:tr>
        <w:trPr>
          <w:trHeight w:val="389"/>
        </w:trPr>
        <w:tc>
          <w:tcPr>
            <w:tcW w:w="8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25.2**</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Statement of Eligibility under the Trust Indenture Act of</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1939, as amended, of Bankers Trust Company, as Trustee under</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the Subordinated Indenture.</w:t>
            </w:r>
          </w:p>
        </w:tc>
      </w:tr>
      <w:tr>
        <w:trPr>
          <w:trHeight w:val="389"/>
        </w:trPr>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25.3*</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Statement of Eligibility under the Trust Indenture Act of</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1939, as amended, of the Institutional Trustee for Comcast</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Corporation Trust I.</w:t>
            </w:r>
          </w:p>
        </w:tc>
      </w:tr>
      <w:tr>
        <w:trPr>
          <w:trHeight w:val="389"/>
        </w:trPr>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25.4*</w:t>
            </w: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Statement of Eligibility under the Trust Indenture Act of</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1939, as amended, of the Institutional Trustee for Comcast</w:t>
            </w:r>
          </w:p>
        </w:tc>
      </w:tr>
      <w:tr>
        <w:trPr>
          <w:trHeight w:val="194"/>
        </w:trPr>
        <w:tc>
          <w:tcPr>
            <w:tcW w:w="860" w:type="dxa"/>
            <w:vAlign w:val="bottom"/>
          </w:tcPr>
          <w:p>
            <w:pPr>
              <w:spacing w:after="0"/>
              <w:rPr>
                <w:sz w:val="16"/>
                <w:szCs w:val="16"/>
                <w:color w:val="auto"/>
              </w:rPr>
            </w:pPr>
          </w:p>
        </w:tc>
        <w:tc>
          <w:tcPr>
            <w:tcW w:w="6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Corporation Trust II.</w:t>
            </w:r>
          </w:p>
        </w:tc>
      </w:tr>
    </w:tbl>
    <w:p>
      <w:pPr>
        <w:spacing w:after="0" w:line="199" w:lineRule="exact"/>
        <w:rPr>
          <w:sz w:val="20"/>
          <w:szCs w:val="20"/>
          <w:color w:val="auto"/>
        </w:rPr>
      </w:pPr>
    </w:p>
    <w:p>
      <w:pPr>
        <w:ind w:left="1320" w:right="3039" w:hanging="1010"/>
        <w:spacing w:after="0"/>
        <w:tabs>
          <w:tab w:leader="none" w:pos="1300" w:val="left"/>
        </w:tabs>
        <w:rPr>
          <w:sz w:val="20"/>
          <w:szCs w:val="20"/>
          <w:color w:val="auto"/>
        </w:rPr>
      </w:pPr>
      <w:r>
        <w:rPr>
          <w:rFonts w:ascii="Courier New" w:cs="Courier New" w:eastAsia="Courier New" w:hAnsi="Courier New"/>
          <w:sz w:val="17"/>
          <w:szCs w:val="17"/>
          <w:color w:val="auto"/>
        </w:rPr>
        <w:t>25.5*</w:t>
      </w:r>
      <w:r>
        <w:rPr>
          <w:sz w:val="20"/>
          <w:szCs w:val="20"/>
          <w:color w:val="auto"/>
        </w:rPr>
        <w:tab/>
      </w:r>
      <w:r>
        <w:rPr>
          <w:rFonts w:ascii="Courier New" w:cs="Courier New" w:eastAsia="Courier New" w:hAnsi="Courier New"/>
          <w:sz w:val="17"/>
          <w:szCs w:val="17"/>
          <w:color w:val="auto"/>
        </w:rPr>
        <w:t>Statement of Eligibility under the Trust Indenture Act of 1939, as amended, of the Institutional Trustee for Comcast Corporation Trust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right="4139" w:firstLine="4"/>
        <w:spacing w:after="0" w:line="724" w:lineRule="auto"/>
        <w:tabs>
          <w:tab w:leader="none" w:pos="50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with subsequent Current Report on Form 8-K. ** Originally filed on June 23, 1999.</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II-10</w:t>
      </w:r>
    </w:p>
    <w:sectPr>
      <w:pgSz w:w="11900" w:h="16838" w:orient="portrait"/>
      <w:cols w:equalWidth="0" w:num="1">
        <w:col w:w="10219"/>
      </w:cols>
      <w:pgMar w:left="240" w:top="10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o"/>
      <w:numFmt w:val="bullet"/>
      <w:start w:val="1"/>
    </w:lvl>
  </w:abstractNum>
  <w:abstractNum w:abstractNumId="3">
    <w:nsid w:val="7C3DBD3D"/>
    <w:multiLevelType w:val="hybridMultilevel"/>
    <w:lvl w:ilvl="0">
      <w:lvlJc w:val="left"/>
      <w:lvlText w:val="o"/>
      <w:numFmt w:val="bullet"/>
      <w:start w:val="1"/>
    </w:lvl>
  </w:abstractNum>
  <w:abstractNum w:abstractNumId="4">
    <w:nsid w:val="737B8DDC"/>
    <w:multiLevelType w:val="hybridMultilevel"/>
    <w:lvl w:ilvl="0">
      <w:lvlJc w:val="left"/>
      <w:lvlText w:val="o"/>
      <w:numFmt w:val="bullet"/>
      <w:start w:val="1"/>
    </w:lvl>
  </w:abstractNum>
  <w:abstractNum w:abstractNumId="5">
    <w:nsid w:val="6CEAF087"/>
    <w:multiLevelType w:val="hybridMultilevel"/>
    <w:lvl w:ilvl="0">
      <w:lvlJc w:val="left"/>
      <w:lvlText w:val="o"/>
      <w:numFmt w:val="bullet"/>
      <w:start w:val="1"/>
    </w:lvl>
  </w:abstractNum>
  <w:abstractNum w:abstractNumId="6">
    <w:nsid w:val="22221A70"/>
    <w:multiLevelType w:val="hybridMultilevel"/>
    <w:lvl w:ilvl="0">
      <w:lvlJc w:val="left"/>
      <w:lvlText w:val="o"/>
      <w:numFmt w:val="bullet"/>
      <w:start w:val="1"/>
    </w:lvl>
  </w:abstractNum>
  <w:abstractNum w:abstractNumId="7">
    <w:nsid w:val="4516DDE9"/>
    <w:multiLevelType w:val="hybridMultilevel"/>
    <w:lvl w:ilvl="0">
      <w:lvlJc w:val="left"/>
      <w:lvlText w:val="o"/>
      <w:numFmt w:val="bullet"/>
      <w:start w:val="1"/>
    </w:lvl>
  </w:abstractNum>
  <w:abstractNum w:abstractNumId="8">
    <w:nsid w:val="3006C83E"/>
    <w:multiLevelType w:val="hybridMultilevel"/>
    <w:lvl w:ilvl="0">
      <w:lvlJc w:val="left"/>
      <w:lvlText w:val="o"/>
      <w:numFmt w:val="bullet"/>
      <w:start w:val="1"/>
    </w:lvl>
  </w:abstractNum>
  <w:abstractNum w:abstractNumId="9">
    <w:nsid w:val="614FD4A1"/>
    <w:multiLevelType w:val="hybridMultilevel"/>
    <w:lvl w:ilvl="0">
      <w:lvlJc w:val="left"/>
      <w:lvlText w:val="o"/>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o"/>
      <w:numFmt w:val="bullet"/>
      <w:start w:val="1"/>
    </w:lvl>
  </w:abstractNum>
  <w:abstractNum w:abstractNumId="12">
    <w:nsid w:val="440BADFC"/>
    <w:multiLevelType w:val="hybridMultilevel"/>
    <w:lvl w:ilvl="0">
      <w:lvlJc w:val="left"/>
      <w:lvlText w:val="o"/>
      <w:numFmt w:val="bullet"/>
      <w:start w:val="1"/>
    </w:lvl>
  </w:abstractNum>
  <w:abstractNum w:abstractNumId="13">
    <w:nsid w:val="5072367"/>
    <w:multiLevelType w:val="hybridMultilevel"/>
    <w:lvl w:ilvl="0">
      <w:lvlJc w:val="left"/>
      <w:lvlText w:val="o"/>
      <w:numFmt w:val="bullet"/>
      <w:start w:val="1"/>
    </w:lvl>
  </w:abstractNum>
  <w:abstractNum w:abstractNumId="14">
    <w:nsid w:val="3804823E"/>
    <w:multiLevelType w:val="hybridMultilevel"/>
    <w:lvl w:ilvl="0">
      <w:lvlJc w:val="left"/>
      <w:lvlText w:val="o"/>
      <w:numFmt w:val="bullet"/>
      <w:start w:val="1"/>
    </w:lvl>
  </w:abstractNum>
  <w:abstractNum w:abstractNumId="15">
    <w:nsid w:val="77465F01"/>
    <w:multiLevelType w:val="hybridMultilevel"/>
    <w:lvl w:ilvl="0">
      <w:lvlJc w:val="left"/>
      <w:lvlText w:val="o"/>
      <w:numFmt w:val="bullet"/>
      <w:start w:val="1"/>
    </w:lvl>
  </w:abstractNum>
  <w:abstractNum w:abstractNumId="16">
    <w:nsid w:val="7724C67E"/>
    <w:multiLevelType w:val="hybridMultilevel"/>
    <w:lvl w:ilvl="0">
      <w:lvlJc w:val="left"/>
      <w:lvlText w:val="o"/>
      <w:numFmt w:val="bullet"/>
      <w:start w:val="1"/>
    </w:lvl>
  </w:abstractNum>
  <w:abstractNum w:abstractNumId="17">
    <w:nsid w:val="5C482A97"/>
    <w:multiLevelType w:val="hybridMultilevel"/>
    <w:lvl w:ilvl="0">
      <w:lvlJc w:val="left"/>
      <w:lvlText w:val="o"/>
      <w:numFmt w:val="bullet"/>
      <w:start w:val="1"/>
    </w:lvl>
  </w:abstractNum>
  <w:abstractNum w:abstractNumId="18">
    <w:nsid w:val="2463B9EA"/>
    <w:multiLevelType w:val="hybridMultilevel"/>
    <w:lvl w:ilvl="0">
      <w:lvlJc w:val="left"/>
      <w:lvlText w:val="o"/>
      <w:numFmt w:val="bullet"/>
      <w:start w:val="1"/>
    </w:lvl>
  </w:abstractNum>
  <w:abstractNum w:abstractNumId="19">
    <w:nsid w:val="5E884ADC"/>
    <w:multiLevelType w:val="hybridMultilevel"/>
    <w:lvl w:ilvl="0">
      <w:lvlJc w:val="left"/>
      <w:lvlText w:val="o"/>
      <w:numFmt w:val="bullet"/>
      <w:start w:val="1"/>
    </w:lvl>
  </w:abstractNum>
  <w:abstractNum w:abstractNumId="20">
    <w:nsid w:val="51EAD36B"/>
    <w:multiLevelType w:val="hybridMultilevel"/>
    <w:lvl w:ilvl="0">
      <w:lvlJc w:val="left"/>
      <w:lvlText w:val="o"/>
      <w:numFmt w:val="bullet"/>
      <w:start w:val="1"/>
    </w:lvl>
  </w:abstractNum>
  <w:abstractNum w:abstractNumId="21">
    <w:nsid w:val="2D517796"/>
    <w:multiLevelType w:val="hybridMultilevel"/>
    <w:lvl w:ilvl="0">
      <w:lvlJc w:val="left"/>
      <w:lvlText w:val="o"/>
      <w:numFmt w:val="bullet"/>
      <w:start w:val="1"/>
    </w:lvl>
  </w:abstractNum>
  <w:abstractNum w:abstractNumId="22">
    <w:nsid w:val="580BD78F"/>
    <w:multiLevelType w:val="hybridMultilevel"/>
    <w:lvl w:ilvl="0">
      <w:lvlJc w:val="left"/>
      <w:lvlText w:val="o"/>
      <w:numFmt w:val="bullet"/>
      <w:start w:val="1"/>
    </w:lvl>
  </w:abstractNum>
  <w:abstractNum w:abstractNumId="23">
    <w:nsid w:val="153EA438"/>
    <w:multiLevelType w:val="hybridMultilevel"/>
    <w:lvl w:ilvl="0">
      <w:lvlJc w:val="left"/>
      <w:lvlText w:val="o"/>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o"/>
      <w:numFmt w:val="bullet"/>
      <w:start w:val="1"/>
    </w:lvl>
  </w:abstractNum>
  <w:abstractNum w:abstractNumId="27">
    <w:nsid w:val="2A487CB0"/>
    <w:multiLevelType w:val="hybridMultilevel"/>
    <w:lvl w:ilvl="0">
      <w:lvlJc w:val="left"/>
      <w:lvlText w:val="o"/>
      <w:numFmt w:val="bullet"/>
      <w:start w:val="1"/>
    </w:lvl>
  </w:abstractNum>
  <w:abstractNum w:abstractNumId="28">
    <w:nsid w:val="1D4ED43B"/>
    <w:multiLevelType w:val="hybridMultilevel"/>
    <w:lvl w:ilvl="0">
      <w:lvlJc w:val="left"/>
      <w:lvlText w:val="o"/>
      <w:numFmt w:val="bullet"/>
      <w:start w:val="1"/>
    </w:lvl>
  </w:abstractNum>
  <w:abstractNum w:abstractNumId="29">
    <w:nsid w:val="725A06FB"/>
    <w:multiLevelType w:val="hybridMultilevel"/>
    <w:lvl w:ilvl="0">
      <w:lvlJc w:val="left"/>
      <w:lvlText w:val="o"/>
      <w:numFmt w:val="bullet"/>
      <w:start w:val="1"/>
    </w:lvl>
  </w:abstractNum>
  <w:abstractNum w:abstractNumId="30">
    <w:nsid w:val="2CD89A32"/>
    <w:multiLevelType w:val="hybridMultilevel"/>
    <w:lvl w:ilvl="0">
      <w:lvlJc w:val="left"/>
      <w:lvlText w:val="o"/>
      <w:numFmt w:val="bullet"/>
      <w:start w:val="1"/>
    </w:lvl>
  </w:abstractNum>
  <w:abstractNum w:abstractNumId="31">
    <w:nsid w:val="57E4CCAF"/>
    <w:multiLevelType w:val="hybridMultilevel"/>
    <w:lvl w:ilvl="0">
      <w:lvlJc w:val="left"/>
      <w:lvlText w:val="o"/>
      <w:numFmt w:val="bullet"/>
      <w:start w:val="1"/>
    </w:lvl>
  </w:abstractNum>
  <w:abstractNum w:abstractNumId="32">
    <w:nsid w:val="7A6D8D3C"/>
    <w:multiLevelType w:val="hybridMultilevel"/>
    <w:lvl w:ilvl="0">
      <w:lvlJc w:val="left"/>
      <w:lvlText w:val="o"/>
      <w:numFmt w:val="bullet"/>
      <w:start w:val="1"/>
    </w:lvl>
  </w:abstractNum>
  <w:abstractNum w:abstractNumId="33">
    <w:nsid w:val="4B588F54"/>
    <w:multiLevelType w:val="hybridMultilevel"/>
    <w:lvl w:ilvl="0">
      <w:lvlJc w:val="left"/>
      <w:lvlText w:val="o"/>
      <w:numFmt w:val="bullet"/>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o"/>
      <w:numFmt w:val="bullet"/>
      <w:start w:val="1"/>
    </w:lvl>
  </w:abstractNum>
  <w:abstractNum w:abstractNumId="36">
    <w:nsid w:val="38437FDB"/>
    <w:multiLevelType w:val="hybridMultilevel"/>
    <w:lvl w:ilvl="0">
      <w:lvlJc w:val="left"/>
      <w:lvlText w:val="o"/>
      <w:numFmt w:val="bullet"/>
      <w:start w:val="1"/>
    </w:lvl>
  </w:abstractNum>
  <w:abstractNum w:abstractNumId="37">
    <w:nsid w:val="7644A45C"/>
    <w:multiLevelType w:val="hybridMultilevel"/>
    <w:lvl w:ilvl="0">
      <w:lvlJc w:val="left"/>
      <w:lvlText w:val="o"/>
      <w:numFmt w:val="bullet"/>
      <w:start w:val="1"/>
    </w:lvl>
  </w:abstractNum>
  <w:abstractNum w:abstractNumId="38">
    <w:nsid w:val="32FFF902"/>
    <w:multiLevelType w:val="hybridMultilevel"/>
    <w:lvl w:ilvl="0">
      <w:lvlJc w:val="left"/>
      <w:lvlText w:val="o"/>
      <w:numFmt w:val="bullet"/>
      <w:start w:val="1"/>
    </w:lvl>
  </w:abstractNum>
  <w:abstractNum w:abstractNumId="39">
    <w:nsid w:val="684A481A"/>
    <w:multiLevelType w:val="hybridMultilevel"/>
    <w:lvl w:ilvl="0">
      <w:lvlJc w:val="left"/>
      <w:lvlText w:val="o"/>
      <w:numFmt w:val="bullet"/>
      <w:start w:val="1"/>
    </w:lvl>
  </w:abstractNum>
  <w:abstractNum w:abstractNumId="40">
    <w:nsid w:val="579478FE"/>
    <w:multiLevelType w:val="hybridMultilevel"/>
    <w:lvl w:ilvl="0">
      <w:lvlJc w:val="left"/>
      <w:lvlText w:val="o"/>
      <w:numFmt w:val="bullet"/>
      <w:start w:val="1"/>
    </w:lvl>
  </w:abstractNum>
  <w:abstractNum w:abstractNumId="41">
    <w:nsid w:val="749ABB43"/>
    <w:multiLevelType w:val="hybridMultilevel"/>
    <w:lvl w:ilvl="0">
      <w:lvlJc w:val="left"/>
      <w:lvlText w:val="o"/>
      <w:numFmt w:val="bullet"/>
      <w:start w:val="1"/>
    </w:lvl>
  </w:abstractNum>
  <w:abstractNum w:abstractNumId="42">
    <w:nsid w:val="3DC240FB"/>
    <w:multiLevelType w:val="hybridMultilevel"/>
    <w:lvl w:ilvl="0">
      <w:lvlJc w:val="left"/>
      <w:lvlText w:val="o"/>
      <w:numFmt w:val="bullet"/>
      <w:start w:val="1"/>
    </w:lvl>
  </w:abstractNum>
  <w:abstractNum w:abstractNumId="43">
    <w:nsid w:val="1BA026FA"/>
    <w:multiLevelType w:val="hybridMultilevel"/>
    <w:lvl w:ilvl="0">
      <w:lvlJc w:val="left"/>
      <w:lvlText w:val="o"/>
      <w:numFmt w:val="bullet"/>
      <w:start w:val="1"/>
    </w:lvl>
  </w:abstractNum>
  <w:abstractNum w:abstractNumId="44">
    <w:nsid w:val="79A1DEAA"/>
    <w:multiLevelType w:val="hybridMultilevel"/>
    <w:lvl w:ilvl="0">
      <w:lvlJc w:val="left"/>
      <w:lvlText w:val="o"/>
      <w:numFmt w:val="bullet"/>
      <w:start w:val="1"/>
    </w:lvl>
  </w:abstractNum>
  <w:abstractNum w:abstractNumId="45">
    <w:nsid w:val="75C6C33A"/>
    <w:multiLevelType w:val="hybridMultilevel"/>
    <w:lvl w:ilvl="0">
      <w:lvlJc w:val="left"/>
      <w:lvlText w:val="o"/>
      <w:numFmt w:val="bullet"/>
      <w:start w:val="1"/>
    </w:lvl>
  </w:abstractNum>
  <w:abstractNum w:abstractNumId="46">
    <w:nsid w:val="12E685FB"/>
    <w:multiLevelType w:val="hybridMultilevel"/>
    <w:lvl w:ilvl="0">
      <w:lvlJc w:val="left"/>
      <w:lvlText w:val="o"/>
      <w:numFmt w:val="bullet"/>
      <w:start w:val="1"/>
    </w:lvl>
  </w:abstractNum>
  <w:abstractNum w:abstractNumId="47">
    <w:nsid w:val="70C6A529"/>
    <w:multiLevelType w:val="hybridMultilevel"/>
    <w:lvl w:ilvl="0">
      <w:lvlJc w:val="left"/>
      <w:lvlText w:val="o"/>
      <w:numFmt w:val="bullet"/>
      <w:start w:val="1"/>
    </w:lvl>
  </w:abstractNum>
  <w:abstractNum w:abstractNumId="48">
    <w:nsid w:val="520EEDD1"/>
    <w:multiLevelType w:val="hybridMultilevel"/>
    <w:lvl w:ilvl="0">
      <w:lvlJc w:val="left"/>
      <w:lvlText w:val="o"/>
      <w:numFmt w:val="bullet"/>
      <w:start w:val="1"/>
    </w:lvl>
  </w:abstractNum>
  <w:abstractNum w:abstractNumId="49">
    <w:nsid w:val="374A3FE6"/>
    <w:multiLevelType w:val="hybridMultilevel"/>
    <w:lvl w:ilvl="0">
      <w:lvlJc w:val="left"/>
      <w:lvlText w:val="o"/>
      <w:numFmt w:val="bullet"/>
      <w:start w:val="1"/>
    </w:lvl>
  </w:abstractNum>
  <w:abstractNum w:abstractNumId="50">
    <w:nsid w:val="4F4EF005"/>
    <w:multiLevelType w:val="hybridMultilevel"/>
    <w:lvl w:ilvl="0">
      <w:lvlJc w:val="left"/>
      <w:lvlText w:val="o"/>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lvl w:ilvl="1">
      <w:lvlJc w:val="left"/>
      <w:lvlText w:val="(%2)"/>
      <w:numFmt w:val="lowerRoman"/>
      <w:start w:val="1"/>
    </w:lvl>
  </w:abstractNum>
  <w:abstractNum w:abstractNumId="54">
    <w:nsid w:val="39386575"/>
    <w:multiLevelType w:val="hybridMultilevel"/>
    <w:lvl w:ilvl="0">
      <w:lvlJc w:val="left"/>
      <w:lvlText w:val="%1"/>
      <w:numFmt w:val="decimal"/>
      <w:start w:val="1"/>
    </w:lvl>
    <w:lvl w:ilvl="1">
      <w:lvlJc w:val="left"/>
      <w:lvlText w:val="(%2)"/>
      <w:numFmt w:val="lowerLetter"/>
      <w:start w:val="2"/>
    </w:lvl>
  </w:abstractNum>
  <w:abstractNum w:abstractNumId="55">
    <w:nsid w:val="1CF10FD8"/>
    <w:multiLevelType w:val="hybridMultilevel"/>
    <w:lvl w:ilvl="0">
      <w:lvlJc w:val="left"/>
      <w:lvlText w:val="%1."/>
      <w:numFmt w:val="decimal"/>
      <w:start w:val="2"/>
    </w:lvl>
    <w:lvl w:ilvl="1">
      <w:lvlJc w:val="left"/>
      <w:lvlText w:val="%2"/>
      <w:numFmt w:val="lowerLetter"/>
      <w:start w:val="1"/>
    </w:lvl>
  </w:abstractNum>
  <w:abstractNum w:abstractNumId="56">
    <w:nsid w:val="180115BE"/>
    <w:multiLevelType w:val="hybridMultilevel"/>
    <w:lvl w:ilvl="0">
      <w:lvlJc w:val="left"/>
      <w:lvlText w:val="%1."/>
      <w:numFmt w:val="decimal"/>
      <w:start w:val="3"/>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2020-02-22T14:25:35Z</dcterms:created>
  <dcterms:modified xsi:type="dcterms:W3CDTF">2020-02-22T14:25:35Z</dcterms:modified>
</cp:coreProperties>
</file>