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July 3, 2023</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180" w:space="720"/>
            <w:col w:w="3120"/>
          </w:cols>
          <w:pgMar w:left="440" w:top="229" w:right="4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144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0"/>
          </w:cols>
          <w:pgMar w:left="440" w:top="229" w:right="439" w:bottom="1440" w:gutter="0" w:footer="0" w:header="0"/>
          <w:type w:val="continuous"/>
        </w:sectPr>
      </w:pP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COMCAST CORPORATION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2002 EMPLOYEE STOCK PURCHASE PLAN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J. Reid,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Pursuant to General Instruction E of Form S-8, this Registration Statement on Form S-8 (the “Registration Statement”) is being filed in order to register an additional 100,000,000 shares of Class A Common Stock, par value $0.01 per share (“Common Stock”), of Comcast Corporation (the “Registrant”) issuable under the Amended and Restated Comcast Corporation 2002 Employee Stock Purchase Plan, which are securities of the same class and relate to the same employee benefit plan, as those shares of Common Stock registered on the Registrant’s registration statements on Form S-8 previously filed with the Securities and Exchange Commission on November 19, 2002 (Registration No. </w:t>
      </w:r>
      <w:hyperlink r:id="rId17">
        <w:r>
          <w:rPr>
            <w:rFonts w:ascii="Arial" w:cs="Arial" w:eastAsia="Arial" w:hAnsi="Arial"/>
            <w:sz w:val="16"/>
            <w:szCs w:val="16"/>
            <w:u w:val="single" w:color="auto"/>
            <w:color w:val="0000EE"/>
          </w:rPr>
          <w:t>333-101295</w:t>
        </w:r>
      </w:hyperlink>
      <w:r>
        <w:rPr>
          <w:rFonts w:ascii="Arial" w:cs="Arial" w:eastAsia="Arial" w:hAnsi="Arial"/>
          <w:sz w:val="16"/>
          <w:szCs w:val="16"/>
          <w:color w:val="auto"/>
        </w:rPr>
        <w:t xml:space="preserve">, as amended by post-effective amendment No. 1 filed on December 4, 2002), December 4, 2002 (Registration No. </w:t>
      </w:r>
      <w:hyperlink r:id="rId18">
        <w:r>
          <w:rPr>
            <w:rFonts w:ascii="Arial" w:cs="Arial" w:eastAsia="Arial" w:hAnsi="Arial"/>
            <w:sz w:val="16"/>
            <w:szCs w:val="16"/>
            <w:u w:val="single" w:color="auto"/>
            <w:color w:val="0000EE"/>
          </w:rPr>
          <w:t>333-101645</w:t>
        </w:r>
      </w:hyperlink>
      <w:r>
        <w:rPr>
          <w:rFonts w:ascii="Arial" w:cs="Arial" w:eastAsia="Arial" w:hAnsi="Arial"/>
          <w:sz w:val="16"/>
          <w:szCs w:val="16"/>
          <w:color w:val="auto"/>
        </w:rPr>
        <w:t>, as amended by post-effective amendment No. 2 filed on March 10,</w:t>
      </w:r>
    </w:p>
    <w:p>
      <w:pPr>
        <w:spacing w:after="0" w:line="4" w:lineRule="exact"/>
        <w:rPr>
          <w:sz w:val="20"/>
          <w:szCs w:val="20"/>
          <w:color w:val="auto"/>
        </w:rPr>
      </w:pPr>
    </w:p>
    <w:p>
      <w:pPr>
        <w:ind w:right="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2016), January 4, 2006 (Registration No. </w:t>
      </w:r>
      <w:hyperlink r:id="rId19">
        <w:r>
          <w:rPr>
            <w:rFonts w:ascii="Arial" w:cs="Arial" w:eastAsia="Arial" w:hAnsi="Arial"/>
            <w:sz w:val="18"/>
            <w:szCs w:val="18"/>
            <w:u w:val="single" w:color="auto"/>
            <w:color w:val="0000EE"/>
          </w:rPr>
          <w:t>333-130844</w:t>
        </w:r>
      </w:hyperlink>
      <w:r>
        <w:rPr>
          <w:rFonts w:ascii="Arial" w:cs="Arial" w:eastAsia="Arial" w:hAnsi="Arial"/>
          <w:sz w:val="18"/>
          <w:szCs w:val="18"/>
          <w:color w:val="auto"/>
        </w:rPr>
        <w:t xml:space="preserve">), August 21, 2009 (Registration No. </w:t>
      </w:r>
      <w:hyperlink r:id="rId20">
        <w:r>
          <w:rPr>
            <w:rFonts w:ascii="Arial" w:cs="Arial" w:eastAsia="Arial" w:hAnsi="Arial"/>
            <w:sz w:val="18"/>
            <w:szCs w:val="18"/>
            <w:u w:val="single" w:color="auto"/>
            <w:color w:val="0000EE"/>
          </w:rPr>
          <w:t>333-161468</w:t>
        </w:r>
      </w:hyperlink>
      <w:r>
        <w:rPr>
          <w:rFonts w:ascii="Arial" w:cs="Arial" w:eastAsia="Arial" w:hAnsi="Arial"/>
          <w:sz w:val="18"/>
          <w:szCs w:val="18"/>
          <w:color w:val="auto"/>
        </w:rPr>
        <w:t xml:space="preserve">), August 2, 2012 (Registration No. </w:t>
      </w:r>
      <w:hyperlink r:id="rId21">
        <w:r>
          <w:rPr>
            <w:rFonts w:ascii="Arial" w:cs="Arial" w:eastAsia="Arial" w:hAnsi="Arial"/>
            <w:sz w:val="18"/>
            <w:szCs w:val="18"/>
            <w:u w:val="single" w:color="auto"/>
            <w:color w:val="0000EE"/>
          </w:rPr>
          <w:t>333-183008</w:t>
        </w:r>
      </w:hyperlink>
      <w:r>
        <w:rPr>
          <w:rFonts w:ascii="Arial" w:cs="Arial" w:eastAsia="Arial" w:hAnsi="Arial"/>
          <w:sz w:val="18"/>
          <w:szCs w:val="18"/>
          <w:color w:val="auto"/>
        </w:rPr>
        <w:t xml:space="preserve">) and July 28, 2016 (Registration No. </w:t>
      </w:r>
      <w:hyperlink r:id="rId22">
        <w:r>
          <w:rPr>
            <w:rFonts w:ascii="Arial" w:cs="Arial" w:eastAsia="Arial" w:hAnsi="Arial"/>
            <w:sz w:val="18"/>
            <w:szCs w:val="18"/>
            <w:u w:val="single" w:color="auto"/>
            <w:color w:val="0000EE"/>
          </w:rPr>
          <w:t>333-212716</w:t>
        </w:r>
      </w:hyperlink>
      <w:r>
        <w:rPr>
          <w:rFonts w:ascii="Arial" w:cs="Arial" w:eastAsia="Arial" w:hAnsi="Arial"/>
          <w:sz w:val="18"/>
          <w:szCs w:val="18"/>
          <w:color w:val="auto"/>
        </w:rPr>
        <w:t>), all of which are hereby incorporated by reference.</w:t>
      </w:r>
    </w:p>
    <w:p>
      <w:pPr>
        <w:spacing w:after="0" w:line="39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ind w:right="480"/>
        <w:spacing w:after="0" w:line="34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24" w:lineRule="exact"/>
        <w:rPr>
          <w:rFonts w:ascii="Arial" w:cs="Arial" w:eastAsia="Arial" w:hAnsi="Arial"/>
          <w:sz w:val="18"/>
          <w:szCs w:val="18"/>
          <w:color w:val="auto"/>
        </w:rPr>
      </w:pPr>
    </w:p>
    <w:p>
      <w:pPr>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rFonts w:ascii="Arial" w:cs="Arial" w:eastAsia="Arial" w:hAnsi="Arial"/>
          <w:sz w:val="18"/>
          <w:szCs w:val="18"/>
          <w:color w:val="auto"/>
        </w:rPr>
      </w:pPr>
    </w:p>
    <w:p>
      <w:pPr>
        <w:ind w:right="160"/>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rFonts w:ascii="Arial" w:cs="Arial" w:eastAsia="Arial" w:hAnsi="Arial"/>
          <w:sz w:val="18"/>
          <w:szCs w:val="18"/>
          <w:color w:val="auto"/>
        </w:rPr>
      </w:pPr>
    </w:p>
    <w:p>
      <w:pPr>
        <w:ind w:right="20"/>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rFonts w:ascii="Arial" w:cs="Arial" w:eastAsia="Arial" w:hAnsi="Arial"/>
          <w:sz w:val="18"/>
          <w:szCs w:val="18"/>
          <w:color w:val="auto"/>
        </w:rPr>
      </w:pPr>
    </w:p>
    <w:p>
      <w:pPr>
        <w:ind w:right="8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rFonts w:ascii="Arial" w:cs="Arial" w:eastAsia="Arial" w:hAnsi="Arial"/>
          <w:sz w:val="18"/>
          <w:szCs w:val="18"/>
          <w:color w:val="auto"/>
        </w:rPr>
      </w:pPr>
    </w:p>
    <w:p>
      <w:pPr>
        <w:ind w:right="4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ectPr>
          <w:pgSz w:w="11900" w:h="16838" w:orient="portrait"/>
          <w:cols w:equalWidth="0" w:num="1">
            <w:col w:w="11020"/>
          </w:cols>
          <w:pgMar w:left="440" w:top="486" w:right="439" w:bottom="1440" w:gutter="0" w:footer="0" w:header="0"/>
        </w:sectPr>
      </w:pPr>
    </w:p>
    <w:bookmarkStart w:id="2" w:name="page3"/>
    <w:bookmarkEnd w:id="2"/>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ectPr>
          <w:pgSz w:w="11900" w:h="16838" w:orient="portrait"/>
          <w:cols w:equalWidth="0" w:num="1">
            <w:col w:w="10960"/>
          </w:cols>
          <w:pgMar w:left="440" w:top="490" w:right="499" w:bottom="1440" w:gutter="0" w:footer="0" w:header="0"/>
        </w:sectPr>
      </w:pPr>
    </w:p>
    <w:bookmarkStart w:id="3" w:name="page4"/>
    <w:bookmarkEnd w:id="3"/>
    <w:p>
      <w:pPr>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46"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Registrant’s charter, bylaws and indemnification agreements.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4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440" w:type="dxa"/>
            <w:vAlign w:val="bottom"/>
          </w:tcPr>
          <w:p>
            <w:pPr>
              <w:spacing w:after="0"/>
              <w:rPr>
                <w:sz w:val="20"/>
                <w:szCs w:val="20"/>
                <w:color w:val="auto"/>
              </w:rPr>
            </w:pPr>
            <w:r>
              <w:rPr>
                <w:rFonts w:ascii="Arial" w:cs="Arial" w:eastAsia="Arial" w:hAnsi="Arial"/>
                <w:sz w:val="18"/>
                <w:szCs w:val="18"/>
                <w:color w:val="auto"/>
              </w:rPr>
              <w:t>5.1</w:t>
            </w:r>
          </w:p>
        </w:tc>
        <w:tc>
          <w:tcPr>
            <w:tcW w:w="4000" w:type="dxa"/>
            <w:vAlign w:val="bottom"/>
            <w:gridSpan w:val="3"/>
          </w:tcPr>
          <w:p>
            <w:pPr>
              <w:spacing w:after="0"/>
              <w:rPr>
                <w:sz w:val="20"/>
                <w:szCs w:val="20"/>
                <w:color w:val="auto"/>
              </w:rPr>
            </w:pPr>
            <w:r>
              <w:rPr>
                <w:rFonts w:ascii="Arial" w:cs="Arial" w:eastAsia="Arial" w:hAnsi="Arial"/>
                <w:sz w:val="18"/>
                <w:szCs w:val="18"/>
                <w:color w:val="0000EE"/>
              </w:rPr>
              <w:t>Opinion of Blank Rome LLP (regarding validity)</w:t>
            </w: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23.1</w:t>
            </w: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0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23.2</w:t>
            </w:r>
          </w:p>
        </w:tc>
        <w:tc>
          <w:tcPr>
            <w:tcW w:w="4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Blank Rome LLP (contained in Exhibit 5.1)</w:t>
            </w:r>
          </w:p>
        </w:tc>
      </w:tr>
    </w:tbl>
    <w:p>
      <w:pPr>
        <w:spacing w:after="0" w:line="121" w:lineRule="exact"/>
        <w:rPr>
          <w:sz w:val="20"/>
          <w:szCs w:val="20"/>
          <w:color w:val="auto"/>
        </w:rPr>
      </w:pPr>
    </w:p>
    <w:p>
      <w:pPr>
        <w:ind w:left="1444" w:hanging="1444"/>
        <w:spacing w:after="0"/>
        <w:tabs>
          <w:tab w:leader="none" w:pos="1444"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0000EE"/>
        </w:rPr>
        <w:t>Power of Attorney (contained in the signature pages hereto)</w:t>
      </w:r>
    </w:p>
    <w:p>
      <w:pPr>
        <w:spacing w:after="0" w:line="117" w:lineRule="exact"/>
        <w:rPr>
          <w:sz w:val="20"/>
          <w:szCs w:val="20"/>
          <w:color w:val="auto"/>
        </w:rPr>
      </w:pPr>
    </w:p>
    <w:p>
      <w:pPr>
        <w:ind w:left="1444" w:right="460" w:hanging="1444"/>
        <w:spacing w:after="0" w:line="277" w:lineRule="auto"/>
        <w:tabs>
          <w:tab w:leader="none" w:pos="1444" w:val="left"/>
        </w:tabs>
        <w:numPr>
          <w:ilvl w:val="0"/>
          <w:numId w:val="2"/>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Comcast Corporation 2002 Employee Stock Purchase Plan, as amended and restated effective June 7, 2023 (incorporated by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reference to Exhibit 10.2 to the Registrant’s Current Report on Form 8-K filed on June 9, 2023)</w:t>
        </w:r>
      </w:hyperlink>
    </w:p>
    <w:p>
      <w:pPr>
        <w:spacing w:after="0" w:line="62" w:lineRule="exact"/>
        <w:rPr>
          <w:rFonts w:ascii="Arial" w:cs="Arial" w:eastAsia="Arial" w:hAnsi="Arial"/>
          <w:sz w:val="18"/>
          <w:szCs w:val="18"/>
          <w:color w:val="auto"/>
        </w:rPr>
      </w:pPr>
    </w:p>
    <w:p>
      <w:pPr>
        <w:ind w:left="1444" w:hanging="1444"/>
        <w:spacing w:after="0"/>
        <w:tabs>
          <w:tab w:leader="none" w:pos="14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ectPr>
          <w:pgSz w:w="11900" w:h="16838" w:orient="portrait"/>
          <w:cols w:equalWidth="0" w:num="1">
            <w:col w:w="10904"/>
          </w:cols>
          <w:pgMar w:left="436" w:top="490"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July 3, 2023.</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Legal Officer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Brian L. Roberts, Michael J. Cavanagh, Jason S. Armstrong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900" w:type="dxa"/>
            <w:vAlign w:val="bottom"/>
          </w:tcPr>
          <w:p>
            <w:pPr>
              <w:jc w:val="center"/>
              <w:ind w:left="92"/>
              <w:spacing w:after="0"/>
              <w:rPr>
                <w:sz w:val="20"/>
                <w:szCs w:val="20"/>
                <w:color w:val="auto"/>
              </w:rPr>
            </w:pPr>
            <w:r>
              <w:rPr>
                <w:rFonts w:ascii="Arial" w:cs="Arial" w:eastAsia="Arial" w:hAnsi="Arial"/>
                <w:sz w:val="14"/>
                <w:szCs w:val="14"/>
                <w:b w:val="1"/>
                <w:bCs w:val="1"/>
                <w:color w:val="auto"/>
                <w:w w:val="97"/>
              </w:rPr>
              <w:t>Title</w:t>
            </w:r>
          </w:p>
        </w:tc>
        <w:tc>
          <w:tcPr>
            <w:tcW w:w="1500" w:type="dxa"/>
            <w:vAlign w:val="bottom"/>
          </w:tcPr>
          <w:p>
            <w:pPr>
              <w:jc w:val="center"/>
              <w:ind w:left="51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L. Roberts</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3"/>
              </w:rPr>
              <w:t>Chairman and Chief Executive Officer; 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Brian L. Roberts</w:t>
            </w:r>
          </w:p>
        </w:tc>
        <w:tc>
          <w:tcPr>
            <w:tcW w:w="4900" w:type="dxa"/>
            <w:vAlign w:val="bottom"/>
          </w:tcPr>
          <w:p>
            <w:pPr>
              <w:jc w:val="center"/>
              <w:ind w:left="72"/>
              <w:spacing w:after="0"/>
              <w:rPr>
                <w:sz w:val="20"/>
                <w:szCs w:val="20"/>
                <w:color w:val="auto"/>
              </w:rPr>
            </w:pPr>
            <w:r>
              <w:rPr>
                <w:rFonts w:ascii="Arial" w:cs="Arial" w:eastAsia="Arial" w:hAnsi="Arial"/>
                <w:sz w:val="18"/>
                <w:szCs w:val="18"/>
                <w:color w:val="auto"/>
                <w:w w:val="94"/>
              </w:rPr>
              <w:t>(Principal Executive Officer)</w:t>
            </w:r>
          </w:p>
        </w:tc>
        <w:tc>
          <w:tcPr>
            <w:tcW w:w="150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S. Armstrong</w:t>
            </w:r>
          </w:p>
        </w:tc>
        <w:tc>
          <w:tcPr>
            <w:tcW w:w="4900" w:type="dxa"/>
            <w:vAlign w:val="bottom"/>
          </w:tcPr>
          <w:p>
            <w:pPr>
              <w:jc w:val="center"/>
              <w:ind w:left="72"/>
              <w:spacing w:after="0"/>
              <w:rPr>
                <w:sz w:val="20"/>
                <w:szCs w:val="20"/>
                <w:color w:val="auto"/>
              </w:rPr>
            </w:pPr>
            <w:r>
              <w:rPr>
                <w:rFonts w:ascii="Arial" w:cs="Arial" w:eastAsia="Arial" w:hAnsi="Arial"/>
                <w:sz w:val="18"/>
                <w:szCs w:val="18"/>
                <w:color w:val="auto"/>
                <w:w w:val="91"/>
              </w:rPr>
              <w:t>Chief Financial Officer and Treasurer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Jason S. Armstrong</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4"/>
              </w:rPr>
              <w:t>(Principal Financial Officer)</w:t>
            </w:r>
          </w:p>
        </w:tc>
        <w:tc>
          <w:tcPr>
            <w:tcW w:w="15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C. Murdock</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1"/>
              </w:rPr>
              <w:t>Executive Vice President, Chief Accounting</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182"/>
        </w:trPr>
        <w:tc>
          <w:tcPr>
            <w:tcW w:w="4180" w:type="dxa"/>
            <w:vAlign w:val="bottom"/>
          </w:tcPr>
          <w:p>
            <w:pPr>
              <w:jc w:val="center"/>
              <w:spacing w:after="0" w:line="182" w:lineRule="exact"/>
              <w:rPr>
                <w:sz w:val="20"/>
                <w:szCs w:val="20"/>
                <w:color w:val="auto"/>
              </w:rPr>
            </w:pPr>
            <w:r>
              <w:rPr>
                <w:rFonts w:ascii="Arial" w:cs="Arial" w:eastAsia="Arial" w:hAnsi="Arial"/>
                <w:sz w:val="18"/>
                <w:szCs w:val="18"/>
                <w:color w:val="auto"/>
                <w:w w:val="93"/>
              </w:rPr>
              <w:t>Daniel C. Murdock</w:t>
            </w:r>
          </w:p>
        </w:tc>
        <w:tc>
          <w:tcPr>
            <w:tcW w:w="49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3"/>
              </w:rPr>
              <w:t>Officer and Controller</w:t>
            </w:r>
          </w:p>
        </w:tc>
        <w:tc>
          <w:tcPr>
            <w:tcW w:w="1500" w:type="dxa"/>
            <w:vAlign w:val="bottom"/>
          </w:tcPr>
          <w:p>
            <w:pPr>
              <w:spacing w:after="0"/>
              <w:rPr>
                <w:sz w:val="15"/>
                <w:szCs w:val="15"/>
                <w:color w:val="auto"/>
              </w:rPr>
            </w:pPr>
          </w:p>
        </w:tc>
      </w:tr>
      <w:tr>
        <w:trPr>
          <w:trHeight w:val="230"/>
        </w:trPr>
        <w:tc>
          <w:tcPr>
            <w:tcW w:w="4180" w:type="dxa"/>
            <w:vAlign w:val="bottom"/>
          </w:tcPr>
          <w:p>
            <w:pPr>
              <w:spacing w:after="0"/>
              <w:rPr>
                <w:sz w:val="20"/>
                <w:szCs w:val="20"/>
                <w:color w:val="auto"/>
              </w:rPr>
            </w:pP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4"/>
              </w:rPr>
              <w:t>(Principal Accounting Officer)</w:t>
            </w:r>
          </w:p>
        </w:tc>
        <w:tc>
          <w:tcPr>
            <w:tcW w:w="1500" w:type="dxa"/>
            <w:vAlign w:val="bottom"/>
          </w:tcPr>
          <w:p>
            <w:pPr>
              <w:spacing w:after="0"/>
              <w:rPr>
                <w:sz w:val="20"/>
                <w:szCs w:val="20"/>
                <w:color w:val="auto"/>
              </w:rPr>
            </w:pPr>
          </w:p>
        </w:tc>
      </w:tr>
      <w:tr>
        <w:trPr>
          <w:trHeight w:val="43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Kenneth J. Bacon</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J. Baltimore</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Thomas J. Baltimore</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Madeline S. Bell</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Edward D. Breen</w:t>
            </w:r>
          </w:p>
        </w:tc>
        <w:tc>
          <w:tcPr>
            <w:tcW w:w="4900" w:type="dxa"/>
            <w:vAlign w:val="bottom"/>
          </w:tcPr>
          <w:p>
            <w:pPr>
              <w:jc w:val="center"/>
              <w:ind w:left="92"/>
              <w:spacing w:after="0"/>
              <w:rPr>
                <w:sz w:val="20"/>
                <w:szCs w:val="20"/>
                <w:color w:val="auto"/>
              </w:rPr>
            </w:pPr>
            <w:r>
              <w:rPr>
                <w:rFonts w:ascii="Arial" w:cs="Arial" w:eastAsia="Arial" w:hAnsi="Arial"/>
                <w:sz w:val="18"/>
                <w:szCs w:val="18"/>
                <w:color w:val="auto"/>
                <w:w w:val="95"/>
              </w:rPr>
              <w:t>Director</w:t>
            </w:r>
          </w:p>
        </w:tc>
        <w:tc>
          <w:tcPr>
            <w:tcW w:w="1500" w:type="dxa"/>
            <w:vAlign w:val="bottom"/>
          </w:tcPr>
          <w:p>
            <w:pPr>
              <w:jc w:val="center"/>
              <w:ind w:left="512"/>
              <w:spacing w:after="0"/>
              <w:rPr>
                <w:sz w:val="20"/>
                <w:szCs w:val="20"/>
                <w:color w:val="auto"/>
              </w:rPr>
            </w:pPr>
            <w:r>
              <w:rPr>
                <w:rFonts w:ascii="Arial" w:cs="Arial" w:eastAsia="Arial" w:hAnsi="Arial"/>
                <w:sz w:val="18"/>
                <w:szCs w:val="18"/>
                <w:color w:val="auto"/>
                <w:w w:val="92"/>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ectPr>
          <w:pgSz w:w="11900" w:h="16838" w:orient="portrait"/>
          <w:cols w:equalWidth="0" w:num="1">
            <w:col w:w="10980"/>
          </w:cols>
          <w:pgMar w:left="440" w:top="486" w:right="4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 Hassell</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A. Honickman</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Jeffrey A. Honickman</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Maritza G. Montiel</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Maritza G. Montiel</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Asuka Nakahara</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C. Novak</w:t>
            </w:r>
          </w:p>
        </w:tc>
        <w:tc>
          <w:tcPr>
            <w:tcW w:w="418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320"/>
              <w:spacing w:after="0"/>
              <w:rPr>
                <w:sz w:val="20"/>
                <w:szCs w:val="20"/>
                <w:color w:val="auto"/>
              </w:rPr>
            </w:pPr>
            <w:r>
              <w:rPr>
                <w:rFonts w:ascii="Arial" w:cs="Arial" w:eastAsia="Arial" w:hAnsi="Arial"/>
                <w:sz w:val="18"/>
                <w:szCs w:val="18"/>
                <w:color w:val="auto"/>
                <w:w w:val="90"/>
              </w:rPr>
              <w:t>July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418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sectPr>
          <w:pgSz w:w="11900" w:h="16838" w:orient="portrait"/>
          <w:cols w:equalWidth="0" w:num="1">
            <w:col w:w="10580"/>
          </w:cols>
          <w:pgMar w:left="440" w:top="490" w:right="8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833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4833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Phone:</w:t>
            </w:r>
          </w:p>
        </w:tc>
        <w:tc>
          <w:tcPr>
            <w:tcW w:w="2380" w:type="dxa"/>
            <w:vAlign w:val="bottom"/>
          </w:tcPr>
          <w:p>
            <w:pPr>
              <w:jc w:val="right"/>
              <w:spacing w:after="0"/>
              <w:rPr>
                <w:sz w:val="20"/>
                <w:szCs w:val="20"/>
                <w:color w:val="auto"/>
              </w:rPr>
            </w:pPr>
            <w:r>
              <w:rPr>
                <w:rFonts w:ascii="Arial" w:cs="Arial" w:eastAsia="Arial" w:hAnsi="Arial"/>
                <w:sz w:val="18"/>
                <w:szCs w:val="18"/>
                <w:color w:val="auto"/>
              </w:rPr>
              <w:t>215-569-5500</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Fax:</w:t>
            </w:r>
          </w:p>
        </w:tc>
        <w:tc>
          <w:tcPr>
            <w:tcW w:w="2380" w:type="dxa"/>
            <w:vAlign w:val="bottom"/>
          </w:tcPr>
          <w:p>
            <w:pPr>
              <w:jc w:val="right"/>
              <w:spacing w:after="0"/>
              <w:rPr>
                <w:sz w:val="20"/>
                <w:szCs w:val="20"/>
                <w:color w:val="auto"/>
              </w:rPr>
            </w:pPr>
            <w:r>
              <w:rPr>
                <w:rFonts w:ascii="Arial" w:cs="Arial" w:eastAsia="Arial" w:hAnsi="Arial"/>
                <w:sz w:val="18"/>
                <w:szCs w:val="18"/>
                <w:color w:val="auto"/>
              </w:rPr>
              <w:t>215-569-5555</w:t>
            </w:r>
          </w:p>
        </w:tc>
      </w:tr>
    </w:tbl>
    <w:p>
      <w:pPr>
        <w:spacing w:after="0" w:line="202"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July 3,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100,000,000 shares (the “Shares”) of Class A common stock, par value $0.01 per share (“Common Stock”), issuable pursuant to the Amended and Restated 2002 Employee Stock Purchase Plan (the “Plan”). This opinion is furnished pursuant to the requirements of Item 601(b)(5) of Regulation S-K.</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84"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rendering this opinion, we have examined the following documents: (i) a certificate from an assistant secretary of the Company (including all attachments thereto); (ii) the Registration Statement (including all exhibits thereto); (iii) the Plan; and (iv) such other documents as we deem relevant and necessary as a basis for the opinion hereinafter expressed.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6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 rendering this opinion, we have assumed that, at the time of issuance of any Shares, there shall be a sufficient number of duly authorized and unissued shares of the Company’s Common Stock to accommodate the issuance of the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is limited to the Pennsylvania Business Corporation Law of 1988, as amended.</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when issued in accordance with the terms of the Plan, will be validly issued, fully paid and nonassessable.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This opinion is strictly limited to the matters stated herein and no other or more extensive opinion is intended, implied or to be inferred beyond the matters expressly stated herein.</w:t>
      </w:r>
    </w:p>
    <w:p>
      <w:pPr>
        <w:sectPr>
          <w:pgSz w:w="11900" w:h="16838" w:orient="portrait"/>
          <w:cols w:equalWidth="0" w:num="1">
            <w:col w:w="11020"/>
          </w:cols>
          <w:pgMar w:left="440" w:top="121" w:right="439" w:bottom="1440" w:gutter="0" w:footer="0" w:header="0"/>
        </w:sectPr>
      </w:pPr>
    </w:p>
    <w:bookmarkStart w:id="7" w:name="page8"/>
    <w:bookmarkEnd w:id="7"/>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Blank Rome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0720"/>
          </w:cols>
          <w:pgMar w:left="440" w:top="490" w:right="7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February 3, 2023, relating to the financial statements of Comcast Corporation and the effectiveness of Comcast Corporation’s internal control over financial reporting, appearing in the Annual Report on Form 10-K of Comcast Corporation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2023</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Table 1: Newly Registered Securities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76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172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3"/>
                <w:szCs w:val="13"/>
                <w:color w:val="auto"/>
              </w:rPr>
              <w:t>Maximum</w:t>
            </w:r>
          </w:p>
        </w:tc>
        <w:tc>
          <w:tcPr>
            <w:tcW w:w="10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7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76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80" w:type="dxa"/>
            <w:vAlign w:val="bottom"/>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5"/>
        </w:trPr>
        <w:tc>
          <w:tcPr>
            <w:tcW w:w="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Rule</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2"/>
              </w:rPr>
              <w:t>Registered</w:t>
            </w:r>
            <w:r>
              <w:rPr>
                <w:rFonts w:ascii="Arial" w:cs="Arial" w:eastAsia="Arial" w:hAnsi="Arial"/>
                <w:sz w:val="18"/>
                <w:szCs w:val="18"/>
                <w:color w:val="auto"/>
                <w:w w:val="82"/>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09"/>
        </w:trPr>
        <w:tc>
          <w:tcPr>
            <w:tcW w:w="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A</w:t>
            </w:r>
          </w:p>
        </w:tc>
        <w:tc>
          <w:tcPr>
            <w:tcW w:w="8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457(h)</w:t>
            </w:r>
          </w:p>
        </w:tc>
        <w:tc>
          <w:tcPr>
            <w:tcW w:w="80" w:type="dxa"/>
            <w:vAlign w:val="bottom"/>
          </w:tcPr>
          <w:p>
            <w:pPr>
              <w:spacing w:after="0"/>
              <w:rPr>
                <w:sz w:val="18"/>
                <w:szCs w:val="18"/>
                <w:color w:val="auto"/>
              </w:rPr>
            </w:pPr>
          </w:p>
        </w:tc>
        <w:tc>
          <w:tcPr>
            <w:tcW w:w="1100" w:type="dxa"/>
            <w:vAlign w:val="bottom"/>
            <w:tcBorders>
              <w:right w:val="single" w:sz="8" w:color="auto"/>
            </w:tcBorders>
          </w:tcPr>
          <w:p>
            <w:pPr>
              <w:jc w:val="right"/>
              <w:ind w:right="68"/>
              <w:spacing w:after="0"/>
              <w:rPr>
                <w:sz w:val="20"/>
                <w:szCs w:val="20"/>
                <w:color w:val="auto"/>
              </w:rPr>
            </w:pPr>
            <w:r>
              <w:rPr>
                <w:rFonts w:ascii="Arial" w:cs="Arial" w:eastAsia="Arial" w:hAnsi="Arial"/>
                <w:sz w:val="18"/>
                <w:szCs w:val="18"/>
                <w:color w:val="auto"/>
                <w:w w:val="93"/>
              </w:rPr>
              <w:t>100,000,000</w:t>
            </w:r>
          </w:p>
        </w:tc>
        <w:tc>
          <w:tcPr>
            <w:tcW w:w="900" w:type="dxa"/>
            <w:vAlign w:val="bottom"/>
            <w:tcBorders>
              <w:right w:val="single" w:sz="8" w:color="auto"/>
            </w:tcBorders>
          </w:tcPr>
          <w:p>
            <w:pPr>
              <w:jc w:val="right"/>
              <w:ind w:right="54"/>
              <w:spacing w:after="0" w:line="209" w:lineRule="exact"/>
              <w:rPr>
                <w:sz w:val="20"/>
                <w:szCs w:val="20"/>
                <w:color w:val="auto"/>
              </w:rPr>
            </w:pPr>
            <w:r>
              <w:rPr>
                <w:rFonts w:ascii="Arial" w:cs="Arial" w:eastAsia="Arial" w:hAnsi="Arial"/>
                <w:sz w:val="17"/>
                <w:szCs w:val="17"/>
                <w:color w:val="auto"/>
              </w:rPr>
              <w:t>$40.48</w:t>
            </w:r>
            <w:r>
              <w:rPr>
                <w:rFonts w:ascii="Arial" w:cs="Arial" w:eastAsia="Arial" w:hAnsi="Arial"/>
                <w:sz w:val="24"/>
                <w:szCs w:val="24"/>
                <w:color w:val="auto"/>
                <w:vertAlign w:val="superscript"/>
              </w:rPr>
              <w:t>(2)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$4,047,500,000.00</w:t>
            </w:r>
          </w:p>
        </w:tc>
        <w:tc>
          <w:tcPr>
            <w:tcW w:w="10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$110.20 per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$446,034.50</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$1,000,000</w:t>
            </w: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 par value</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(“Common</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Stock”),</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reserved for</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issuance</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pursuant to</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Amended and</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Restated Comcast</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Corporation</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2002 Employee</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Purchase</w:t>
            </w: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Plan (“ESPP”)</w:t>
            </w:r>
          </w:p>
        </w:tc>
        <w:tc>
          <w:tcPr>
            <w:tcW w:w="8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6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8"/>
              </w:rPr>
              <w:t>Total Offering</w:t>
            </w: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4"/>
              </w:rPr>
              <w:t>Amounts</w:t>
            </w: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$4,047,500,000.00</w:t>
            </w:r>
          </w:p>
        </w:tc>
        <w:tc>
          <w:tcPr>
            <w:tcW w:w="10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$446,034.50</w:t>
            </w:r>
          </w:p>
        </w:tc>
        <w:tc>
          <w:tcPr>
            <w:tcW w:w="0" w:type="dxa"/>
            <w:vAlign w:val="bottom"/>
          </w:tcPr>
          <w:p>
            <w:pPr>
              <w:spacing w:after="0"/>
              <w:rPr>
                <w:sz w:val="1"/>
                <w:szCs w:val="1"/>
                <w:color w:val="auto"/>
              </w:rPr>
            </w:pPr>
          </w:p>
        </w:tc>
      </w:tr>
      <w:tr>
        <w:trPr>
          <w:trHeight w:val="230"/>
        </w:trPr>
        <w:tc>
          <w:tcPr>
            <w:tcW w:w="760" w:type="dxa"/>
            <w:vAlign w:val="bottom"/>
            <w:tcBorders>
              <w:left w:val="single" w:sz="8" w:color="auto"/>
            </w:tcBorders>
          </w:tcPr>
          <w:p>
            <w:pPr>
              <w:spacing w:after="0"/>
              <w:rPr>
                <w:sz w:val="20"/>
                <w:szCs w:val="20"/>
                <w:color w:val="auto"/>
              </w:rPr>
            </w:pPr>
          </w:p>
        </w:tc>
        <w:tc>
          <w:tcPr>
            <w:tcW w:w="2320" w:type="dxa"/>
            <w:vAlign w:val="bottom"/>
            <w:gridSpan w:val="3"/>
          </w:tcPr>
          <w:p>
            <w:pPr>
              <w:jc w:val="center"/>
              <w:ind w:left="393"/>
              <w:spacing w:after="0"/>
              <w:rPr>
                <w:sz w:val="20"/>
                <w:szCs w:val="20"/>
                <w:color w:val="auto"/>
              </w:rPr>
            </w:pPr>
            <w:r>
              <w:rPr>
                <w:rFonts w:ascii="Arial" w:cs="Arial" w:eastAsia="Arial" w:hAnsi="Arial"/>
                <w:sz w:val="18"/>
                <w:szCs w:val="18"/>
                <w:color w:val="auto"/>
                <w:w w:val="89"/>
              </w:rPr>
              <w:t>Total Fee Offsets</w:t>
            </w:r>
          </w:p>
        </w:tc>
        <w:tc>
          <w:tcPr>
            <w:tcW w:w="11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
        </w:trPr>
        <w:tc>
          <w:tcPr>
            <w:tcW w:w="760" w:type="dxa"/>
            <w:vAlign w:val="bottom"/>
            <w:tcBorders>
              <w:left w:val="single" w:sz="8" w:color="auto"/>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8"/>
                <w:szCs w:val="18"/>
                <w:color w:val="auto"/>
                <w:w w:val="90"/>
              </w:rPr>
              <w:t>Net Fee Due</w:t>
            </w:r>
          </w:p>
        </w:tc>
        <w:tc>
          <w:tcPr>
            <w:tcW w:w="11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$446,034.50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40" w:right="200" w:hanging="433"/>
        <w:spacing w:after="0" w:line="255"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Common Stock that become issuable under the ESPP by reason of any stock dividend, stock split or similar transactions.</w:t>
      </w:r>
    </w:p>
    <w:p>
      <w:pPr>
        <w:spacing w:after="0" w:line="2" w:lineRule="exact"/>
        <w:rPr>
          <w:rFonts w:ascii="Arial" w:cs="Arial" w:eastAsia="Arial" w:hAnsi="Arial"/>
          <w:sz w:val="18"/>
          <w:szCs w:val="18"/>
          <w:color w:val="auto"/>
        </w:rPr>
      </w:pPr>
    </w:p>
    <w:p>
      <w:pPr>
        <w:ind w:left="440" w:right="100" w:hanging="433"/>
        <w:spacing w:after="0" w:line="255"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in accordance with Rule 457(h) under the Securities Act solely for purposes of calculating the registration fee, based on the average of the high and low sales prices per share of Common Stock, as reported on The Nasdaq Stock Market LLC on June 26, 2023.</w:t>
      </w:r>
    </w:p>
    <w:sectPr>
      <w:pgSz w:w="11900" w:h="16838" w:orient="portrait"/>
      <w:cols w:equalWidth="0" w:num="1">
        <w:col w:w="10040"/>
      </w:cols>
      <w:pgMar w:left="14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4"/>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jpeg"/><Relationship Id="rId30" Type="http://schemas.openxmlformats.org/officeDocument/2006/relationships/image" Target="media/image16.png"/><Relationship Id="rId17" Type="http://schemas.openxmlformats.org/officeDocument/2006/relationships/hyperlink" Target="http://www.sec.gov/Archives/edgar/data/1166691/000102140802014828/ds8pos.txt" TargetMode="External"/><Relationship Id="rId18" Type="http://schemas.openxmlformats.org/officeDocument/2006/relationships/hyperlink" Target="http://www.sec.gov/Archives/edgar/data/1166691/000119312516500313/d110381ds8pos.htm" TargetMode="External"/><Relationship Id="rId19" Type="http://schemas.openxmlformats.org/officeDocument/2006/relationships/hyperlink" Target="http://www.sec.gov/Archives/edgar/data/1166691/000119312506000519/ds8.htm" TargetMode="External"/><Relationship Id="rId20" Type="http://schemas.openxmlformats.org/officeDocument/2006/relationships/hyperlink" Target="http://www.sec.gov/Archives/edgar/data/1166691/000119312509179522/ds8.htm" TargetMode="External"/><Relationship Id="rId21" Type="http://schemas.openxmlformats.org/officeDocument/2006/relationships/hyperlink" Target="http://www.sec.gov/Archives/edgar/data/1166691/000119312512330640/d385630ds8.htm" TargetMode="External"/><Relationship Id="rId22" Type="http://schemas.openxmlformats.org/officeDocument/2006/relationships/hyperlink" Target="http://www.sec.gov/Archives/edgar/data/1166691/000119312516661805/d230333ds8.htm" TargetMode="External"/><Relationship Id="rId25" Type="http://schemas.openxmlformats.org/officeDocument/2006/relationships/hyperlink" Target="http://www.sec.gov/Archives/edgar/data/1166691/000095010323008707/dp195127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2023-07-03T09:12:40Z</dcterms:created>
  <dcterms:modified xsi:type="dcterms:W3CDTF">2023-07-03T09:12:40Z</dcterms:modified>
</cp:coreProperties>
</file>