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4)*</w:t>
      </w:r>
    </w:p>
    <w:p>
      <w:pPr>
        <w:spacing w:after="0" w:line="200" w:lineRule="exact"/>
        <w:rPr>
          <w:sz w:val="24"/>
          <w:szCs w:val="24"/>
          <w:color w:val="auto"/>
        </w:rPr>
      </w:pPr>
    </w:p>
    <w:p>
      <w:pPr>
        <w:spacing w:after="0" w:line="2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BUZZFEED,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12430A300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Thomas J. Reid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Legal Officer and Secretary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One Comcast Center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Philadelphia, Pennsylvania 19103-2838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(215) 286-1700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ind w:firstLine="332"/>
        <w:spacing w:after="0" w:line="282" w:lineRule="auto"/>
        <w:tabs>
          <w:tab w:leader="none" w:pos="46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 w:name="page2"/>
    <w:bookmarkEnd w:id="1"/>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7"/>
          <w:szCs w:val="17"/>
          <w:color w:val="auto"/>
        </w:rPr>
        <w:t>12430A300</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460" w:type="dxa"/>
            <w:vAlign w:val="bottom"/>
            <w:tcBorders>
              <w:top w:val="single" w:sz="8" w:color="auto"/>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40" w:type="dxa"/>
            <w:vAlign w:val="bottom"/>
            <w:tcBorders>
              <w:top w:val="single" w:sz="8" w:color="auto"/>
              <w:right w:val="single" w:sz="8" w:color="auto"/>
            </w:tcBorders>
          </w:tcPr>
          <w:p>
            <w:pPr>
              <w:spacing w:after="0"/>
              <w:rPr>
                <w:sz w:val="21"/>
                <w:szCs w:val="21"/>
                <w:color w:val="auto"/>
              </w:rPr>
            </w:pPr>
          </w:p>
        </w:tc>
        <w:tc>
          <w:tcPr>
            <w:tcW w:w="39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4900" w:type="dxa"/>
            <w:vAlign w:val="bottom"/>
            <w:tcBorders>
              <w:top w:val="single" w:sz="8" w:color="auto"/>
            </w:tcBorders>
          </w:tcPr>
          <w:p>
            <w:pPr>
              <w:spacing w:after="0"/>
              <w:rPr>
                <w:sz w:val="21"/>
                <w:szCs w:val="21"/>
                <w:color w:val="auto"/>
              </w:rPr>
            </w:pPr>
          </w:p>
        </w:tc>
        <w:tc>
          <w:tcPr>
            <w:tcW w:w="17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Comcast Corporation</w:t>
            </w:r>
          </w:p>
        </w:tc>
        <w:tc>
          <w:tcPr>
            <w:tcW w:w="23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8880" w:type="dxa"/>
            <w:vAlign w:val="bottom"/>
            <w:tcBorders>
              <w:bottom w:val="single" w:sz="8" w:color="auto"/>
            </w:tcBorders>
            <w:gridSpan w:val="5"/>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tcBorders>
          </w:tcPr>
          <w:p>
            <w:pPr>
              <w:jc w:val="center"/>
              <w:ind w:left="50"/>
              <w:spacing w:after="0" w:line="191" w:lineRule="exact"/>
              <w:rPr>
                <w:sz w:val="20"/>
                <w:szCs w:val="20"/>
                <w:color w:val="auto"/>
              </w:rPr>
            </w:pPr>
            <w:r>
              <w:rPr>
                <w:rFonts w:ascii="Times New Roman" w:cs="Times New Roman" w:eastAsia="Times New Roman" w:hAnsi="Times New Roman"/>
                <w:sz w:val="18"/>
                <w:szCs w:val="18"/>
                <w:b w:val="1"/>
                <w:bCs w:val="1"/>
                <w:color w:val="auto"/>
                <w:w w:val="88"/>
              </w:rPr>
              <w:t>2.</w:t>
            </w:r>
          </w:p>
        </w:tc>
        <w:tc>
          <w:tcPr>
            <w:tcW w:w="140" w:type="dxa"/>
            <w:vAlign w:val="bottom"/>
            <w:tcBorders>
              <w:right w:val="single" w:sz="8" w:color="auto"/>
            </w:tcBorders>
          </w:tcPr>
          <w:p>
            <w:pPr>
              <w:spacing w:after="0"/>
              <w:rPr>
                <w:sz w:val="16"/>
                <w:szCs w:val="16"/>
                <w:color w:val="auto"/>
              </w:rPr>
            </w:pPr>
          </w:p>
        </w:tc>
        <w:tc>
          <w:tcPr>
            <w:tcW w:w="888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80" w:type="dxa"/>
            <w:vAlign w:val="bottom"/>
            <w:tcBorders>
              <w:right w:val="single" w:sz="8" w:color="auto"/>
            </w:tcBorders>
          </w:tcPr>
          <w:p>
            <w:pPr>
              <w:ind w:left="660"/>
              <w:spacing w:after="0" w:line="191"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780" w:type="dxa"/>
            <w:vAlign w:val="bottom"/>
            <w:tcBorders>
              <w:right w:val="single" w:sz="8" w:color="auto"/>
            </w:tcBorders>
          </w:tcPr>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1"/>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tcBorders>
            <w:gridSpan w:val="2"/>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4900" w:type="dxa"/>
            <w:vAlign w:val="bottom"/>
            <w:tcBorders>
              <w:bottom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0" w:type="dxa"/>
            <w:vAlign w:val="bottom"/>
            <w:tcBorders>
              <w:right w:val="single" w:sz="8" w:color="auto"/>
            </w:tcBorders>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SEC USE ONLY</w:t>
            </w:r>
          </w:p>
        </w:tc>
        <w:tc>
          <w:tcPr>
            <w:tcW w:w="4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tcBorders>
            <w:gridSpan w:val="3"/>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4900" w:type="dxa"/>
            <w:vAlign w:val="bottom"/>
            <w:tcBorders>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0" w:type="dxa"/>
            <w:vAlign w:val="bottom"/>
            <w:tcBorders>
              <w:right w:val="single" w:sz="8" w:color="auto"/>
            </w:tcBorders>
          </w:tcPr>
          <w:p>
            <w:pPr>
              <w:spacing w:after="0"/>
              <w:rPr>
                <w:sz w:val="20"/>
                <w:szCs w:val="20"/>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23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 Item 3</w:t>
            </w: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8880" w:type="dxa"/>
            <w:vAlign w:val="bottom"/>
            <w:tcBorders>
              <w:bottom w:val="single" w:sz="8" w:color="auto"/>
            </w:tcBorders>
            <w:gridSpan w:val="5"/>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40" w:type="dxa"/>
            <w:vAlign w:val="bottom"/>
            <w:tcBorders>
              <w:right w:val="single" w:sz="8" w:color="auto"/>
            </w:tcBorders>
          </w:tcPr>
          <w:p>
            <w:pPr>
              <w:spacing w:after="0"/>
              <w:rPr>
                <w:sz w:val="24"/>
                <w:szCs w:val="24"/>
                <w:color w:val="auto"/>
              </w:rPr>
            </w:pPr>
          </w:p>
        </w:tc>
        <w:tc>
          <w:tcPr>
            <w:tcW w:w="12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3980" w:type="dxa"/>
            <w:vAlign w:val="bottom"/>
            <w:tcBorders>
              <w:bottom w:val="single" w:sz="8" w:color="auto"/>
            </w:tcBorders>
            <w:gridSpan w:val="4"/>
          </w:tcPr>
          <w:p>
            <w:pPr>
              <w:spacing w:after="0"/>
              <w:rPr>
                <w:sz w:val="17"/>
                <w:szCs w:val="17"/>
                <w:color w:val="auto"/>
              </w:rPr>
            </w:pPr>
          </w:p>
        </w:tc>
        <w:tc>
          <w:tcPr>
            <w:tcW w:w="4900" w:type="dxa"/>
            <w:vAlign w:val="bottom"/>
            <w:tcBorders>
              <w:bottom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3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900" w:type="dxa"/>
            <w:vAlign w:val="bottom"/>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40" w:type="dxa"/>
            <w:vAlign w:val="bottom"/>
            <w:tcBorders>
              <w:right w:val="single" w:sz="8" w:color="auto"/>
            </w:tcBorders>
          </w:tcPr>
          <w:p>
            <w:pPr>
              <w:spacing w:after="0"/>
              <w:rPr>
                <w:sz w:val="24"/>
                <w:szCs w:val="24"/>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tcBorders>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4900" w:type="dxa"/>
            <w:vAlign w:val="bottom"/>
            <w:tcBorders>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  0</w:t>
            </w:r>
          </w:p>
        </w:tc>
        <w:tc>
          <w:tcPr>
            <w:tcW w:w="490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4900" w:type="dxa"/>
            <w:vAlign w:val="bottom"/>
            <w:tcBorders>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720" w:type="dxa"/>
            <w:vAlign w:val="bottom"/>
            <w:tcBorders>
              <w:left w:val="single" w:sz="8" w:color="auto"/>
              <w:right w:val="single" w:sz="8" w:color="auto"/>
            </w:tcBorders>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2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4900" w:type="dxa"/>
            <w:vAlign w:val="bottom"/>
            <w:vMerge w:val="restart"/>
          </w:tcPr>
          <w:p>
            <w:pPr>
              <w:jc w:val="right"/>
              <w:ind w:right="3110"/>
              <w:spacing w:after="0"/>
              <w:rPr>
                <w:sz w:val="20"/>
                <w:szCs w:val="20"/>
                <w:color w:val="auto"/>
              </w:rPr>
            </w:pPr>
            <w:r>
              <w:rPr>
                <w:rFonts w:ascii="Times New Roman" w:cs="Times New Roman" w:eastAsia="Times New Roman" w:hAnsi="Times New Roman"/>
                <w:sz w:val="18"/>
                <w:szCs w:val="18"/>
                <w:color w:val="auto"/>
              </w:rPr>
              <w:t>2,000,000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260" w:type="dxa"/>
            <w:vAlign w:val="bottom"/>
            <w:tcBorders>
              <w:right w:val="single" w:sz="8" w:color="auto"/>
            </w:tcBorders>
            <w:gridSpan w:val="2"/>
          </w:tcPr>
          <w:p>
            <w:pPr>
              <w:jc w:val="center"/>
              <w:ind w:right="35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Pr>
          <w:p>
            <w:pPr>
              <w:spacing w:after="0"/>
              <w:rPr>
                <w:sz w:val="18"/>
                <w:szCs w:val="18"/>
                <w:color w:val="auto"/>
              </w:rPr>
            </w:pPr>
          </w:p>
        </w:tc>
        <w:tc>
          <w:tcPr>
            <w:tcW w:w="420" w:type="dxa"/>
            <w:vAlign w:val="bottom"/>
            <w:tcBorders>
              <w:right w:val="single" w:sz="8" w:color="auto"/>
            </w:tcBorders>
            <w:vMerge w:val="continue"/>
          </w:tcPr>
          <w:p>
            <w:pPr>
              <w:spacing w:after="0"/>
              <w:rPr>
                <w:sz w:val="18"/>
                <w:szCs w:val="18"/>
                <w:color w:val="auto"/>
              </w:rPr>
            </w:pPr>
          </w:p>
        </w:tc>
        <w:tc>
          <w:tcPr>
            <w:tcW w:w="2300" w:type="dxa"/>
            <w:vAlign w:val="bottom"/>
            <w:vMerge w:val="continue"/>
          </w:tcPr>
          <w:p>
            <w:pPr>
              <w:spacing w:after="0"/>
              <w:rPr>
                <w:sz w:val="18"/>
                <w:szCs w:val="18"/>
                <w:color w:val="auto"/>
              </w:rPr>
            </w:pPr>
          </w:p>
        </w:tc>
        <w:tc>
          <w:tcPr>
            <w:tcW w:w="4900" w:type="dxa"/>
            <w:vAlign w:val="bottom"/>
            <w:vMerge w:val="continue"/>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490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20" w:type="dxa"/>
            <w:vAlign w:val="bottom"/>
            <w:tcBorders>
              <w:left w:val="single" w:sz="8" w:color="auto"/>
              <w:right w:val="single" w:sz="8" w:color="auto"/>
            </w:tcBorders>
            <w:gridSpan w:val="3"/>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OWNED BY EACH</w:t>
            </w:r>
          </w:p>
        </w:tc>
        <w:tc>
          <w:tcPr>
            <w:tcW w:w="14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230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Pr>
          <w:p>
            <w:pPr>
              <w:spacing w:after="0"/>
              <w:rPr>
                <w:sz w:val="18"/>
                <w:szCs w:val="18"/>
                <w:color w:val="auto"/>
              </w:rPr>
            </w:pPr>
          </w:p>
        </w:tc>
        <w:tc>
          <w:tcPr>
            <w:tcW w:w="4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4900" w:type="dxa"/>
            <w:vAlign w:val="bottom"/>
          </w:tcPr>
          <w:p>
            <w:pPr>
              <w:jc w:val="right"/>
              <w:ind w:right="4570"/>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4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3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60" w:type="dxa"/>
            <w:vAlign w:val="bottom"/>
            <w:tcBorders>
              <w:left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Borders>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7200" w:type="dxa"/>
            <w:vAlign w:val="bottom"/>
            <w:tcBorders>
              <w:bottom w:val="single" w:sz="8" w:color="auto"/>
            </w:tcBorders>
            <w:gridSpan w:val="2"/>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39"/>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10.</w:t>
            </w: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  2,000,000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gridSpan w:val="2"/>
          </w:tcPr>
          <w:p>
            <w:pPr>
              <w:spacing w:after="0"/>
              <w:rPr>
                <w:sz w:val="19"/>
                <w:szCs w:val="19"/>
                <w:color w:val="auto"/>
              </w:rPr>
            </w:pPr>
          </w:p>
        </w:tc>
        <w:tc>
          <w:tcPr>
            <w:tcW w:w="7200" w:type="dxa"/>
            <w:vAlign w:val="bottom"/>
            <w:tcBorders>
              <w:bottom w:val="single" w:sz="8" w:color="auto"/>
            </w:tcBorders>
            <w:gridSpan w:val="2"/>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40" w:type="dxa"/>
            <w:vAlign w:val="bottom"/>
            <w:tcBorders>
              <w:right w:val="single" w:sz="8" w:color="auto"/>
            </w:tcBorders>
          </w:tcPr>
          <w:p>
            <w:pPr>
              <w:spacing w:after="0"/>
              <w:rPr>
                <w:sz w:val="20"/>
                <w:szCs w:val="20"/>
                <w:color w:val="auto"/>
              </w:rPr>
            </w:pPr>
          </w:p>
        </w:tc>
        <w:tc>
          <w:tcPr>
            <w:tcW w:w="8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2,000,000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23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spacing w:after="0"/>
              <w:rPr>
                <w:sz w:val="19"/>
                <w:szCs w:val="19"/>
                <w:color w:val="auto"/>
              </w:rPr>
            </w:pPr>
          </w:p>
        </w:tc>
        <w:tc>
          <w:tcPr>
            <w:tcW w:w="7200" w:type="dxa"/>
            <w:vAlign w:val="bottom"/>
            <w:tcBorders>
              <w:bottom w:val="single" w:sz="8" w:color="auto"/>
            </w:tcBorders>
            <w:gridSpan w:val="2"/>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0" w:type="dxa"/>
            <w:vAlign w:val="bottom"/>
            <w:tcBorders>
              <w:left w:val="single" w:sz="8" w:color="auto"/>
            </w:tcBorders>
          </w:tcPr>
          <w:p>
            <w:pPr>
              <w:jc w:val="center"/>
              <w:ind w:left="50"/>
              <w:spacing w:after="0" w:line="205" w:lineRule="exact"/>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17"/>
                <w:szCs w:val="17"/>
                <w:color w:val="auto"/>
              </w:rPr>
            </w:pPr>
          </w:p>
        </w:tc>
        <w:tc>
          <w:tcPr>
            <w:tcW w:w="888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CHECK BOX IF THE AGGREGATE AMOUNT IN ROW (11) EXCLUDES</w:t>
            </w:r>
          </w:p>
        </w:tc>
        <w:tc>
          <w:tcPr>
            <w:tcW w:w="1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CERTAIN SHARES</w:t>
            </w:r>
          </w:p>
        </w:tc>
        <w:tc>
          <w:tcPr>
            <w:tcW w:w="23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780" w:type="dxa"/>
            <w:vAlign w:val="bottom"/>
            <w:tcBorders>
              <w:right w:val="single" w:sz="8" w:color="auto"/>
            </w:tcBorders>
            <w:vMerge w:val="restart"/>
          </w:tcPr>
          <w:p>
            <w:pPr>
              <w:ind w:left="10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460" w:type="dxa"/>
            <w:vAlign w:val="bottom"/>
            <w:tcBorders>
              <w:left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178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spacing w:after="0"/>
              <w:rPr>
                <w:sz w:val="17"/>
                <w:szCs w:val="17"/>
                <w:color w:val="auto"/>
              </w:rPr>
            </w:pPr>
          </w:p>
        </w:tc>
        <w:tc>
          <w:tcPr>
            <w:tcW w:w="7200" w:type="dxa"/>
            <w:vAlign w:val="bottom"/>
            <w:tcBorders>
              <w:bottom w:val="single" w:sz="8" w:color="auto"/>
            </w:tcBorders>
            <w:gridSpan w:val="2"/>
          </w:tcPr>
          <w:p>
            <w:pPr>
              <w:spacing w:after="0"/>
              <w:rPr>
                <w:sz w:val="17"/>
                <w:szCs w:val="17"/>
                <w:color w:val="auto"/>
              </w:rPr>
            </w:pPr>
          </w:p>
        </w:tc>
        <w:tc>
          <w:tcPr>
            <w:tcW w:w="17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right w:val="single" w:sz="8" w:color="auto"/>
            </w:tcBorders>
          </w:tcPr>
          <w:p>
            <w:pPr>
              <w:spacing w:after="0"/>
              <w:rPr>
                <w:sz w:val="20"/>
                <w:szCs w:val="20"/>
                <w:color w:val="auto"/>
              </w:rPr>
            </w:pPr>
          </w:p>
        </w:tc>
        <w:tc>
          <w:tcPr>
            <w:tcW w:w="8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5.68%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23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4900" w:type="dxa"/>
            <w:vAlign w:val="bottom"/>
            <w:tcBorders>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right w:val="single" w:sz="8" w:color="auto"/>
            </w:tcBorders>
          </w:tcPr>
          <w:p>
            <w:pPr>
              <w:spacing w:after="0"/>
              <w:rPr>
                <w:sz w:val="20"/>
                <w:szCs w:val="20"/>
                <w:color w:val="auto"/>
              </w:rPr>
            </w:pPr>
          </w:p>
        </w:tc>
        <w:tc>
          <w:tcPr>
            <w:tcW w:w="3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4900" w:type="dxa"/>
            <w:vAlign w:val="bottom"/>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w:t>
            </w:r>
          </w:p>
        </w:tc>
        <w:tc>
          <w:tcPr>
            <w:tcW w:w="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4900" w:type="dxa"/>
            <w:vAlign w:val="bottom"/>
            <w:tcBorders>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88"/>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594" w:right="319" w:bottom="1440" w:gutter="0" w:footer="0" w:header="0"/>
        </w:sectPr>
      </w:pPr>
    </w:p>
    <w:bookmarkStart w:id="2" w:name="page3"/>
    <w:bookmarkEnd w:id="2"/>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7"/>
          <w:szCs w:val="17"/>
          <w:color w:val="auto"/>
        </w:rPr>
        <w:t>12430A300</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460" w:type="dxa"/>
            <w:vAlign w:val="bottom"/>
            <w:tcBorders>
              <w:top w:val="single" w:sz="8" w:color="auto"/>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40" w:type="dxa"/>
            <w:vAlign w:val="bottom"/>
            <w:tcBorders>
              <w:top w:val="single" w:sz="8" w:color="auto"/>
              <w:right w:val="single" w:sz="8" w:color="auto"/>
            </w:tcBorders>
          </w:tcPr>
          <w:p>
            <w:pPr>
              <w:spacing w:after="0"/>
              <w:rPr>
                <w:sz w:val="21"/>
                <w:szCs w:val="21"/>
                <w:color w:val="auto"/>
              </w:rPr>
            </w:pPr>
          </w:p>
        </w:tc>
        <w:tc>
          <w:tcPr>
            <w:tcW w:w="42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4520" w:type="dxa"/>
            <w:vAlign w:val="bottom"/>
            <w:tcBorders>
              <w:top w:val="single" w:sz="8" w:color="auto"/>
            </w:tcBorders>
          </w:tcPr>
          <w:p>
            <w:pPr>
              <w:spacing w:after="0"/>
              <w:rPr>
                <w:sz w:val="21"/>
                <w:szCs w:val="21"/>
                <w:color w:val="auto"/>
              </w:rPr>
            </w:pPr>
          </w:p>
        </w:tc>
        <w:tc>
          <w:tcPr>
            <w:tcW w:w="19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NBCUniversal, LLC</w:t>
            </w: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8720" w:type="dxa"/>
            <w:vAlign w:val="bottom"/>
            <w:tcBorders>
              <w:bottom w:val="single" w:sz="8" w:color="auto"/>
            </w:tcBorders>
            <w:gridSpan w:val="5"/>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tcBorders>
          </w:tcPr>
          <w:p>
            <w:pPr>
              <w:jc w:val="center"/>
              <w:ind w:left="50"/>
              <w:spacing w:after="0" w:line="191" w:lineRule="exact"/>
              <w:rPr>
                <w:sz w:val="20"/>
                <w:szCs w:val="20"/>
                <w:color w:val="auto"/>
              </w:rPr>
            </w:pPr>
            <w:r>
              <w:rPr>
                <w:rFonts w:ascii="Times New Roman" w:cs="Times New Roman" w:eastAsia="Times New Roman" w:hAnsi="Times New Roman"/>
                <w:sz w:val="18"/>
                <w:szCs w:val="18"/>
                <w:b w:val="1"/>
                <w:bCs w:val="1"/>
                <w:color w:val="auto"/>
                <w:w w:val="88"/>
              </w:rPr>
              <w:t>2.</w:t>
            </w:r>
          </w:p>
        </w:tc>
        <w:tc>
          <w:tcPr>
            <w:tcW w:w="140" w:type="dxa"/>
            <w:vAlign w:val="bottom"/>
            <w:tcBorders>
              <w:right w:val="single" w:sz="8" w:color="auto"/>
            </w:tcBorders>
          </w:tcPr>
          <w:p>
            <w:pPr>
              <w:spacing w:after="0"/>
              <w:rPr>
                <w:sz w:val="16"/>
                <w:szCs w:val="16"/>
                <w:color w:val="auto"/>
              </w:rPr>
            </w:pPr>
          </w:p>
        </w:tc>
        <w:tc>
          <w:tcPr>
            <w:tcW w:w="872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940" w:type="dxa"/>
            <w:vAlign w:val="bottom"/>
            <w:tcBorders>
              <w:right w:val="single" w:sz="8" w:color="auto"/>
            </w:tcBorders>
          </w:tcPr>
          <w:p>
            <w:pPr>
              <w:ind w:left="480"/>
              <w:spacing w:after="0" w:line="191"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ind w:left="4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2"/>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tcBorders>
            <w:gridSpan w:val="2"/>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0" w:type="dxa"/>
            <w:vAlign w:val="bottom"/>
            <w:tcBorders>
              <w:right w:val="single" w:sz="8" w:color="auto"/>
            </w:tcBorders>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5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tcBorders>
            <w:gridSpan w:val="3"/>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0" w:type="dxa"/>
            <w:vAlign w:val="bottom"/>
            <w:tcBorders>
              <w:right w:val="single" w:sz="8" w:color="auto"/>
            </w:tcBorders>
          </w:tcPr>
          <w:p>
            <w:pPr>
              <w:spacing w:after="0"/>
              <w:rPr>
                <w:sz w:val="20"/>
                <w:szCs w:val="20"/>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22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 Item 3</w:t>
            </w: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8720" w:type="dxa"/>
            <w:vAlign w:val="bottom"/>
            <w:tcBorders>
              <w:bottom w:val="single" w:sz="8" w:color="auto"/>
            </w:tcBorders>
            <w:gridSpan w:val="5"/>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40" w:type="dxa"/>
            <w:vAlign w:val="bottom"/>
            <w:tcBorders>
              <w:right w:val="single" w:sz="8" w:color="auto"/>
            </w:tcBorders>
          </w:tcPr>
          <w:p>
            <w:pPr>
              <w:spacing w:after="0"/>
              <w:rPr>
                <w:sz w:val="24"/>
                <w:szCs w:val="24"/>
                <w:color w:val="auto"/>
              </w:rPr>
            </w:pPr>
          </w:p>
        </w:tc>
        <w:tc>
          <w:tcPr>
            <w:tcW w:w="13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4200" w:type="dxa"/>
            <w:vAlign w:val="bottom"/>
            <w:tcBorders>
              <w:bottom w:val="single" w:sz="8" w:color="auto"/>
            </w:tcBorders>
            <w:gridSpan w:val="4"/>
          </w:tcPr>
          <w:p>
            <w:pPr>
              <w:spacing w:after="0"/>
              <w:rPr>
                <w:sz w:val="17"/>
                <w:szCs w:val="17"/>
                <w:color w:val="auto"/>
              </w:rPr>
            </w:pPr>
          </w:p>
        </w:tc>
        <w:tc>
          <w:tcPr>
            <w:tcW w:w="4520" w:type="dxa"/>
            <w:vAlign w:val="bottom"/>
            <w:tcBorders>
              <w:bottom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520" w:type="dxa"/>
            <w:vAlign w:val="bottom"/>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40" w:type="dxa"/>
            <w:vAlign w:val="bottom"/>
            <w:tcBorders>
              <w:right w:val="single" w:sz="8" w:color="auto"/>
            </w:tcBorders>
          </w:tcPr>
          <w:p>
            <w:pPr>
              <w:spacing w:after="0"/>
              <w:rPr>
                <w:sz w:val="24"/>
                <w:szCs w:val="2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Delaware</w:t>
            </w: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tcBorders>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  0</w:t>
            </w: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720" w:type="dxa"/>
            <w:vAlign w:val="bottom"/>
            <w:tcBorders>
              <w:left w:val="single" w:sz="8" w:color="auto"/>
              <w:right w:val="single" w:sz="8" w:color="auto"/>
            </w:tcBorders>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Borders>
              <w:right w:val="single" w:sz="8" w:color="auto"/>
            </w:tcBorders>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2280" w:type="dxa"/>
            <w:vAlign w:val="bottom"/>
          </w:tcPr>
          <w:p>
            <w:pPr>
              <w:spacing w:after="0"/>
              <w:rPr>
                <w:sz w:val="17"/>
                <w:szCs w:val="17"/>
                <w:color w:val="auto"/>
              </w:rPr>
            </w:pPr>
          </w:p>
        </w:tc>
        <w:tc>
          <w:tcPr>
            <w:tcW w:w="4520" w:type="dxa"/>
            <w:vAlign w:val="bottom"/>
            <w:vMerge w:val="restart"/>
          </w:tcPr>
          <w:p>
            <w:pPr>
              <w:jc w:val="right"/>
              <w:ind w:right="2730"/>
              <w:spacing w:after="0"/>
              <w:rPr>
                <w:sz w:val="20"/>
                <w:szCs w:val="20"/>
                <w:color w:val="auto"/>
              </w:rPr>
            </w:pPr>
            <w:r>
              <w:rPr>
                <w:rFonts w:ascii="Times New Roman" w:cs="Times New Roman" w:eastAsia="Times New Roman" w:hAnsi="Times New Roman"/>
                <w:sz w:val="18"/>
                <w:szCs w:val="18"/>
                <w:color w:val="auto"/>
              </w:rPr>
              <w:t>2,000,000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260" w:type="dxa"/>
            <w:vAlign w:val="bottom"/>
            <w:tcBorders>
              <w:right w:val="single" w:sz="8" w:color="auto"/>
            </w:tcBorders>
            <w:gridSpan w:val="2"/>
          </w:tcPr>
          <w:p>
            <w:pPr>
              <w:jc w:val="center"/>
              <w:ind w:right="350"/>
              <w:spacing w:after="0"/>
              <w:rPr>
                <w:sz w:val="20"/>
                <w:szCs w:val="20"/>
                <w:color w:val="auto"/>
              </w:rPr>
            </w:pPr>
            <w:r>
              <w:rPr>
                <w:rFonts w:ascii="Times New Roman" w:cs="Times New Roman" w:eastAsia="Times New Roman" w:hAnsi="Times New Roman"/>
                <w:sz w:val="18"/>
                <w:szCs w:val="18"/>
                <w:color w:val="auto"/>
              </w:rPr>
              <w:t>SHARES</w:t>
            </w:r>
          </w:p>
        </w:tc>
        <w:tc>
          <w:tcPr>
            <w:tcW w:w="260" w:type="dxa"/>
            <w:vAlign w:val="bottom"/>
          </w:tcPr>
          <w:p>
            <w:pPr>
              <w:spacing w:after="0"/>
              <w:rPr>
                <w:sz w:val="18"/>
                <w:szCs w:val="18"/>
                <w:color w:val="auto"/>
              </w:rPr>
            </w:pPr>
          </w:p>
        </w:tc>
        <w:tc>
          <w:tcPr>
            <w:tcW w:w="540" w:type="dxa"/>
            <w:vAlign w:val="bottom"/>
            <w:tcBorders>
              <w:right w:val="single" w:sz="8" w:color="auto"/>
            </w:tcBorders>
            <w:vMerge w:val="continue"/>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4520" w:type="dxa"/>
            <w:vAlign w:val="bottom"/>
            <w:vMerge w:val="continue"/>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720" w:type="dxa"/>
            <w:vAlign w:val="bottom"/>
            <w:tcBorders>
              <w:left w:val="single" w:sz="8" w:color="auto"/>
              <w:right w:val="single" w:sz="8" w:color="auto"/>
            </w:tcBorders>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22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60" w:type="dxa"/>
            <w:vAlign w:val="bottom"/>
          </w:tcPr>
          <w:p>
            <w:pPr>
              <w:spacing w:after="0"/>
              <w:rPr>
                <w:sz w:val="19"/>
                <w:szCs w:val="19"/>
                <w:color w:val="auto"/>
              </w:rPr>
            </w:pPr>
          </w:p>
        </w:tc>
        <w:tc>
          <w:tcPr>
            <w:tcW w:w="54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9.</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w w:val="99"/>
              </w:rPr>
              <w:t>SOLE DISPOSITIVE POWER</w:t>
            </w:r>
          </w:p>
        </w:tc>
        <w:tc>
          <w:tcPr>
            <w:tcW w:w="4520" w:type="dxa"/>
            <w:vAlign w:val="bottom"/>
          </w:tcPr>
          <w:p>
            <w:pPr>
              <w:jc w:val="right"/>
              <w:ind w:right="4190"/>
              <w:spacing w:after="0"/>
              <w:rPr>
                <w:sz w:val="20"/>
                <w:szCs w:val="20"/>
                <w:color w:val="auto"/>
              </w:rPr>
            </w:pPr>
            <w:r>
              <w:rPr>
                <w:rFonts w:ascii="Times New Roman" w:cs="Times New Roman" w:eastAsia="Times New Roman" w:hAnsi="Times New Roman"/>
                <w:sz w:val="18"/>
                <w:szCs w:val="18"/>
                <w:color w:val="auto"/>
              </w:rPr>
              <w:t>0</w:t>
            </w: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26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22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4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6800" w:type="dxa"/>
            <w:vAlign w:val="bottom"/>
            <w:tcBorders>
              <w:bottom w:val="single" w:sz="8" w:color="auto"/>
            </w:tcBorders>
            <w:gridSpan w:val="2"/>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39"/>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10.</w:t>
            </w: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  2,000,000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gridSpan w:val="2"/>
          </w:tcPr>
          <w:p>
            <w:pPr>
              <w:spacing w:after="0"/>
              <w:rPr>
                <w:sz w:val="19"/>
                <w:szCs w:val="19"/>
                <w:color w:val="auto"/>
              </w:rPr>
            </w:pPr>
          </w:p>
        </w:tc>
        <w:tc>
          <w:tcPr>
            <w:tcW w:w="6800" w:type="dxa"/>
            <w:vAlign w:val="bottom"/>
            <w:tcBorders>
              <w:bottom w:val="single" w:sz="8" w:color="auto"/>
            </w:tcBorders>
            <w:gridSpan w:val="2"/>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40" w:type="dxa"/>
            <w:vAlign w:val="bottom"/>
            <w:tcBorders>
              <w:right w:val="single" w:sz="8" w:color="auto"/>
            </w:tcBorders>
          </w:tcPr>
          <w:p>
            <w:pPr>
              <w:spacing w:after="0"/>
              <w:rPr>
                <w:sz w:val="20"/>
                <w:szCs w:val="20"/>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AGGREGATE AMOUNT</w:t>
            </w:r>
          </w:p>
        </w:tc>
        <w:tc>
          <w:tcPr>
            <w:tcW w:w="6800" w:type="dxa"/>
            <w:vAlign w:val="bottom"/>
            <w:gridSpan w:val="2"/>
          </w:tcPr>
          <w:p>
            <w:pPr>
              <w:jc w:val="right"/>
              <w:ind w:right="2070"/>
              <w:spacing w:after="0"/>
              <w:rPr>
                <w:sz w:val="20"/>
                <w:szCs w:val="20"/>
                <w:color w:val="auto"/>
              </w:rPr>
            </w:pPr>
            <w:r>
              <w:rPr>
                <w:rFonts w:ascii="Times New Roman" w:cs="Times New Roman" w:eastAsia="Times New Roman" w:hAnsi="Times New Roman"/>
                <w:sz w:val="18"/>
                <w:szCs w:val="18"/>
                <w:color w:val="auto"/>
                <w:w w:val="99"/>
              </w:rPr>
              <w:t>BENEFICIALLY OWNED BY EACH REPORTING PERSON</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2,000,000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spacing w:after="0"/>
              <w:rPr>
                <w:sz w:val="19"/>
                <w:szCs w:val="19"/>
                <w:color w:val="auto"/>
              </w:rPr>
            </w:pPr>
          </w:p>
        </w:tc>
        <w:tc>
          <w:tcPr>
            <w:tcW w:w="6800" w:type="dxa"/>
            <w:vAlign w:val="bottom"/>
            <w:tcBorders>
              <w:bottom w:val="single" w:sz="8" w:color="auto"/>
            </w:tcBorders>
            <w:gridSpan w:val="2"/>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0" w:type="dxa"/>
            <w:vAlign w:val="bottom"/>
            <w:tcBorders>
              <w:left w:val="single" w:sz="8" w:color="auto"/>
            </w:tcBorders>
          </w:tcPr>
          <w:p>
            <w:pPr>
              <w:jc w:val="center"/>
              <w:ind w:left="50"/>
              <w:spacing w:after="0" w:line="205" w:lineRule="exact"/>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17"/>
                <w:szCs w:val="17"/>
                <w:color w:val="auto"/>
              </w:rPr>
            </w:pPr>
          </w:p>
        </w:tc>
        <w:tc>
          <w:tcPr>
            <w:tcW w:w="872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CHECK BOX IF THE AGGREGATE AMOUNT IN ROW (11) EXCLUDES</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CERTAIN SHARES</w:t>
            </w:r>
          </w:p>
        </w:tc>
        <w:tc>
          <w:tcPr>
            <w:tcW w:w="22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940" w:type="dxa"/>
            <w:vAlign w:val="bottom"/>
            <w:tcBorders>
              <w:right w:val="single" w:sz="8" w:color="auto"/>
            </w:tcBorders>
            <w:vMerge w:val="restart"/>
          </w:tcPr>
          <w:p>
            <w:pPr>
              <w:ind w:left="1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460" w:type="dxa"/>
            <w:vAlign w:val="bottom"/>
            <w:tcBorders>
              <w:left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9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6800" w:type="dxa"/>
            <w:vAlign w:val="bottom"/>
            <w:tcBorders>
              <w:bottom w:val="single" w:sz="8" w:color="auto"/>
            </w:tcBorders>
            <w:gridSpan w:val="2"/>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right w:val="single" w:sz="8" w:color="auto"/>
            </w:tcBorders>
          </w:tcPr>
          <w:p>
            <w:pPr>
              <w:spacing w:after="0"/>
              <w:rPr>
                <w:sz w:val="20"/>
                <w:szCs w:val="20"/>
                <w:color w:val="auto"/>
              </w:rPr>
            </w:pPr>
          </w:p>
        </w:tc>
        <w:tc>
          <w:tcPr>
            <w:tcW w:w="8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5.68% (</w:t>
            </w:r>
            <w:r>
              <w:rPr>
                <w:rFonts w:ascii="Times New Roman" w:cs="Times New Roman" w:eastAsia="Times New Roman" w:hAnsi="Times New Roman"/>
                <w:sz w:val="18"/>
                <w:szCs w:val="18"/>
                <w:i w:val="1"/>
                <w:iCs w:val="1"/>
                <w:color w:val="auto"/>
                <w:w w:val="98"/>
              </w:rPr>
              <w:t>See Item 5</w:t>
            </w:r>
            <w:r>
              <w:rPr>
                <w:rFonts w:ascii="Times New Roman" w:cs="Times New Roman" w:eastAsia="Times New Roman" w:hAnsi="Times New Roman"/>
                <w:sz w:val="18"/>
                <w:szCs w:val="18"/>
                <w:color w:val="auto"/>
                <w:w w:val="98"/>
              </w:rPr>
              <w:t>)</w:t>
            </w: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right w:val="single" w:sz="8" w:color="auto"/>
            </w:tcBorders>
          </w:tcPr>
          <w:p>
            <w:pPr>
              <w:spacing w:after="0"/>
              <w:rPr>
                <w:sz w:val="20"/>
                <w:szCs w:val="20"/>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452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OO</w:t>
            </w: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87"/>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594" w:right="319" w:bottom="1440" w:gutter="0" w:footer="0" w:header="0"/>
        </w:sectPr>
      </w:pPr>
    </w:p>
    <w:bookmarkStart w:id="3" w:name="page4"/>
    <w:bookmarkEnd w:id="3"/>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7"/>
          <w:szCs w:val="17"/>
          <w:color w:val="auto"/>
        </w:rPr>
        <w:t>12430A300</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460" w:type="dxa"/>
            <w:vAlign w:val="bottom"/>
            <w:tcBorders>
              <w:top w:val="single" w:sz="8" w:color="auto"/>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40" w:type="dxa"/>
            <w:vAlign w:val="bottom"/>
            <w:tcBorders>
              <w:top w:val="single" w:sz="8" w:color="auto"/>
              <w:right w:val="single" w:sz="8" w:color="auto"/>
            </w:tcBorders>
          </w:tcPr>
          <w:p>
            <w:pPr>
              <w:spacing w:after="0"/>
              <w:rPr>
                <w:sz w:val="21"/>
                <w:szCs w:val="21"/>
                <w:color w:val="auto"/>
              </w:rPr>
            </w:pPr>
          </w:p>
        </w:tc>
        <w:tc>
          <w:tcPr>
            <w:tcW w:w="42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4520" w:type="dxa"/>
            <w:vAlign w:val="bottom"/>
            <w:tcBorders>
              <w:top w:val="single" w:sz="8" w:color="auto"/>
            </w:tcBorders>
          </w:tcPr>
          <w:p>
            <w:pPr>
              <w:spacing w:after="0"/>
              <w:rPr>
                <w:sz w:val="21"/>
                <w:szCs w:val="21"/>
                <w:color w:val="auto"/>
              </w:rPr>
            </w:pPr>
          </w:p>
        </w:tc>
        <w:tc>
          <w:tcPr>
            <w:tcW w:w="19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NBCUniversal Media, LLC</w:t>
            </w: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8720" w:type="dxa"/>
            <w:vAlign w:val="bottom"/>
            <w:tcBorders>
              <w:bottom w:val="single" w:sz="8" w:color="auto"/>
            </w:tcBorders>
            <w:gridSpan w:val="5"/>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tcBorders>
          </w:tcPr>
          <w:p>
            <w:pPr>
              <w:jc w:val="center"/>
              <w:ind w:left="50"/>
              <w:spacing w:after="0" w:line="191" w:lineRule="exact"/>
              <w:rPr>
                <w:sz w:val="20"/>
                <w:szCs w:val="20"/>
                <w:color w:val="auto"/>
              </w:rPr>
            </w:pPr>
            <w:r>
              <w:rPr>
                <w:rFonts w:ascii="Times New Roman" w:cs="Times New Roman" w:eastAsia="Times New Roman" w:hAnsi="Times New Roman"/>
                <w:sz w:val="18"/>
                <w:szCs w:val="18"/>
                <w:b w:val="1"/>
                <w:bCs w:val="1"/>
                <w:color w:val="auto"/>
                <w:w w:val="88"/>
              </w:rPr>
              <w:t>2.</w:t>
            </w:r>
          </w:p>
        </w:tc>
        <w:tc>
          <w:tcPr>
            <w:tcW w:w="140" w:type="dxa"/>
            <w:vAlign w:val="bottom"/>
            <w:tcBorders>
              <w:right w:val="single" w:sz="8" w:color="auto"/>
            </w:tcBorders>
          </w:tcPr>
          <w:p>
            <w:pPr>
              <w:spacing w:after="0"/>
              <w:rPr>
                <w:sz w:val="16"/>
                <w:szCs w:val="16"/>
                <w:color w:val="auto"/>
              </w:rPr>
            </w:pPr>
          </w:p>
        </w:tc>
        <w:tc>
          <w:tcPr>
            <w:tcW w:w="872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940" w:type="dxa"/>
            <w:vAlign w:val="bottom"/>
            <w:tcBorders>
              <w:right w:val="single" w:sz="8" w:color="auto"/>
            </w:tcBorders>
          </w:tcPr>
          <w:p>
            <w:pPr>
              <w:ind w:left="480"/>
              <w:spacing w:after="0" w:line="191"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ind w:left="4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1"/>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tcBorders>
            <w:gridSpan w:val="2"/>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0" w:type="dxa"/>
            <w:vAlign w:val="bottom"/>
            <w:tcBorders>
              <w:right w:val="single" w:sz="8" w:color="auto"/>
            </w:tcBorders>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5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tcBorders>
            <w:gridSpan w:val="3"/>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0" w:type="dxa"/>
            <w:vAlign w:val="bottom"/>
            <w:tcBorders>
              <w:right w:val="single" w:sz="8" w:color="auto"/>
            </w:tcBorders>
          </w:tcPr>
          <w:p>
            <w:pPr>
              <w:spacing w:after="0"/>
              <w:rPr>
                <w:sz w:val="20"/>
                <w:szCs w:val="20"/>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22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 Item 3</w:t>
            </w: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8720" w:type="dxa"/>
            <w:vAlign w:val="bottom"/>
            <w:tcBorders>
              <w:bottom w:val="single" w:sz="8" w:color="auto"/>
            </w:tcBorders>
            <w:gridSpan w:val="5"/>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40" w:type="dxa"/>
            <w:vAlign w:val="bottom"/>
            <w:tcBorders>
              <w:right w:val="single" w:sz="8" w:color="auto"/>
            </w:tcBorders>
          </w:tcPr>
          <w:p>
            <w:pPr>
              <w:spacing w:after="0"/>
              <w:rPr>
                <w:sz w:val="24"/>
                <w:szCs w:val="24"/>
                <w:color w:val="auto"/>
              </w:rPr>
            </w:pPr>
          </w:p>
        </w:tc>
        <w:tc>
          <w:tcPr>
            <w:tcW w:w="13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4200" w:type="dxa"/>
            <w:vAlign w:val="bottom"/>
            <w:tcBorders>
              <w:bottom w:val="single" w:sz="8" w:color="auto"/>
            </w:tcBorders>
            <w:gridSpan w:val="4"/>
          </w:tcPr>
          <w:p>
            <w:pPr>
              <w:spacing w:after="0"/>
              <w:rPr>
                <w:sz w:val="17"/>
                <w:szCs w:val="17"/>
                <w:color w:val="auto"/>
              </w:rPr>
            </w:pPr>
          </w:p>
        </w:tc>
        <w:tc>
          <w:tcPr>
            <w:tcW w:w="4520" w:type="dxa"/>
            <w:vAlign w:val="bottom"/>
            <w:tcBorders>
              <w:bottom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520" w:type="dxa"/>
            <w:vAlign w:val="bottom"/>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40" w:type="dxa"/>
            <w:vAlign w:val="bottom"/>
            <w:tcBorders>
              <w:right w:val="single" w:sz="8" w:color="auto"/>
            </w:tcBorders>
          </w:tcPr>
          <w:p>
            <w:pPr>
              <w:spacing w:after="0"/>
              <w:rPr>
                <w:sz w:val="24"/>
                <w:szCs w:val="2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Delaware</w:t>
            </w: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tcBorders>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  0</w:t>
            </w: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720" w:type="dxa"/>
            <w:vAlign w:val="bottom"/>
            <w:tcBorders>
              <w:left w:val="single" w:sz="8" w:color="auto"/>
              <w:right w:val="single" w:sz="8" w:color="auto"/>
            </w:tcBorders>
            <w:gridSpan w:val="3"/>
            <w:vMerge w:val="continue"/>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Borders>
              <w:right w:val="single" w:sz="8" w:color="auto"/>
            </w:tcBorders>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4520" w:type="dxa"/>
            <w:vAlign w:val="bottom"/>
            <w:vMerge w:val="restart"/>
          </w:tcPr>
          <w:p>
            <w:pPr>
              <w:jc w:val="right"/>
              <w:ind w:right="2730"/>
              <w:spacing w:after="0"/>
              <w:rPr>
                <w:sz w:val="20"/>
                <w:szCs w:val="20"/>
                <w:color w:val="auto"/>
              </w:rPr>
            </w:pPr>
            <w:r>
              <w:rPr>
                <w:rFonts w:ascii="Times New Roman" w:cs="Times New Roman" w:eastAsia="Times New Roman" w:hAnsi="Times New Roman"/>
                <w:sz w:val="18"/>
                <w:szCs w:val="18"/>
                <w:color w:val="auto"/>
              </w:rPr>
              <w:t>2,000,000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9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260" w:type="dxa"/>
            <w:vAlign w:val="bottom"/>
            <w:tcBorders>
              <w:right w:val="single" w:sz="8" w:color="auto"/>
            </w:tcBorders>
            <w:gridSpan w:val="2"/>
          </w:tcPr>
          <w:p>
            <w:pPr>
              <w:jc w:val="center"/>
              <w:ind w:right="350"/>
              <w:spacing w:after="0"/>
              <w:rPr>
                <w:sz w:val="20"/>
                <w:szCs w:val="20"/>
                <w:color w:val="auto"/>
              </w:rPr>
            </w:pPr>
            <w:r>
              <w:rPr>
                <w:rFonts w:ascii="Times New Roman" w:cs="Times New Roman" w:eastAsia="Times New Roman" w:hAnsi="Times New Roman"/>
                <w:sz w:val="18"/>
                <w:szCs w:val="18"/>
                <w:color w:val="auto"/>
              </w:rPr>
              <w:t>SHARES</w:t>
            </w:r>
          </w:p>
        </w:tc>
        <w:tc>
          <w:tcPr>
            <w:tcW w:w="260" w:type="dxa"/>
            <w:vAlign w:val="bottom"/>
          </w:tcPr>
          <w:p>
            <w:pPr>
              <w:spacing w:after="0"/>
              <w:rPr>
                <w:sz w:val="18"/>
                <w:szCs w:val="18"/>
                <w:color w:val="auto"/>
              </w:rPr>
            </w:pPr>
          </w:p>
        </w:tc>
        <w:tc>
          <w:tcPr>
            <w:tcW w:w="540" w:type="dxa"/>
            <w:vAlign w:val="bottom"/>
            <w:tcBorders>
              <w:right w:val="single" w:sz="8" w:color="auto"/>
            </w:tcBorders>
            <w:vMerge w:val="continue"/>
          </w:tcPr>
          <w:p>
            <w:pPr>
              <w:spacing w:after="0"/>
              <w:rPr>
                <w:sz w:val="18"/>
                <w:szCs w:val="18"/>
                <w:color w:val="auto"/>
              </w:rPr>
            </w:pPr>
          </w:p>
        </w:tc>
        <w:tc>
          <w:tcPr>
            <w:tcW w:w="2280" w:type="dxa"/>
            <w:vAlign w:val="bottom"/>
            <w:vMerge w:val="continue"/>
          </w:tcPr>
          <w:p>
            <w:pPr>
              <w:spacing w:after="0"/>
              <w:rPr>
                <w:sz w:val="18"/>
                <w:szCs w:val="18"/>
                <w:color w:val="auto"/>
              </w:rPr>
            </w:pPr>
          </w:p>
        </w:tc>
        <w:tc>
          <w:tcPr>
            <w:tcW w:w="4520" w:type="dxa"/>
            <w:vAlign w:val="bottom"/>
            <w:vMerge w:val="continue"/>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6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20" w:type="dxa"/>
            <w:vAlign w:val="bottom"/>
            <w:tcBorders>
              <w:left w:val="single" w:sz="8" w:color="auto"/>
              <w:right w:val="single" w:sz="8" w:color="auto"/>
            </w:tcBorders>
            <w:gridSpan w:val="3"/>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OWNED BY EACH</w:t>
            </w:r>
          </w:p>
        </w:tc>
        <w:tc>
          <w:tcPr>
            <w:tcW w:w="26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60" w:type="dxa"/>
            <w:vAlign w:val="bottom"/>
          </w:tcPr>
          <w:p>
            <w:pPr>
              <w:spacing w:after="0"/>
              <w:rPr>
                <w:sz w:val="20"/>
                <w:szCs w:val="20"/>
                <w:color w:val="auto"/>
              </w:rPr>
            </w:pPr>
          </w:p>
        </w:tc>
        <w:tc>
          <w:tcPr>
            <w:tcW w:w="54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9.</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w w:val="99"/>
              </w:rPr>
              <w:t>SOLE DISPOSITIVE POWER</w:t>
            </w:r>
          </w:p>
        </w:tc>
        <w:tc>
          <w:tcPr>
            <w:tcW w:w="4520" w:type="dxa"/>
            <w:vAlign w:val="bottom"/>
          </w:tcPr>
          <w:p>
            <w:pPr>
              <w:jc w:val="right"/>
              <w:ind w:right="4190"/>
              <w:spacing w:after="0"/>
              <w:rPr>
                <w:sz w:val="20"/>
                <w:szCs w:val="20"/>
                <w:color w:val="auto"/>
              </w:rPr>
            </w:pPr>
            <w:r>
              <w:rPr>
                <w:rFonts w:ascii="Times New Roman" w:cs="Times New Roman" w:eastAsia="Times New Roman" w:hAnsi="Times New Roman"/>
                <w:sz w:val="18"/>
                <w:szCs w:val="18"/>
                <w:color w:val="auto"/>
              </w:rPr>
              <w:t>0</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26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22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4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6800" w:type="dxa"/>
            <w:vAlign w:val="bottom"/>
            <w:tcBorders>
              <w:bottom w:val="single" w:sz="8" w:color="auto"/>
            </w:tcBorders>
            <w:gridSpan w:val="2"/>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39"/>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10.</w:t>
            </w: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  2,000,000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gridSpan w:val="2"/>
          </w:tcPr>
          <w:p>
            <w:pPr>
              <w:spacing w:after="0"/>
              <w:rPr>
                <w:sz w:val="19"/>
                <w:szCs w:val="19"/>
                <w:color w:val="auto"/>
              </w:rPr>
            </w:pPr>
          </w:p>
        </w:tc>
        <w:tc>
          <w:tcPr>
            <w:tcW w:w="6800" w:type="dxa"/>
            <w:vAlign w:val="bottom"/>
            <w:tcBorders>
              <w:bottom w:val="single" w:sz="8" w:color="auto"/>
            </w:tcBorders>
            <w:gridSpan w:val="2"/>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40" w:type="dxa"/>
            <w:vAlign w:val="bottom"/>
            <w:tcBorders>
              <w:right w:val="single" w:sz="8" w:color="auto"/>
            </w:tcBorders>
          </w:tcPr>
          <w:p>
            <w:pPr>
              <w:spacing w:after="0"/>
              <w:rPr>
                <w:sz w:val="20"/>
                <w:szCs w:val="20"/>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AGGREGATE AMOUNT</w:t>
            </w:r>
          </w:p>
        </w:tc>
        <w:tc>
          <w:tcPr>
            <w:tcW w:w="6800" w:type="dxa"/>
            <w:vAlign w:val="bottom"/>
            <w:gridSpan w:val="2"/>
          </w:tcPr>
          <w:p>
            <w:pPr>
              <w:jc w:val="right"/>
              <w:ind w:right="2070"/>
              <w:spacing w:after="0"/>
              <w:rPr>
                <w:sz w:val="20"/>
                <w:szCs w:val="20"/>
                <w:color w:val="auto"/>
              </w:rPr>
            </w:pPr>
            <w:r>
              <w:rPr>
                <w:rFonts w:ascii="Times New Roman" w:cs="Times New Roman" w:eastAsia="Times New Roman" w:hAnsi="Times New Roman"/>
                <w:sz w:val="18"/>
                <w:szCs w:val="18"/>
                <w:color w:val="auto"/>
                <w:w w:val="99"/>
              </w:rPr>
              <w:t>BENEFICIALLY OWNED BY EACH REPORTING PERSON</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2,000,000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spacing w:after="0"/>
              <w:rPr>
                <w:sz w:val="19"/>
                <w:szCs w:val="19"/>
                <w:color w:val="auto"/>
              </w:rPr>
            </w:pPr>
          </w:p>
        </w:tc>
        <w:tc>
          <w:tcPr>
            <w:tcW w:w="6800" w:type="dxa"/>
            <w:vAlign w:val="bottom"/>
            <w:tcBorders>
              <w:bottom w:val="single" w:sz="8" w:color="auto"/>
            </w:tcBorders>
            <w:gridSpan w:val="2"/>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0" w:type="dxa"/>
            <w:vAlign w:val="bottom"/>
            <w:tcBorders>
              <w:left w:val="single" w:sz="8" w:color="auto"/>
            </w:tcBorders>
          </w:tcPr>
          <w:p>
            <w:pPr>
              <w:jc w:val="center"/>
              <w:ind w:left="50"/>
              <w:spacing w:after="0" w:line="205" w:lineRule="exact"/>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17"/>
                <w:szCs w:val="17"/>
                <w:color w:val="auto"/>
              </w:rPr>
            </w:pPr>
          </w:p>
        </w:tc>
        <w:tc>
          <w:tcPr>
            <w:tcW w:w="872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CHECK BOX IF THE AGGREGATE AMOUNT IN ROW (11) EXCLUDES</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CERTAIN SHARES</w:t>
            </w:r>
          </w:p>
        </w:tc>
        <w:tc>
          <w:tcPr>
            <w:tcW w:w="22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940" w:type="dxa"/>
            <w:vAlign w:val="bottom"/>
            <w:tcBorders>
              <w:right w:val="single" w:sz="8" w:color="auto"/>
            </w:tcBorders>
            <w:vMerge w:val="restart"/>
          </w:tcPr>
          <w:p>
            <w:pPr>
              <w:ind w:left="1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460" w:type="dxa"/>
            <w:vAlign w:val="bottom"/>
            <w:tcBorders>
              <w:left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9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6800" w:type="dxa"/>
            <w:vAlign w:val="bottom"/>
            <w:tcBorders>
              <w:bottom w:val="single" w:sz="8" w:color="auto"/>
            </w:tcBorders>
            <w:gridSpan w:val="2"/>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right w:val="single" w:sz="8" w:color="auto"/>
            </w:tcBorders>
          </w:tcPr>
          <w:p>
            <w:pPr>
              <w:spacing w:after="0"/>
              <w:rPr>
                <w:sz w:val="20"/>
                <w:szCs w:val="20"/>
                <w:color w:val="auto"/>
              </w:rPr>
            </w:pPr>
          </w:p>
        </w:tc>
        <w:tc>
          <w:tcPr>
            <w:tcW w:w="8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5.68% (</w:t>
            </w:r>
            <w:r>
              <w:rPr>
                <w:rFonts w:ascii="Times New Roman" w:cs="Times New Roman" w:eastAsia="Times New Roman" w:hAnsi="Times New Roman"/>
                <w:sz w:val="18"/>
                <w:szCs w:val="18"/>
                <w:i w:val="1"/>
                <w:iCs w:val="1"/>
                <w:color w:val="auto"/>
                <w:w w:val="98"/>
              </w:rPr>
              <w:t>See Item 5</w:t>
            </w:r>
            <w:r>
              <w:rPr>
                <w:rFonts w:ascii="Times New Roman" w:cs="Times New Roman" w:eastAsia="Times New Roman" w:hAnsi="Times New Roman"/>
                <w:sz w:val="18"/>
                <w:szCs w:val="18"/>
                <w:color w:val="auto"/>
                <w:w w:val="98"/>
              </w:rPr>
              <w:t>)</w:t>
            </w: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right w:val="single" w:sz="8" w:color="auto"/>
            </w:tcBorders>
          </w:tcPr>
          <w:p>
            <w:pPr>
              <w:spacing w:after="0"/>
              <w:rPr>
                <w:sz w:val="20"/>
                <w:szCs w:val="20"/>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452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OO</w:t>
            </w: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88"/>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594" w:right="3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4 to Schedule 13D</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following constitutes Amendment No. 4 (“Amendment No. 4”) to the Schedule 13D filed with the Securities and Exchange Commission (“SEC”) by Comcast Corporation, NBCUniversal, LLC and NBCUniversal Media, LLC (collectively, the “Reporting Persons”) on December 13, 2021, as amended by Amendment No. 1 filed with the SEC on February 1, 2023, Amendment No. 2 filed with the SEC on February 6, 2023 and Amendment No. 3 filed with the SEC on February 21, 2023 (collectively, “Schedule 13D”). This Amendment No. 4 amends, supplements and restates the Schedule 13D as specifically set forth herein. This Amendment No. 4 does not restate disclosures in the Schedule 13D that are not being amended and should be read in conjunction with the Schedule 13D. All capitalized terms contained herein but not otherwise defined shall have the meanings ascribed to such terms in the Schedule 13D. Information given in response to each item shall be deemed incorporated by reference in all other items, as applicable.</w:t>
      </w:r>
    </w:p>
    <w:p>
      <w:pPr>
        <w:spacing w:after="0" w:line="18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This Amendment No. 4 relates to the Class A Common Stock, par value $0.0001 per share (“Class A Common Stock”) of BuzzFeed, Inc., a Delaware corporation (the “Issuer”). On May 22, 2024, the Reporting Persons sold 3,176,923 shares of Class A Common Stock in the open market.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Amendment is filed to reflect the changes in the outstanding ownership held by the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Item 2 is hereby amended and restated to update the name, residence or business address, present principal occupation or employment and citizenship of each director and executive officer of the Reporting Persons as set forth on Schedule A to this Amendment No. 4. None of the Reporting Persons, nor, to the best knowledge of the Reporting Persons, any person named in Schedule A to this Amendment No. 4 has, during the last five years, been convicted of a criminal proceeding (excluding traffic violations or similar misdemeanors) or been a party to a civil proceeding of a judicial or administrative body of competent jurisdiction resulting in a judgment, decree or final order enjoining future violations of, or prohibiting or mandating activities subject to, federal or state securities laws or finding any violation with respect to such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December 4, 2023, the Reporting Persons acquired 1,200,000 shares of Class A Common Stock pursuant to the terms of the Amended and Restated Escrow Agreement (the “Escrow Agreement”) dated as of December 3, 2021 and entered into by and among (i) PNC Bank, National Association;</w:t>
      </w:r>
    </w:p>
    <w:p>
      <w:pPr>
        <w:jc w:val="both"/>
        <w:ind w:right="20" w:firstLine="8"/>
        <w:spacing w:after="0" w:line="253"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NBCUniversal Media, LLC; (iii) Jonah Peretti; and (iv) Jonah Peretti, LLC. Pursuant to the terms of the Escrow Agreement, because the daily volume-weighted average price of one share of Class A Common Stock of the Issuer for the 15 consecutive trading days ending on December 1, 2023 was less than $12.50 per share, the Convertible Rights (as defined in the Escrow Agreement) converted into 1,200,00 shares of Class A Common Stock for no consideration. The Escrow Agreement expired on December 3,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5(a)-(b) is hereby amended and restated as follows:</w:t>
      </w:r>
    </w:p>
    <w:p>
      <w:pPr>
        <w:spacing w:after="0" w:line="225" w:lineRule="exact"/>
        <w:rPr>
          <w:sz w:val="20"/>
          <w:szCs w:val="20"/>
          <w:color w:val="auto"/>
        </w:rPr>
      </w:pPr>
    </w:p>
    <w:p>
      <w:pPr>
        <w:ind w:left="660" w:hanging="328"/>
        <w:spacing w:after="0" w:line="25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responses of the Reporting Persons to Rows (11) through (13) of the cover pages of this Schedule are incorporated herein by reference. As of May 22, 2024, the Reporting Persons shared beneficial ownership of an aggregate of 2,000,000 shares of Class A Common Stock of the Issuer, which is equal to approximately 5.68% of the outstanding shares of Class A Common Stock of the Issuer, based on 35,240,395 shares of Class A Common Stock of the Issuer that were outstanding as of May 10, 2024, as reported in the Issuer’s Quarterly Report on Form 10-Q for the quarterly period ended March 31, 2024 (the “Issuer’s Most Recent Quarterly Report”). However, the Reporting Persons’ 2,000,000 shares of Class A Common Stock represent less than 2% of the total voting power of all outstanding shares of the Issuer’s Class A Common Stock, Class B Common Stock and Class C Common Stock on a combined basis, as of May 10, 2024, based on information disclosed in the Issuer’s Most Recent Quarterly Report.</w:t>
      </w:r>
    </w:p>
    <w:p>
      <w:pPr>
        <w:spacing w:after="0" w:line="191"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Item 5(a), none of the Reporting Persons nor, to the best of their knowledge, any of their directors or executive officers, beneficially owns any shares of Class A Common Stock of the Issuer.</w:t>
      </w:r>
    </w:p>
    <w:p>
      <w:pPr>
        <w:spacing w:after="0" w:line="16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response of the Reporting Persons to (i) Rows (7) through (10) of the cover pages of this Schedule and (ii) Item 5(a) hereof are incorporated herein by reference.</w:t>
      </w:r>
    </w:p>
    <w:p>
      <w:pPr>
        <w:spacing w:after="0" w:line="161" w:lineRule="exact"/>
        <w:rPr>
          <w:rFonts w:ascii="Times New Roman" w:cs="Times New Roman" w:eastAsia="Times New Roman" w:hAnsi="Times New Roman"/>
          <w:sz w:val="18"/>
          <w:szCs w:val="18"/>
          <w:color w:val="auto"/>
        </w:rPr>
      </w:pPr>
    </w:p>
    <w:p>
      <w:pPr>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Item 5(b), none of the Reporting Persons, nor to the best of their knowledge, any of their directors or executive officers, presently has the power to vote or direct the vote or to dispose or direct the disposition of any of the shares of Class A Common Stock of the Issuer which they may be deemed to beneficially own.</w:t>
      </w:r>
    </w:p>
    <w:p>
      <w:pPr>
        <w:spacing w:after="0" w:line="175" w:lineRule="exact"/>
        <w:rPr>
          <w:rFonts w:ascii="Times New Roman" w:cs="Times New Roman" w:eastAsia="Times New Roman" w:hAnsi="Times New Roman"/>
          <w:sz w:val="18"/>
          <w:szCs w:val="18"/>
          <w:color w:val="auto"/>
        </w:rPr>
      </w:pPr>
    </w:p>
    <w:p>
      <w:pPr>
        <w:jc w:val="both"/>
        <w:ind w:left="660" w:right="1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Item 3 of this Schedule, which is incorporated herein by reference, none of the Reporting Persons, nor, to the best of their knowledge, any of their directors or executive officers, has effected any transaction in the shares of Class A Common Stock of the Issuer during the past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24,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00" w:lineRule="exact"/>
        <w:rPr>
          <w:sz w:val="20"/>
          <w:szCs w:val="20"/>
          <w:color w:val="auto"/>
        </w:rPr>
      </w:pPr>
    </w:p>
    <w:p>
      <w:pPr>
        <w:spacing w:after="0" w:line="295" w:lineRule="exact"/>
        <w:rPr>
          <w:sz w:val="20"/>
          <w:szCs w:val="20"/>
          <w:color w:val="auto"/>
        </w:rPr>
      </w:pPr>
    </w:p>
    <w:p>
      <w:pPr>
        <w:ind w:left="5640"/>
        <w:spacing w:after="0"/>
        <w:tabs>
          <w:tab w:leader="none" w:pos="6120" w:val="left"/>
        </w:tabs>
        <w:rPr>
          <w:sz w:val="20"/>
          <w:szCs w:val="20"/>
          <w:color w:val="auto"/>
        </w:rPr>
      </w:pPr>
      <w:r>
        <w:rPr>
          <w:rFonts w:ascii="Times New Roman" w:cs="Times New Roman" w:eastAsia="Times New Roman" w:hAnsi="Times New Roman"/>
          <w:sz w:val="18"/>
          <w:szCs w:val="18"/>
          <w:color w:val="auto"/>
        </w:rPr>
        <w:t>By:</w:t>
        <w:tab/>
        <w:t>/s/ Elizabeth Wideman</w:t>
      </w:r>
    </w:p>
    <w:p>
      <w:pPr>
        <w:spacing w:after="0" w:line="27" w:lineRule="exact"/>
        <w:rPr>
          <w:sz w:val="20"/>
          <w:szCs w:val="20"/>
          <w:color w:val="auto"/>
        </w:rPr>
      </w:pPr>
    </w:p>
    <w:tbl>
      <w:tblPr>
        <w:tblLayout w:type="fixed"/>
        <w:tblInd w:w="6100" w:type="dxa"/>
        <w:tblCellMar>
          <w:top w:w="0" w:type="dxa"/>
          <w:left w:w="0" w:type="dxa"/>
          <w:bottom w:w="0" w:type="dxa"/>
          <w:right w:w="0" w:type="dxa"/>
        </w:tblCellMar>
      </w:tblPr>
      <w:tr>
        <w:trPr>
          <w:trHeight w:val="205"/>
        </w:trPr>
        <w:tc>
          <w:tcPr>
            <w:tcW w:w="5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Elizabeth Wideman</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Senior Deputy General Counsel and</w:t>
            </w:r>
          </w:p>
        </w:tc>
      </w:tr>
      <w:tr>
        <w:trPr>
          <w:trHeight w:val="234"/>
        </w:trPr>
        <w:tc>
          <w:tcPr>
            <w:tcW w:w="560" w:type="dxa"/>
            <w:vAlign w:val="bottom"/>
          </w:tcPr>
          <w:p>
            <w:pPr>
              <w:spacing w:after="0"/>
              <w:rPr>
                <w:sz w:val="20"/>
                <w:szCs w:val="20"/>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Assistant Secretary</w:t>
            </w:r>
          </w:p>
        </w:tc>
      </w:tr>
    </w:tbl>
    <w:p>
      <w:pPr>
        <w:spacing w:after="0" w:line="200" w:lineRule="exact"/>
        <w:rPr>
          <w:sz w:val="20"/>
          <w:szCs w:val="20"/>
          <w:color w:val="auto"/>
        </w:rPr>
      </w:pPr>
    </w:p>
    <w:p>
      <w:pPr>
        <w:spacing w:after="0" w:line="2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NBCUNIVERSAL, LLC</w:t>
      </w:r>
    </w:p>
    <w:p>
      <w:pPr>
        <w:spacing w:after="0" w:line="200" w:lineRule="exact"/>
        <w:rPr>
          <w:sz w:val="20"/>
          <w:szCs w:val="20"/>
          <w:color w:val="auto"/>
        </w:rPr>
      </w:pPr>
    </w:p>
    <w:p>
      <w:pPr>
        <w:spacing w:after="0" w:line="295" w:lineRule="exact"/>
        <w:rPr>
          <w:sz w:val="20"/>
          <w:szCs w:val="20"/>
          <w:color w:val="auto"/>
        </w:rPr>
      </w:pPr>
    </w:p>
    <w:p>
      <w:pPr>
        <w:ind w:left="5640"/>
        <w:spacing w:after="0"/>
        <w:tabs>
          <w:tab w:leader="none" w:pos="6120" w:val="left"/>
        </w:tabs>
        <w:rPr>
          <w:sz w:val="20"/>
          <w:szCs w:val="20"/>
          <w:color w:val="auto"/>
        </w:rPr>
      </w:pPr>
      <w:r>
        <w:rPr>
          <w:rFonts w:ascii="Times New Roman" w:cs="Times New Roman" w:eastAsia="Times New Roman" w:hAnsi="Times New Roman"/>
          <w:sz w:val="18"/>
          <w:szCs w:val="18"/>
          <w:color w:val="auto"/>
        </w:rPr>
        <w:t>By:</w:t>
        <w:tab/>
        <w:t>/s/ Elizabeth Wideman</w:t>
      </w:r>
    </w:p>
    <w:p>
      <w:pPr>
        <w:spacing w:after="0" w:line="27" w:lineRule="exact"/>
        <w:rPr>
          <w:sz w:val="20"/>
          <w:szCs w:val="20"/>
          <w:color w:val="auto"/>
        </w:rPr>
      </w:pPr>
    </w:p>
    <w:tbl>
      <w:tblPr>
        <w:tblLayout w:type="fixed"/>
        <w:tblInd w:w="6100" w:type="dxa"/>
        <w:tblCellMar>
          <w:top w:w="0" w:type="dxa"/>
          <w:left w:w="0" w:type="dxa"/>
          <w:bottom w:w="0" w:type="dxa"/>
          <w:right w:w="0" w:type="dxa"/>
        </w:tblCellMar>
      </w:tblPr>
      <w:tr>
        <w:trPr>
          <w:trHeight w:val="205"/>
        </w:trPr>
        <w:tc>
          <w:tcPr>
            <w:tcW w:w="5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Elizabeth Wideman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and Assistant Secretary</w:t>
            </w:r>
          </w:p>
        </w:tc>
      </w:tr>
    </w:tbl>
    <w:p>
      <w:pPr>
        <w:spacing w:after="0" w:line="200" w:lineRule="exact"/>
        <w:rPr>
          <w:sz w:val="20"/>
          <w:szCs w:val="20"/>
          <w:color w:val="auto"/>
        </w:rPr>
      </w:pPr>
    </w:p>
    <w:p>
      <w:pPr>
        <w:spacing w:after="0" w:line="29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NBCUNIVERSAL MEDIA, LLC</w:t>
      </w:r>
    </w:p>
    <w:p>
      <w:pPr>
        <w:spacing w:after="0" w:line="200" w:lineRule="exact"/>
        <w:rPr>
          <w:sz w:val="20"/>
          <w:szCs w:val="20"/>
          <w:color w:val="auto"/>
        </w:rPr>
      </w:pPr>
    </w:p>
    <w:p>
      <w:pPr>
        <w:spacing w:after="0" w:line="295" w:lineRule="exact"/>
        <w:rPr>
          <w:sz w:val="20"/>
          <w:szCs w:val="20"/>
          <w:color w:val="auto"/>
        </w:rPr>
      </w:pPr>
    </w:p>
    <w:p>
      <w:pPr>
        <w:ind w:left="5640"/>
        <w:spacing w:after="0"/>
        <w:tabs>
          <w:tab w:leader="none" w:pos="6120" w:val="left"/>
        </w:tabs>
        <w:rPr>
          <w:sz w:val="20"/>
          <w:szCs w:val="20"/>
          <w:color w:val="auto"/>
        </w:rPr>
      </w:pPr>
      <w:r>
        <w:rPr>
          <w:rFonts w:ascii="Times New Roman" w:cs="Times New Roman" w:eastAsia="Times New Roman" w:hAnsi="Times New Roman"/>
          <w:sz w:val="18"/>
          <w:szCs w:val="18"/>
          <w:color w:val="auto"/>
        </w:rPr>
        <w:t>By:</w:t>
        <w:tab/>
        <w:t>/s/ Elizabeth Wideman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00" w:type="dxa"/>
            <w:vAlign w:val="bottom"/>
          </w:tcPr>
          <w:p>
            <w:pPr>
              <w:spacing w:after="0"/>
              <w:rPr>
                <w:sz w:val="17"/>
                <w:szCs w:val="17"/>
                <w:color w:val="auto"/>
              </w:rPr>
            </w:pPr>
          </w:p>
        </w:tc>
        <w:tc>
          <w:tcPr>
            <w:tcW w:w="5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Elizabeth Wideman</w:t>
            </w:r>
          </w:p>
        </w:tc>
      </w:tr>
      <w:tr>
        <w:trPr>
          <w:trHeight w:val="234"/>
        </w:trPr>
        <w:tc>
          <w:tcPr>
            <w:tcW w:w="61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and Assistant Secretary</w:t>
            </w:r>
          </w:p>
        </w:tc>
      </w:tr>
      <w:tr>
        <w:trPr>
          <w:trHeight w:val="378"/>
        </w:trPr>
        <w:tc>
          <w:tcPr>
            <w:tcW w:w="6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THE REPORTING PERSONS</w:t>
      </w:r>
      <w:r>
        <w:rPr>
          <w:rFonts w:ascii="Times New Roman" w:cs="Times New Roman" w:eastAsia="Times New Roman" w:hAnsi="Times New Roman"/>
          <w:sz w:val="29"/>
          <w:szCs w:val="29"/>
          <w:color w:val="auto"/>
          <w:vertAlign w:val="superscript"/>
        </w:rPr>
        <w:t>(1)</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name, business address, title, present principal occupation or employment of each of the directors and executive officers of Comcast Corporation (“Comcast”) are set forth below. If no business address is given, the director’s or officer’s business address is One Comcast Center,</w:t>
      </w:r>
    </w:p>
    <w:p>
      <w:pPr>
        <w:spacing w:after="0" w:line="209" w:lineRule="auto"/>
        <w:rPr>
          <w:sz w:val="20"/>
          <w:szCs w:val="20"/>
          <w:color w:val="auto"/>
        </w:rPr>
      </w:pPr>
      <w:r>
        <w:rPr>
          <w:rFonts w:ascii="Times New Roman" w:cs="Times New Roman" w:eastAsia="Times New Roman" w:hAnsi="Times New Roman"/>
          <w:sz w:val="18"/>
          <w:szCs w:val="18"/>
          <w:color w:val="auto"/>
        </w:rPr>
        <w:t>Philadelphia, Pennsylvania 19103-2838. Unless otherwise indicated, each occupation set forth opposite an individual’s name refers to Comcast.</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All of the persons listed below are citizens of the United States of America.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722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rPr>
              <w:t>Present Principal Occupation</w:t>
            </w:r>
          </w:p>
        </w:tc>
      </w:tr>
      <w:tr>
        <w:trPr>
          <w:trHeight w:val="238"/>
        </w:trPr>
        <w:tc>
          <w:tcPr>
            <w:tcW w:w="40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Name and Business Address</w:t>
            </w:r>
          </w:p>
        </w:tc>
        <w:tc>
          <w:tcPr>
            <w:tcW w:w="722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8"/>
                <w:szCs w:val="18"/>
                <w:b w:val="1"/>
                <w:bCs w:val="1"/>
                <w:color w:val="auto"/>
              </w:rPr>
              <w:t>(Name and Principal Business of Employer)</w:t>
            </w: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Directors</w:t>
            </w:r>
          </w:p>
        </w:tc>
        <w:tc>
          <w:tcPr>
            <w:tcW w:w="7220" w:type="dxa"/>
            <w:vAlign w:val="bottom"/>
          </w:tcPr>
          <w:p>
            <w:pPr>
              <w:spacing w:after="0"/>
              <w:rPr>
                <w:sz w:val="19"/>
                <w:szCs w:val="19"/>
                <w:color w:val="auto"/>
              </w:rPr>
            </w:pPr>
          </w:p>
        </w:tc>
      </w:tr>
      <w:tr>
        <w:trPr>
          <w:trHeight w:val="43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Kenneth J. Bacon</w:t>
            </w: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Partner at RailField Partners, a financial advisory and asset management firm</w:t>
            </w:r>
          </w:p>
        </w:tc>
      </w:tr>
      <w:tr>
        <w:trPr>
          <w:trHeight w:val="441"/>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Thomas J. Baltimore, Jr.</w:t>
            </w: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Chairman, President and Chief Executive Officer of Park Hotels &amp; Resorts, a lodging and</w:t>
            </w:r>
          </w:p>
        </w:tc>
      </w:tr>
      <w:tr>
        <w:trPr>
          <w:trHeight w:val="234"/>
        </w:trPr>
        <w:tc>
          <w:tcPr>
            <w:tcW w:w="4020" w:type="dxa"/>
            <w:vAlign w:val="bottom"/>
          </w:tcPr>
          <w:p>
            <w:pPr>
              <w:spacing w:after="0"/>
              <w:rPr>
                <w:sz w:val="20"/>
                <w:szCs w:val="20"/>
                <w:color w:val="auto"/>
              </w:rPr>
            </w:pP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real estate investment trust</w:t>
            </w:r>
          </w:p>
        </w:tc>
      </w:tr>
      <w:tr>
        <w:trPr>
          <w:trHeight w:val="441"/>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Madeline S. Bell</w:t>
            </w: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President and Chief Executive Officer of The Children’s Hospital of Philadelphia, a top-</w:t>
            </w:r>
          </w:p>
        </w:tc>
      </w:tr>
      <w:tr>
        <w:trPr>
          <w:trHeight w:val="234"/>
        </w:trPr>
        <w:tc>
          <w:tcPr>
            <w:tcW w:w="4020" w:type="dxa"/>
            <w:vAlign w:val="bottom"/>
          </w:tcPr>
          <w:p>
            <w:pPr>
              <w:spacing w:after="0"/>
              <w:rPr>
                <w:sz w:val="20"/>
                <w:szCs w:val="20"/>
                <w:color w:val="auto"/>
              </w:rPr>
            </w:pP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ranked children’s hospital</w:t>
            </w:r>
          </w:p>
        </w:tc>
      </w:tr>
      <w:tr>
        <w:trPr>
          <w:trHeight w:val="441"/>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Louise F. Brady</w:t>
            </w: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Co-Founder and Managing Partner of Piedmont Capital Partners, LLC, Piedmont Capital</w:t>
            </w:r>
          </w:p>
        </w:tc>
      </w:tr>
      <w:tr>
        <w:trPr>
          <w:trHeight w:val="234"/>
        </w:trPr>
        <w:tc>
          <w:tcPr>
            <w:tcW w:w="4020" w:type="dxa"/>
            <w:vAlign w:val="bottom"/>
          </w:tcPr>
          <w:p>
            <w:pPr>
              <w:spacing w:after="0"/>
              <w:rPr>
                <w:sz w:val="20"/>
                <w:szCs w:val="20"/>
                <w:color w:val="auto"/>
              </w:rPr>
            </w:pP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Partners II, LLC and Piedmont Capital Investments, LLC</w:t>
            </w:r>
          </w:p>
        </w:tc>
      </w:tr>
      <w:tr>
        <w:trPr>
          <w:trHeight w:val="441"/>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Edward D. Breen</w:t>
            </w: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Chief Executive Officer and Executive Chairman of DuPont de Nemours, Inc., a provider</w:t>
            </w:r>
          </w:p>
        </w:tc>
      </w:tr>
      <w:tr>
        <w:trPr>
          <w:trHeight w:val="234"/>
        </w:trPr>
        <w:tc>
          <w:tcPr>
            <w:tcW w:w="4020" w:type="dxa"/>
            <w:vAlign w:val="bottom"/>
          </w:tcPr>
          <w:p>
            <w:pPr>
              <w:spacing w:after="0"/>
              <w:rPr>
                <w:sz w:val="20"/>
                <w:szCs w:val="20"/>
                <w:color w:val="auto"/>
              </w:rPr>
            </w:pP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of technology-based materials and solutions</w:t>
            </w:r>
          </w:p>
        </w:tc>
      </w:tr>
      <w:tr>
        <w:trPr>
          <w:trHeight w:val="441"/>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Gerald L. Hassell</w:t>
            </w: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Former Chief Executive Officer of The Bank of New York Mellon, a financial services</w:t>
            </w:r>
          </w:p>
        </w:tc>
      </w:tr>
      <w:tr>
        <w:trPr>
          <w:trHeight w:val="234"/>
        </w:trPr>
        <w:tc>
          <w:tcPr>
            <w:tcW w:w="4020" w:type="dxa"/>
            <w:vAlign w:val="bottom"/>
          </w:tcPr>
          <w:p>
            <w:pPr>
              <w:spacing w:after="0"/>
              <w:rPr>
                <w:sz w:val="20"/>
                <w:szCs w:val="20"/>
                <w:color w:val="auto"/>
              </w:rPr>
            </w:pP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corporation</w:t>
            </w:r>
          </w:p>
        </w:tc>
      </w:tr>
      <w:tr>
        <w:trPr>
          <w:trHeight w:val="441"/>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Jeffrey A. Honickman</w:t>
            </w: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Chief Executive Officer of Pepsi-Cola and National Brand Beverages, Ltd., a bottling and</w:t>
            </w:r>
          </w:p>
        </w:tc>
      </w:tr>
      <w:tr>
        <w:trPr>
          <w:trHeight w:val="234"/>
        </w:trPr>
        <w:tc>
          <w:tcPr>
            <w:tcW w:w="4020" w:type="dxa"/>
            <w:vAlign w:val="bottom"/>
          </w:tcPr>
          <w:p>
            <w:pPr>
              <w:spacing w:after="0"/>
              <w:rPr>
                <w:sz w:val="20"/>
                <w:szCs w:val="20"/>
                <w:color w:val="auto"/>
              </w:rPr>
            </w:pP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distribution company</w:t>
            </w:r>
          </w:p>
        </w:tc>
      </w:tr>
      <w:tr>
        <w:trPr>
          <w:trHeight w:val="45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Wonya Y. Lucas</w:t>
            </w: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Former Chief Executive Officer of Hallmark Media Networks</w:t>
            </w:r>
          </w:p>
        </w:tc>
      </w:tr>
      <w:tr>
        <w:trPr>
          <w:trHeight w:val="441"/>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Maritza G. Montiel</w:t>
            </w: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Former Deputy Chief Executive Officer and Vice Chairman of Deloitte LLP, a</w:t>
            </w:r>
          </w:p>
        </w:tc>
      </w:tr>
      <w:tr>
        <w:trPr>
          <w:trHeight w:val="234"/>
        </w:trPr>
        <w:tc>
          <w:tcPr>
            <w:tcW w:w="4020" w:type="dxa"/>
            <w:vAlign w:val="bottom"/>
          </w:tcPr>
          <w:p>
            <w:pPr>
              <w:spacing w:after="0"/>
              <w:rPr>
                <w:sz w:val="20"/>
                <w:szCs w:val="20"/>
                <w:color w:val="auto"/>
              </w:rPr>
            </w:pP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multinational accounting and professional services firm</w:t>
            </w:r>
          </w:p>
        </w:tc>
      </w:tr>
      <w:tr>
        <w:trPr>
          <w:trHeight w:val="45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Asuka Nakahara</w:t>
            </w: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Partner at Triton Atlantic Partners, a real estate advisory firm and investment vehicle</w:t>
            </w:r>
          </w:p>
        </w:tc>
      </w:tr>
      <w:tr>
        <w:trPr>
          <w:trHeight w:val="45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David C. Novak</w:t>
            </w: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Founder of David Novak Leadership, Inc., which provides online leadership training</w:t>
            </w:r>
          </w:p>
        </w:tc>
      </w:tr>
      <w:tr>
        <w:trPr>
          <w:trHeight w:val="45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Brian L. Roberts</w:t>
            </w: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32"/>
        </w:trPr>
        <w:tc>
          <w:tcPr>
            <w:tcW w:w="4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7220" w:type="dxa"/>
            <w:vAlign w:val="bottom"/>
          </w:tcPr>
          <w:p>
            <w:pPr>
              <w:spacing w:after="0"/>
              <w:rPr>
                <w:sz w:val="24"/>
                <w:szCs w:val="24"/>
                <w:color w:val="auto"/>
              </w:rPr>
            </w:pPr>
          </w:p>
        </w:tc>
      </w:tr>
      <w:tr>
        <w:trPr>
          <w:trHeight w:val="441"/>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Jason S. Armstrong</w:t>
            </w: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020" w:type="dxa"/>
            <w:vAlign w:val="bottom"/>
          </w:tcPr>
          <w:p>
            <w:pPr>
              <w:spacing w:after="0"/>
              <w:rPr>
                <w:sz w:val="20"/>
                <w:szCs w:val="20"/>
                <w:color w:val="auto"/>
              </w:rPr>
            </w:pP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Director, NBCUniversal, LLC</w:t>
            </w:r>
          </w:p>
        </w:tc>
      </w:tr>
      <w:tr>
        <w:trPr>
          <w:trHeight w:val="45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Michael J. Cavanagh</w:t>
            </w: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President</w:t>
            </w:r>
          </w:p>
        </w:tc>
      </w:tr>
      <w:tr>
        <w:trPr>
          <w:trHeight w:val="45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Jennifer Khoury</w:t>
            </w: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Chief Communications Officer</w:t>
            </w:r>
          </w:p>
        </w:tc>
      </w:tr>
      <w:tr>
        <w:trPr>
          <w:trHeight w:val="45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Daniel C. Murdock</w:t>
            </w: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Executive Vice President, Chief Accounting Officer and Controller</w:t>
            </w:r>
          </w:p>
        </w:tc>
      </w:tr>
      <w:tr>
        <w:trPr>
          <w:trHeight w:val="441"/>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Thomas J. Reid</w:t>
            </w: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Chief Legal Officer and Secretary;</w:t>
            </w:r>
          </w:p>
        </w:tc>
      </w:tr>
      <w:tr>
        <w:trPr>
          <w:trHeight w:val="234"/>
        </w:trPr>
        <w:tc>
          <w:tcPr>
            <w:tcW w:w="4020" w:type="dxa"/>
            <w:vAlign w:val="bottom"/>
          </w:tcPr>
          <w:p>
            <w:pPr>
              <w:spacing w:after="0"/>
              <w:rPr>
                <w:sz w:val="20"/>
                <w:szCs w:val="20"/>
                <w:color w:val="auto"/>
              </w:rPr>
            </w:pP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Director, NBCUniversal, LLC</w:t>
            </w:r>
          </w:p>
        </w:tc>
      </w:tr>
      <w:tr>
        <w:trPr>
          <w:trHeight w:val="41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Brian L. Roberts</w:t>
            </w: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4020" w:type="dxa"/>
            <w:vAlign w:val="bottom"/>
          </w:tcPr>
          <w:p>
            <w:pPr>
              <w:spacing w:after="0"/>
              <w:rPr>
                <w:sz w:val="20"/>
                <w:szCs w:val="20"/>
                <w:color w:val="auto"/>
              </w:rPr>
            </w:pPr>
          </w:p>
        </w:tc>
        <w:tc>
          <w:tcPr>
            <w:tcW w:w="72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Chairman, NBCUniversal, LLC</w:t>
            </w:r>
          </w:p>
        </w:tc>
      </w:tr>
      <w:tr>
        <w:trPr>
          <w:trHeight w:val="43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Notes:</w:t>
            </w:r>
          </w:p>
        </w:tc>
        <w:tc>
          <w:tcPr>
            <w:tcW w:w="7220" w:type="dxa"/>
            <w:vAlign w:val="bottom"/>
          </w:tcPr>
          <w:p>
            <w:pPr>
              <w:spacing w:after="0"/>
              <w:rPr>
                <w:sz w:val="24"/>
                <w:szCs w:val="24"/>
                <w:color w:val="auto"/>
              </w:rPr>
            </w:pPr>
          </w:p>
        </w:tc>
      </w:tr>
    </w:tbl>
    <w:p>
      <w:pPr>
        <w:spacing w:after="0" w:line="225" w:lineRule="exact"/>
        <w:rPr>
          <w:sz w:val="20"/>
          <w:szCs w:val="20"/>
          <w:color w:val="auto"/>
        </w:rPr>
      </w:pPr>
    </w:p>
    <w:p>
      <w:pPr>
        <w:ind w:left="580" w:right="60" w:hanging="572"/>
        <w:spacing w:after="0" w:line="266"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individuals identified on this Schedule A may have beneficial ownership of de minimis amounts of Class A Common Stock of the Issuer held in investment accounts for which such individuals hold discretionary authority. The Reporting Persons disclaim beneficial ownership of any such shares.</w:t>
      </w:r>
    </w:p>
    <w:p>
      <w:pPr>
        <w:spacing w:after="0" w:line="202" w:lineRule="exact"/>
        <w:rPr>
          <w:rFonts w:ascii="Times New Roman" w:cs="Times New Roman" w:eastAsia="Times New Roman" w:hAnsi="Times New Roman"/>
          <w:sz w:val="18"/>
          <w:szCs w:val="18"/>
          <w:color w:val="auto"/>
        </w:rPr>
      </w:pPr>
    </w:p>
    <w:p>
      <w:pPr>
        <w:ind w:left="580" w:right="600" w:hanging="572"/>
        <w:spacing w:after="0" w:line="282"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NBCUniversal Media, LLC does not have a board of directors, and is managed by NBCUniversal, LLC as its sole member. The directors of NBCUniversal, LLC are identified where noted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27"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2024-05-24T16:00:05Z</dcterms:created>
  <dcterms:modified xsi:type="dcterms:W3CDTF">2024-05-24T16:00:05Z</dcterms:modified>
</cp:coreProperties>
</file>