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tabs>
          <w:tab w:leader="none" w:pos="41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9"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8-K</w:t>
      </w:r>
    </w:p>
    <w:p>
      <w:pPr>
        <w:spacing w:after="0" w:line="33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0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PURSUANT TO SECTION 13 OR 15(d) of the</w:t>
      </w: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13"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Date of Report (Date of earliest event reported): November 16, 1999</w:t>
      </w:r>
    </w:p>
    <w:p>
      <w:pPr>
        <w:spacing w:after="0" w:line="200" w:lineRule="exact"/>
        <w:rPr>
          <w:sz w:val="24"/>
          <w:szCs w:val="24"/>
          <w:color w:val="auto"/>
        </w:rPr>
      </w:pPr>
    </w:p>
    <w:p>
      <w:pPr>
        <w:spacing w:after="0" w:line="314"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COMCAST CORPORATION</w:t>
      </w:r>
    </w:p>
    <w:p>
      <w:pPr>
        <w:ind w:left="114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65" w:right="1440" w:bottom="1440" w:gutter="0" w:footer="0" w:header="0"/>
        </w:sectPr>
      </w:pPr>
    </w:p>
    <w:p>
      <w:pPr>
        <w:spacing w:after="0" w:line="33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rPr>
          <w:sz w:val="20"/>
          <w:szCs w:val="20"/>
          <w:color w:val="auto"/>
        </w:rPr>
      </w:pPr>
      <w:r>
        <w:rPr>
          <w:rFonts w:ascii="Courier New" w:cs="Courier New" w:eastAsia="Courier New" w:hAnsi="Courier New"/>
          <w:sz w:val="15"/>
          <w:szCs w:val="15"/>
          <w:color w:val="auto"/>
        </w:rPr>
        <w:t>jurisdiction of</w:t>
      </w: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ind w:left="44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rPr>
          <w:sz w:val="20"/>
          <w:szCs w:val="20"/>
          <w:color w:val="auto"/>
        </w:rPr>
      </w:pPr>
      <w:r>
        <w:rPr>
          <w:rFonts w:ascii="Courier New" w:cs="Courier New" w:eastAsia="Courier New" w:hAnsi="Courier New"/>
          <w:sz w:val="15"/>
          <w:szCs w:val="15"/>
          <w:color w:val="auto"/>
        </w:rPr>
        <w:t>identification</w:t>
      </w: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00" w:space="720"/>
            <w:col w:w="2260" w:space="720"/>
            <w:col w:w="4419"/>
          </w:cols>
          <w:pgMar w:left="240" w:top="565" w:right="1440" w:bottom="1440" w:gutter="0" w:footer="0" w:header="0"/>
          <w:type w:val="continuous"/>
        </w:sectPr>
      </w:pPr>
    </w:p>
    <w:p>
      <w:pPr>
        <w:spacing w:after="0" w:line="307" w:lineRule="exact"/>
        <w:rPr>
          <w:sz w:val="24"/>
          <w:szCs w:val="24"/>
          <w:color w:val="auto"/>
        </w:rPr>
      </w:pPr>
    </w:p>
    <w:p>
      <w:pPr>
        <w:ind w:left="1140"/>
        <w:spacing w:after="0"/>
        <w:tabs>
          <w:tab w:leader="none" w:pos="508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040"/>
        <w:spacing w:after="0"/>
        <w:tabs>
          <w:tab w:leader="none" w:pos="50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19"/>
          </w:cols>
          <w:pgMar w:left="240" w:top="565"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52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8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5" w:lineRule="exact"/>
        <w:rPr>
          <w:sz w:val="24"/>
          <w:szCs w:val="24"/>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November 16, 1999, Comcast Corporation ("Comcast") entered into a definitive agreement to purchase Lenfest Communications, Inc. ("Lenfest") in exchange for approximately 116.0 million shares, subject to closing adjustments, of Comcast's Class A Special Common Stock, par value $1.00 per share (the "Lenfest Acquisition"). The Lenfest Acquisition is to be consummated pursuant to the terms of an Agreement and Plan of Merger between Comcast, Comcast LCI Holding, Inc., a wholly owned subsidiary of Comcast, Lenfest and the Lenfest stockholders as named therein. The Agreement and Plan of Merger is incorporated by reference hereto as Exhibit 10.1.</w:t>
      </w:r>
    </w:p>
    <w:p>
      <w:pPr>
        <w:spacing w:after="0" w:line="179" w:lineRule="exact"/>
        <w:rPr>
          <w:sz w:val="24"/>
          <w:szCs w:val="24"/>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unaudited pro forma condensed consolidated financial statements of Comcast Corporation are included in this Report under Item 7 and are listed in the index to unaudited pro forma financial information.</w:t>
      </w:r>
    </w:p>
    <w:p>
      <w:pPr>
        <w:spacing w:after="0" w:line="169" w:lineRule="exact"/>
        <w:rPr>
          <w:sz w:val="24"/>
          <w:szCs w:val="24"/>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565" w:right="1440" w:bottom="1440" w:gutter="0" w:footer="0" w:header="0"/>
          <w:type w:val="continuous"/>
        </w:sectPr>
      </w:pPr>
    </w:p>
    <w:bookmarkStart w:id="1" w:name="page2"/>
    <w:bookmarkEnd w:id="1"/>
    <w:p>
      <w:pPr>
        <w:spacing w:after="0"/>
        <w:tabs>
          <w:tab w:leader="none" w:pos="13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unaudited pro forma condensed consolidated financial statements of Comcast Corporation are included in this Report and are listed in the index to unaudited pro forma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175" w:lineRule="exact"/>
        <w:rPr>
          <w:sz w:val="20"/>
          <w:szCs w:val="20"/>
          <w:color w:val="auto"/>
        </w:rPr>
      </w:pPr>
    </w:p>
    <w:p>
      <w:pPr>
        <w:ind w:left="880" w:right="3179" w:hanging="880"/>
        <w:spacing w:after="0" w:line="238"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Agreement and Plan of Merger (the "Merger Agreement"), dated as of November 16, 1999, by and among Comcast Corporation ("Comcast"), Comcast LCI Holdings, Inc., a wholly owned subsidiary of Comcast, Lenfest Communications, Inc. ("Lenfest") and Lenfest's stockholders as named therein (incorporated by reference to Exhibit 10.1 to our Current Report on Form 8-K filed on December 13, 1999).</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Pressman Ciocca Smith LLP.</w:t>
      </w:r>
    </w:p>
    <w:p>
      <w:pPr>
        <w:spacing w:after="0" w:line="175" w:lineRule="exact"/>
        <w:rPr>
          <w:sz w:val="20"/>
          <w:szCs w:val="20"/>
          <w:color w:val="auto"/>
        </w:rPr>
      </w:pPr>
    </w:p>
    <w:p>
      <w:pPr>
        <w:ind w:left="880" w:right="317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The audited consolidated financial statements of Lenfest as of December 31, 1998 and 1997 and for each of the three years in the period ended December 31, 1998 (incorporated by reference to Lenfest's Annual Report on Form 10-K filed on March 31, 1999).</w:t>
      </w:r>
    </w:p>
    <w:p>
      <w:pPr>
        <w:spacing w:after="0" w:line="176" w:lineRule="exact"/>
        <w:rPr>
          <w:sz w:val="20"/>
          <w:szCs w:val="20"/>
          <w:color w:val="auto"/>
        </w:rPr>
      </w:pPr>
    </w:p>
    <w:p>
      <w:pPr>
        <w:ind w:left="880" w:right="335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The unaudited condensed consolidated financial statements of Lenfest for the nine months ended September 30, 1999 (incorporated by reference to Lenfest's Quarterly Report on Form 10-Q filed on November 5, 1999).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w:t>
      </w:r>
    </w:p>
    <w:p>
      <w:pPr>
        <w:ind w:left="3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17, 1999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80" w:lineRule="exact"/>
        <w:rPr>
          <w:sz w:val="20"/>
          <w:szCs w:val="20"/>
          <w:color w:val="auto"/>
        </w:rPr>
      </w:pPr>
    </w:p>
    <w:p>
      <w:pPr>
        <w:sectPr>
          <w:pgSz w:w="11900" w:h="16838" w:orient="portrait"/>
          <w:cols w:equalWidth="0" w:num="3">
            <w:col w:w="520" w:space="180"/>
            <w:col w:w="2540" w:space="720"/>
            <w:col w:w="6259"/>
          </w:cols>
          <w:pgMar w:left="240" w:top="622" w:right="1440" w:bottom="1440" w:gutter="0" w:footer="0" w:header="0"/>
          <w:type w:val="continuous"/>
        </w:sectPr>
      </w:pPr>
    </w:p>
    <w:p>
      <w:pPr>
        <w:ind w:left="3960"/>
        <w:spacing w:after="0"/>
        <w:rPr>
          <w:sz w:val="20"/>
          <w:szCs w:val="20"/>
          <w:color w:val="auto"/>
        </w:rPr>
      </w:pPr>
      <w:r>
        <w:rPr>
          <w:rFonts w:ascii="Courier New" w:cs="Courier New" w:eastAsia="Courier New" w:hAnsi="Courier New"/>
          <w:sz w:val="14"/>
          <w:szCs w:val="14"/>
          <w:color w:val="auto"/>
        </w:rPr>
        <w:t>By: /s/ Joseph J. Euteneuer</w:t>
      </w:r>
    </w:p>
    <w:p>
      <w:pPr>
        <w:spacing w:after="0" w:line="11"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Joseph J. Euteneuer</w:t>
      </w:r>
    </w:p>
    <w:p>
      <w:pPr>
        <w:ind w:left="4300"/>
        <w:spacing w:after="0"/>
        <w:rPr>
          <w:sz w:val="20"/>
          <w:szCs w:val="20"/>
          <w:color w:val="auto"/>
        </w:rPr>
      </w:pPr>
      <w:r>
        <w:rPr>
          <w:rFonts w:ascii="Courier New" w:cs="Courier New" w:eastAsia="Courier New" w:hAnsi="Courier New"/>
          <w:sz w:val="15"/>
          <w:szCs w:val="15"/>
          <w:color w:val="auto"/>
        </w:rPr>
        <w:t>Vice President and</w:t>
      </w:r>
    </w:p>
    <w:p>
      <w:pPr>
        <w:ind w:left="4300"/>
        <w:spacing w:after="0"/>
        <w:rPr>
          <w:sz w:val="20"/>
          <w:szCs w:val="20"/>
          <w:color w:val="auto"/>
        </w:rPr>
      </w:pPr>
      <w:r>
        <w:rPr>
          <w:rFonts w:ascii="Courier New" w:cs="Courier New" w:eastAsia="Courier New" w:hAnsi="Courier New"/>
          <w:sz w:val="15"/>
          <w:szCs w:val="15"/>
          <w:color w:val="auto"/>
        </w:rPr>
        <w:t>Corporate Controller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type w:val="continuous"/>
        </w:sectPr>
      </w:pPr>
    </w:p>
    <w:bookmarkStart w:id="3" w:name="page4"/>
    <w:bookmarkEnd w:id="3"/>
    <w:p>
      <w:pPr>
        <w:ind w:left="2980"/>
        <w:spacing w:after="0"/>
        <w:rPr>
          <w:sz w:val="20"/>
          <w:szCs w:val="20"/>
          <w:color w:val="auto"/>
        </w:rPr>
      </w:pPr>
      <w:r>
        <w:rPr>
          <w:rFonts w:ascii="Courier New" w:cs="Courier New" w:eastAsia="Courier New" w:hAnsi="Courier New"/>
          <w:sz w:val="15"/>
          <w:szCs w:val="15"/>
          <w:color w:val="auto"/>
        </w:rPr>
        <w:t>EXHIBIT INDEX</w:t>
      </w:r>
    </w:p>
    <w:p>
      <w:pPr>
        <w:ind w:left="298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Pressman Ciocca Smith LLP.</w:t>
      </w:r>
    </w:p>
    <w:p>
      <w:pPr>
        <w:spacing w:after="0" w:line="175" w:lineRule="exact"/>
        <w:rPr>
          <w:sz w:val="20"/>
          <w:szCs w:val="20"/>
          <w:color w:val="auto"/>
        </w:rPr>
      </w:pPr>
    </w:p>
    <w:p>
      <w:pPr>
        <w:ind w:left="880" w:right="317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The audited consolidated financial statements of Lenfest as of December 31, 1998 and 1997 and for each of the three years in the period ended December 31, 1998 (incorporated by reference to Lenfest's Annual Report on Form 10-K filed on March 31, 1999).</w:t>
      </w:r>
    </w:p>
    <w:p>
      <w:pPr>
        <w:spacing w:after="0" w:line="176" w:lineRule="exact"/>
        <w:rPr>
          <w:sz w:val="20"/>
          <w:szCs w:val="20"/>
          <w:color w:val="auto"/>
        </w:rPr>
      </w:pPr>
    </w:p>
    <w:p>
      <w:pPr>
        <w:ind w:left="880" w:right="3359" w:hanging="880"/>
        <w:spacing w:after="0" w:line="237" w:lineRule="auto"/>
        <w:tabs>
          <w:tab w:leader="none" w:pos="86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The unaudited condensed consolidated financial statements of Lenfest for the nine months ended September 30, 1999 (incorporated by reference to Lenfest's Quarterly Report on Form 10-Q filed on November 5, 1999).</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4" w:name="page5"/>
    <w:bookmarkEnd w:id="4"/>
    <w:p>
      <w:pPr>
        <w:ind w:left="2280"/>
        <w:spacing w:after="0"/>
        <w:rPr>
          <w:sz w:val="20"/>
          <w:szCs w:val="20"/>
          <w:color w:val="auto"/>
        </w:rPr>
      </w:pPr>
      <w:r>
        <w:rPr>
          <w:rFonts w:ascii="Courier New" w:cs="Courier New" w:eastAsia="Courier New" w:hAnsi="Courier New"/>
          <w:sz w:val="15"/>
          <w:szCs w:val="15"/>
          <w:color w:val="auto"/>
        </w:rPr>
        <w:t>COMCAST CORPORATION</w:t>
      </w:r>
    </w:p>
    <w:tbl>
      <w:tblPr>
        <w:tblLayout w:type="fixed"/>
        <w:tblInd w:w="0" w:type="dxa"/>
        <w:tblCellMar>
          <w:top w:w="0" w:type="dxa"/>
          <w:left w:w="0" w:type="dxa"/>
          <w:bottom w:w="0" w:type="dxa"/>
          <w:right w:w="0" w:type="dxa"/>
        </w:tblCellMar>
      </w:tblPr>
      <w:tr>
        <w:trPr>
          <w:trHeight w:val="170"/>
        </w:trPr>
        <w:tc>
          <w:tcPr>
            <w:tcW w:w="55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INDEX TO UNAUDITED PRO FORMA FINANCIAL INFORMATION</w:t>
            </w:r>
          </w:p>
        </w:tc>
        <w:tc>
          <w:tcPr>
            <w:tcW w:w="660" w:type="dxa"/>
            <w:vAlign w:val="bottom"/>
          </w:tcPr>
          <w:p>
            <w:pPr>
              <w:spacing w:after="0"/>
              <w:rPr>
                <w:sz w:val="14"/>
                <w:szCs w:val="14"/>
                <w:color w:val="auto"/>
              </w:rPr>
            </w:pPr>
          </w:p>
        </w:tc>
      </w:tr>
      <w:tr>
        <w:trPr>
          <w:trHeight w:val="50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Forma Financial Information</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- 1</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Forma Condensed Consolidated</w:t>
            </w:r>
          </w:p>
        </w:tc>
        <w:tc>
          <w:tcPr>
            <w:tcW w:w="660" w:type="dxa"/>
            <w:vAlign w:val="bottom"/>
          </w:tcPr>
          <w:p>
            <w:pPr>
              <w:spacing w:after="0"/>
              <w:rPr>
                <w:sz w:val="24"/>
                <w:szCs w:val="2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Balance Sheet</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as of September 30, 1999</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- 2</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Forma Condensed Consolidated Statement</w:t>
            </w:r>
          </w:p>
        </w:tc>
        <w:tc>
          <w:tcPr>
            <w:tcW w:w="660" w:type="dxa"/>
            <w:vAlign w:val="bottom"/>
          </w:tcPr>
          <w:p>
            <w:pPr>
              <w:spacing w:after="0"/>
              <w:rPr>
                <w:sz w:val="24"/>
                <w:szCs w:val="2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of Operations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 the Nine Months Ended September 30, 1999</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- 3</w:t>
            </w: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Unaudited Pro</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Forma Condensed Consolidated Statement</w:t>
            </w:r>
          </w:p>
        </w:tc>
        <w:tc>
          <w:tcPr>
            <w:tcW w:w="660" w:type="dxa"/>
            <w:vAlign w:val="bottom"/>
          </w:tcPr>
          <w:p>
            <w:pPr>
              <w:spacing w:after="0"/>
              <w:rPr>
                <w:sz w:val="24"/>
                <w:szCs w:val="24"/>
                <w:color w:val="auto"/>
              </w:rPr>
            </w:pP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of Operations</w:t>
            </w:r>
          </w:p>
        </w:tc>
        <w:tc>
          <w:tcPr>
            <w:tcW w:w="4320" w:type="dxa"/>
            <w:vAlign w:val="bottom"/>
          </w:tcPr>
          <w:p>
            <w:pPr>
              <w:ind w:left="40"/>
              <w:spacing w:after="0"/>
              <w:rPr>
                <w:sz w:val="20"/>
                <w:szCs w:val="20"/>
                <w:color w:val="auto"/>
              </w:rPr>
            </w:pPr>
            <w:r>
              <w:rPr>
                <w:rFonts w:ascii="Courier New" w:cs="Courier New" w:eastAsia="Courier New" w:hAnsi="Courier New"/>
                <w:sz w:val="15"/>
                <w:szCs w:val="15"/>
                <w:color w:val="auto"/>
              </w:rPr>
              <w:t>for the Year Ended December 31, 1998</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- 4</w:t>
            </w:r>
          </w:p>
        </w:tc>
      </w:tr>
      <w:tr>
        <w:trPr>
          <w:trHeight w:val="339"/>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660" w:type="dxa"/>
            <w:vAlign w:val="bottom"/>
          </w:tcPr>
          <w:p>
            <w:pPr>
              <w:spacing w:after="0"/>
              <w:rPr>
                <w:sz w:val="24"/>
                <w:szCs w:val="24"/>
                <w:color w:val="auto"/>
              </w:rPr>
            </w:pP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F - 5</w:t>
            </w:r>
          </w:p>
        </w:tc>
      </w:tr>
    </w:tbl>
    <w:p>
      <w:pPr>
        <w:sectPr>
          <w:pgSz w:w="11900" w:h="16838" w:orient="portrait"/>
          <w:cols w:equalWidth="0" w:num="1">
            <w:col w:w="9779"/>
          </w:cols>
          <w:pgMar w:left="680" w:top="622" w:right="1440" w:bottom="1440" w:gutter="0" w:footer="0" w:header="0"/>
        </w:sectPr>
      </w:pPr>
    </w:p>
    <w:bookmarkStart w:id="5" w:name="page6"/>
    <w:bookmarkEnd w:id="5"/>
    <w:p>
      <w:pPr>
        <w:jc w:val="center"/>
        <w:ind w:right="3099"/>
        <w:spacing w:after="0"/>
        <w:rPr>
          <w:sz w:val="20"/>
          <w:szCs w:val="20"/>
          <w:color w:val="auto"/>
        </w:rPr>
      </w:pPr>
      <w:r>
        <w:rPr>
          <w:rFonts w:ascii="Courier New" w:cs="Courier New" w:eastAsia="Courier New" w:hAnsi="Courier New"/>
          <w:sz w:val="15"/>
          <w:szCs w:val="15"/>
          <w:color w:val="auto"/>
        </w:rPr>
        <w:t>UNAUDITED PRO FORMA</w:t>
      </w:r>
    </w:p>
    <w:p>
      <w:pPr>
        <w:jc w:val="center"/>
        <w:ind w:right="3099"/>
        <w:spacing w:after="0"/>
        <w:rPr>
          <w:sz w:val="20"/>
          <w:szCs w:val="20"/>
          <w:color w:val="auto"/>
        </w:rPr>
      </w:pPr>
      <w:r>
        <w:rPr>
          <w:rFonts w:ascii="Courier New" w:cs="Courier New" w:eastAsia="Courier New" w:hAnsi="Courier New"/>
          <w:sz w:val="15"/>
          <w:szCs w:val="15"/>
          <w:color w:val="auto"/>
        </w:rPr>
        <w:t>FINANCIAL INFORMATION</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November 16, 1999, Comcast Corporation ("Comcast") entered into a definitive agreement to purchase Lenfest Communications, Inc. ("Lenfest") in exchange for approximately 116.0 million shares, subject to closing adjustments, of Comcast's Class A Special Common Stock, par value $1.00 per share (the "Class A Special Common Stock"), valued at $5.339 billion, based on the average closing price of the Class A Special Common Stock for the period from November 9, 1999 to November 22, 1999 (the "Lenfest Acquisition").</w:t>
      </w:r>
    </w:p>
    <w:p>
      <w:pPr>
        <w:spacing w:after="0" w:line="177"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unaudited pro forma information set forth below for Comcast gives effect to the Lenfest Acquisition as if it had been completed on January 1, 1998 for purposes of the condensed consolidated statement of operations for the nine months ended September 30, 1999 and for the year ended December 31, 1998. For purposes of the condensed consolidated balance sheet, the Lenfest Acquisition was assumed to have occurred on September 30, 1999. This information is based on the historical consolidated balance sheets and related historical consolidated statements of operations of Comcast and Lenfest giving effect to the Lenfest Acquisition using the purchase method of accounting for business combinations.</w:t>
      </w:r>
    </w:p>
    <w:p>
      <w:pPr>
        <w:spacing w:after="0" w:line="16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This pro forma financial information should be read in conjunction with the historical consolidated financial statements of Comcast and Lenfest and the respective notes thereto that have been incorporated herein by reference.</w:t>
      </w:r>
    </w:p>
    <w:p>
      <w:pPr>
        <w:spacing w:after="0" w:line="175"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The pro forma adjustments do not reflect any operating efficiencies and cost savings that may be achieved with respect to the combined company. The pro forma adjustments do not include any adjustments to historical sales for any future price changes nor any adjustments to selling, marketing or any other expenses for any future operating changes. Upon the closing of the Lenfest Acquisition, Lenfest may incur certain integration related expenses not reflected in the pro forma financial statements as a result of the elimination of duplicate facilities, operational realignment and related workforce reductions. Such costs would generally be recognized by Comcast as a liability assumed as of the merger date resulting in additional goodwill in accordance with Emerging Issues Task Force No. 95-3, Recognition of Liabilities in Connection with a Purchase Business Combination. The assessment of integration related expenses is ongoing.</w:t>
      </w:r>
    </w:p>
    <w:p>
      <w:pPr>
        <w:spacing w:after="0" w:line="16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following information is not necessarily indicative of the financial position or operating results that would have occurred had the Lenfest Acquisition been consummated on the dates, or at the beginning of the periods, for which such transaction has been given effect.</w:t>
      </w:r>
    </w:p>
    <w:p>
      <w:pPr>
        <w:spacing w:after="0" w:line="176"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For purposes of preparing Comcast's consolidated financial statements, Comcast will establish a new basis for Lenfest's assets and liabilities based upon fair values thereof and the Comcast purchase price, including the costs of the Lenfest Acquisition. A final determination of required purchase accounting adjustments, including the allocation of the purchase price to the assets acquired and liabilities assumed based on their respective fair values, has not yet been made. Accordingly, the purchase accounting adjustments made in connection with the development of the pro forma condensed consolidated financial information are preliminary and have been made solely for purposes of developing such pro forma condensed consolidated financial information. Comcast will obtain an independent appraisal of the fair value of certain of Lenfest's assets and liabilities and will make appropriate purchase accounting adjustments upon completion of that appraisal. Assuming completion of the Lenfest Acquisition, the actual financial position and results of operations will differ, perhaps significantly, from the pro forma amounts reflected herein because of a variety of factors, including access to additional information, changes in values not currently identified and changes in operating results between the dates of the pro forma financial data and the date on which the Lenfest Acquisition takes place.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5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Pro Forma Condensed Consolidated Balance Sheet (Unaudited)</w:t>
      </w:r>
    </w:p>
    <w:p>
      <w:pPr>
        <w:spacing w:after="0"/>
        <w:rPr>
          <w:sz w:val="20"/>
          <w:szCs w:val="20"/>
          <w:color w:val="auto"/>
        </w:rPr>
      </w:pPr>
      <w:r>
        <w:rPr>
          <w:rFonts w:ascii="Courier New" w:cs="Courier New" w:eastAsia="Courier New" w:hAnsi="Courier New"/>
          <w:sz w:val="15"/>
          <w:szCs w:val="15"/>
          <w:color w:val="auto"/>
        </w:rPr>
        <w:t>As of September 30, 1999</w:t>
      </w:r>
    </w:p>
    <w:p>
      <w:pPr>
        <w:spacing w:after="0" w:line="238" w:lineRule="auto"/>
        <w:rPr>
          <w:sz w:val="20"/>
          <w:szCs w:val="20"/>
          <w:color w:val="auto"/>
        </w:rPr>
      </w:pPr>
      <w:r>
        <w:rPr>
          <w:rFonts w:ascii="Courier New" w:cs="Courier New" w:eastAsia="Courier New" w:hAnsi="Courier New"/>
          <w:sz w:val="15"/>
          <w:szCs w:val="15"/>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Historical</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Comcast</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Lenfest</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$881.9</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$77.8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(4),(5),(6)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$963.8</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5,354.1</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110.9</w:t>
            </w:r>
          </w:p>
        </w:tc>
        <w:tc>
          <w:tcPr>
            <w:tcW w:w="3180" w:type="dxa"/>
            <w:vAlign w:val="bottom"/>
            <w:gridSpan w:val="2"/>
          </w:tcPr>
          <w:p>
            <w:pPr>
              <w:jc w:val="right"/>
              <w:ind w:right="1827"/>
              <w:spacing w:after="0"/>
              <w:rPr>
                <w:sz w:val="20"/>
                <w:szCs w:val="20"/>
                <w:color w:val="auto"/>
              </w:rPr>
            </w:pPr>
            <w:r>
              <w:rPr>
                <w:rFonts w:ascii="Courier New" w:cs="Courier New" w:eastAsia="Courier New" w:hAnsi="Courier New"/>
                <w:sz w:val="15"/>
                <w:szCs w:val="15"/>
                <w:color w:val="auto"/>
              </w:rPr>
              <w:t>(31.2) (4)</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5,433.8</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Accounts receivable, less allowance for doubtful accounts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541.6</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w:t>
            </w:r>
          </w:p>
        </w:tc>
        <w:tc>
          <w:tcPr>
            <w:tcW w:w="318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(6.2) (4),(6),(9),(11)</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561.9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Inventories, net</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468.4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468.4</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95.3</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101.8</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7,341.3</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220.7</w:t>
            </w:r>
          </w:p>
        </w:tc>
        <w:tc>
          <w:tcPr>
            <w:tcW w:w="3180" w:type="dxa"/>
            <w:vAlign w:val="bottom"/>
            <w:gridSpan w:val="2"/>
          </w:tcPr>
          <w:p>
            <w:pPr>
              <w:jc w:val="right"/>
              <w:ind w:right="2187"/>
              <w:spacing w:after="0"/>
              <w:rPr>
                <w:sz w:val="20"/>
                <w:szCs w:val="20"/>
                <w:color w:val="auto"/>
              </w:rPr>
            </w:pPr>
            <w:r>
              <w:rPr>
                <w:rFonts w:ascii="Courier New" w:cs="Courier New" w:eastAsia="Courier New" w:hAnsi="Courier New"/>
                <w:sz w:val="15"/>
                <w:szCs w:val="15"/>
                <w:color w:val="auto"/>
              </w:rPr>
              <w:t>(32.3)</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7,529.7</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2,683.2</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(32.8)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165.6</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2,816.0</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4,832.3</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1,030.3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398.8</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6,261.4</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38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(1,622.5)</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(503.3)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503.3</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(1,622.5)</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3,209.8</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527.0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902.1</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4,638.9</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CHARGES AND OTHER</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11,496.6</w:t>
            </w:r>
          </w:p>
        </w:tc>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933.9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6,942.8</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w w:val="99"/>
              </w:rPr>
              <w:t>(2),(4),(5),(6),(8),(16)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19,373.3</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38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(2,466.0)</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(310.9)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310.9</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(2), (4)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(2,466.0)</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charges and other, net</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9,030.6</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623.0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7,253.7</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16,907.3</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spacing w:after="0"/>
              <w:rPr>
                <w:sz w:val="14"/>
                <w:szCs w:val="14"/>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$22,264.9</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$1,337.9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$8,289.1</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$31,891.9</w:t>
            </w:r>
          </w:p>
        </w:tc>
      </w:tr>
      <w:tr>
        <w:trPr>
          <w:trHeight w:val="170"/>
        </w:trPr>
        <w:tc>
          <w:tcPr>
            <w:tcW w:w="5140" w:type="dxa"/>
            <w:vAlign w:val="bottom"/>
          </w:tcPr>
          <w:p>
            <w:pPr>
              <w:spacing w:after="0"/>
              <w:rPr>
                <w:sz w:val="14"/>
                <w:szCs w:val="14"/>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(DEFICIENCY)</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$2,197.3</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$97.2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$74.1</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(4),(6),(9),(11),(16)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$2,368.6</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Accrued interest</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140.9</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1,575.3</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1,575.3</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178.4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178.4</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4,091.9</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74.8</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4,302.2</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6,778.0</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1,436.4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361.4</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8,575.8</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2,883.7</w:t>
            </w:r>
          </w:p>
        </w:tc>
        <w:tc>
          <w:tcPr>
            <w:tcW w:w="260" w:type="dxa"/>
            <w:vAlign w:val="bottom"/>
          </w:tcPr>
          <w:p>
            <w:pPr>
              <w:spacing w:after="0"/>
              <w:rPr>
                <w:sz w:val="24"/>
                <w:szCs w:val="2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2,234.1</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5,124.9</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875.4</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907.0</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STOCKHOLDERS' EQUITY (DEFICIENCY)</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Series B convertible preferred stock</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562.3</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562.3</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715.1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116.0</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831.1</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27.2</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Additional capital</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3,448.2</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5,172.2</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(5),(7)</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8,671.1</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380" w:type="dxa"/>
            <w:vAlign w:val="bottom"/>
          </w:tcPr>
          <w:p>
            <w:pPr>
              <w:jc w:val="right"/>
              <w:ind w:right="212"/>
              <w:spacing w:after="0"/>
              <w:rPr>
                <w:sz w:val="20"/>
                <w:szCs w:val="20"/>
                <w:color w:val="auto"/>
              </w:rPr>
            </w:pPr>
            <w:r>
              <w:rPr>
                <w:rFonts w:ascii="Courier New" w:cs="Courier New" w:eastAsia="Courier New" w:hAnsi="Courier New"/>
                <w:sz w:val="15"/>
                <w:szCs w:val="15"/>
                <w:color w:val="auto"/>
              </w:rPr>
              <w:t>(371.9)</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(312.8)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312.8</w:t>
            </w:r>
          </w:p>
        </w:tc>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(371.9)</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3,245.6</w:t>
            </w:r>
          </w:p>
        </w:tc>
        <w:tc>
          <w:tcPr>
            <w:tcW w:w="26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3180" w:type="dxa"/>
            <w:vAlign w:val="bottom"/>
            <w:gridSpan w:val="2"/>
          </w:tcPr>
          <w:p>
            <w:pPr>
              <w:jc w:val="right"/>
              <w:ind w:right="1127"/>
              <w:spacing w:after="0"/>
              <w:rPr>
                <w:sz w:val="20"/>
                <w:szCs w:val="20"/>
                <w:color w:val="auto"/>
              </w:rPr>
            </w:pPr>
            <w:r>
              <w:rPr>
                <w:rFonts w:ascii="Courier New" w:cs="Courier New" w:eastAsia="Courier New" w:hAnsi="Courier New"/>
                <w:sz w:val="15"/>
                <w:szCs w:val="15"/>
                <w:color w:val="auto"/>
              </w:rPr>
              <w:t>(13.8) (4),(6),(7)</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3,252.8</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 (deficiency)</w:t>
            </w: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7,635.9</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(241.1)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5,587.2</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12,982.0</w:t>
            </w:r>
          </w:p>
        </w:tc>
      </w:tr>
      <w:tr>
        <w:trPr>
          <w:trHeight w:val="170"/>
        </w:trPr>
        <w:tc>
          <w:tcPr>
            <w:tcW w:w="51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9"/>
              </w:rPr>
              <w:t>----------------------------------</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140" w:type="dxa"/>
            <w:vAlign w:val="bottom"/>
          </w:tcPr>
          <w:p>
            <w:pPr>
              <w:spacing w:after="0"/>
              <w:rPr>
                <w:sz w:val="14"/>
                <w:szCs w:val="14"/>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$22,264.9</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$1,337.9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$8,289.1</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$31,891.9</w:t>
            </w:r>
          </w:p>
        </w:tc>
      </w:tr>
      <w:tr>
        <w:trPr>
          <w:trHeight w:val="170"/>
        </w:trPr>
        <w:tc>
          <w:tcPr>
            <w:tcW w:w="5140" w:type="dxa"/>
            <w:vAlign w:val="bottom"/>
          </w:tcPr>
          <w:p>
            <w:pPr>
              <w:spacing w:after="0"/>
              <w:rPr>
                <w:sz w:val="14"/>
                <w:szCs w:val="14"/>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bl>
    <w:p>
      <w:pPr>
        <w:spacing w:after="0" w:line="175"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520"/>
          </w:cols>
          <w:pgMar w:left="240" w:top="452"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Pro Forma Condensed Consolidated Statement of Operations (Unaudited)</w:t>
      </w:r>
    </w:p>
    <w:p>
      <w:pPr>
        <w:spacing w:after="0"/>
        <w:rPr>
          <w:sz w:val="20"/>
          <w:szCs w:val="20"/>
          <w:color w:val="auto"/>
        </w:rPr>
      </w:pPr>
      <w:r>
        <w:rPr>
          <w:rFonts w:ascii="Courier New" w:cs="Courier New" w:eastAsia="Courier New" w:hAnsi="Courier New"/>
          <w:sz w:val="15"/>
          <w:szCs w:val="15"/>
          <w:color w:val="auto"/>
        </w:rPr>
        <w:t>Nine Months Ended September 30, 1999</w:t>
      </w:r>
    </w:p>
    <w:p>
      <w:pPr>
        <w:spacing w:after="0" w:line="238"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Historical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Historical</w:t>
            </w:r>
          </w:p>
        </w:tc>
        <w:tc>
          <w:tcPr>
            <w:tcW w:w="2780" w:type="dxa"/>
            <w:vAlign w:val="bottom"/>
            <w:gridSpan w:val="2"/>
          </w:tcPr>
          <w:p>
            <w:pPr>
              <w:jc w:val="center"/>
              <w:ind w:right="687"/>
              <w:spacing w:after="0"/>
              <w:rPr>
                <w:sz w:val="20"/>
                <w:szCs w:val="20"/>
                <w:color w:val="auto"/>
              </w:rPr>
            </w:pPr>
            <w:r>
              <w:rPr>
                <w:rFonts w:ascii="Courier New" w:cs="Courier New" w:eastAsia="Courier New" w:hAnsi="Courier New"/>
                <w:sz w:val="15"/>
                <w:szCs w:val="15"/>
                <w:color w:val="auto"/>
                <w:w w:val="96"/>
              </w:rPr>
              <w:t>Pro Forma</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Comcast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Lenfest</w:t>
            </w:r>
          </w:p>
        </w:tc>
        <w:tc>
          <w:tcPr>
            <w:tcW w:w="2780" w:type="dxa"/>
            <w:vAlign w:val="bottom"/>
            <w:gridSpan w:val="2"/>
          </w:tcPr>
          <w:p>
            <w:pPr>
              <w:jc w:val="center"/>
              <w:ind w:right="687"/>
              <w:spacing w:after="0"/>
              <w:rPr>
                <w:sz w:val="20"/>
                <w:szCs w:val="20"/>
                <w:color w:val="auto"/>
              </w:rPr>
            </w:pPr>
            <w:r>
              <w:rPr>
                <w:rFonts w:ascii="Courier New" w:cs="Courier New" w:eastAsia="Courier New" w:hAnsi="Courier New"/>
                <w:sz w:val="15"/>
                <w:szCs w:val="15"/>
                <w:color w:val="auto"/>
                <w:w w:val="98"/>
              </w:rPr>
              <w:t>Adjustments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Service income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$2,418.4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$60.1</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(4),(6),(9),(10),(11)</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$2,883.0</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1,959.2</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1,959.2</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4,377.6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60.1</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4,842.2</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Operating</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1,201.6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145.9</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(4),(6),(9),(10),(11)</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1,352.1</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1,181.1</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1,181.1</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648.6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89.6</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742.7</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402.7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73.5</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(4),(6),(12)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549.2</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456.2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404.6</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(4),(6),(12)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898.8</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3,890.2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487.2</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4,723.9</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487.4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(427.1)</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(6),(13)</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493.4</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(229.1)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(230.3)</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of affiliates</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Other (income) expense</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(1,433.6)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(1,432.5)</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(1,270.8)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w:t>
            </w:r>
          </w:p>
        </w:tc>
        <w:tc>
          <w:tcPr>
            <w:tcW w:w="1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(1,165.0)</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EXPENSE,</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 DISCONTINUED OPERATIONS</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AND EXTRAORDINARY ITEMS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1,758.2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(445.1)</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1,283.3</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827.9</w:t>
            </w:r>
          </w:p>
        </w:tc>
        <w:tc>
          <w:tcPr>
            <w:tcW w:w="8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668.9</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 AND EXTRAORDINARY</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ITEMS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(286.1)</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614.4</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MINORITY INTEREST INCOME</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948.5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(286.1)</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632.6</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6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0"/>
        </w:trPr>
        <w:tc>
          <w:tcPr>
            <w:tcW w:w="536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w:t>
            </w: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FOR COMMON STOCKHOLDERS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$926.1</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($29.8)  ($286.1)</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$610.2</w:t>
            </w:r>
          </w:p>
        </w:tc>
      </w:tr>
      <w:tr>
        <w:trPr>
          <w:trHeight w:val="170"/>
        </w:trPr>
        <w:tc>
          <w:tcPr>
            <w:tcW w:w="5360" w:type="dxa"/>
            <w:vAlign w:val="bottom"/>
          </w:tcPr>
          <w:p>
            <w:pPr>
              <w:spacing w:after="0"/>
              <w:rPr>
                <w:sz w:val="14"/>
                <w:szCs w:val="14"/>
                <w:color w:val="auto"/>
              </w:rPr>
            </w:pPr>
          </w:p>
        </w:tc>
        <w:tc>
          <w:tcPr>
            <w:tcW w:w="332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earnings for common stockholders per common share</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from continuing operations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$0.71</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747.0</w:t>
            </w: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863.0</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earnings for common stockholders per common share</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from continuing operations</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$0.68</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815.4</w:t>
            </w: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931.4</w:t>
            </w:r>
          </w:p>
        </w:tc>
      </w:tr>
      <w:tr>
        <w:trPr>
          <w:trHeight w:val="170"/>
        </w:trPr>
        <w:tc>
          <w:tcPr>
            <w:tcW w:w="536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bl>
    <w:p>
      <w:pPr>
        <w:spacing w:after="0" w:line="175"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520"/>
          </w:cols>
          <w:pgMar w:left="240" w:top="452"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Comcast Corporation</w:t>
      </w:r>
    </w:p>
    <w:p>
      <w:pPr>
        <w:spacing w:after="0"/>
        <w:rPr>
          <w:sz w:val="20"/>
          <w:szCs w:val="20"/>
          <w:color w:val="auto"/>
        </w:rPr>
      </w:pPr>
      <w:r>
        <w:rPr>
          <w:rFonts w:ascii="Courier New" w:cs="Courier New" w:eastAsia="Courier New" w:hAnsi="Courier New"/>
          <w:sz w:val="15"/>
          <w:szCs w:val="15"/>
          <w:color w:val="auto"/>
        </w:rPr>
        <w:t>Pro Forma Condensed Consolidated Statement of Operations (Unaudited)</w:t>
      </w:r>
    </w:p>
    <w:p>
      <w:pPr>
        <w:spacing w:after="0"/>
        <w:rPr>
          <w:sz w:val="20"/>
          <w:szCs w:val="20"/>
          <w:color w:val="auto"/>
        </w:rPr>
      </w:pPr>
      <w:r>
        <w:rPr>
          <w:rFonts w:ascii="Courier New" w:cs="Courier New" w:eastAsia="Courier New" w:hAnsi="Courier New"/>
          <w:sz w:val="15"/>
          <w:szCs w:val="15"/>
          <w:color w:val="auto"/>
        </w:rPr>
        <w:t>Year Ended December 31, 1998</w:t>
      </w:r>
    </w:p>
    <w:p>
      <w:pPr>
        <w:spacing w:after="0" w:line="238"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Historical</w:t>
            </w:r>
          </w:p>
        </w:tc>
        <w:tc>
          <w:tcPr>
            <w:tcW w:w="282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Pro Forma</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Comcast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Lenfest</w:t>
            </w:r>
          </w:p>
        </w:tc>
        <w:tc>
          <w:tcPr>
            <w:tcW w:w="2820" w:type="dxa"/>
            <w:vAlign w:val="bottom"/>
            <w:gridSpan w:val="2"/>
          </w:tcPr>
          <w:p>
            <w:pPr>
              <w:jc w:val="right"/>
              <w:ind w:right="1307"/>
              <w:spacing w:after="0"/>
              <w:rPr>
                <w:sz w:val="20"/>
                <w:szCs w:val="20"/>
                <w:color w:val="auto"/>
              </w:rPr>
            </w:pPr>
            <w:r>
              <w:rPr>
                <w:rFonts w:ascii="Courier New" w:cs="Courier New" w:eastAsia="Courier New" w:hAnsi="Courier New"/>
                <w:sz w:val="15"/>
                <w:szCs w:val="15"/>
                <w:color w:val="auto"/>
              </w:rPr>
              <w:t>Adjustments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Service income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$2,742.6</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$470.4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$78.3</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(4),(6),(9),(10),(11)</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$3,291.3</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2,402.7</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2,402.7</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5,145.3</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470.4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78.3</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5,694.0</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Operating</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1,410.3</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(4),6),(9),(10),(11)</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1,589.3</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1,462.0</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1,462.0</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776.3</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884.1</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Depreciation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463.9</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55.2</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(4),(6),(12)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608.4</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475.7</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541.8</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(4),(6),(12)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1,066.1</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4,588.2</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412.8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608.9</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5,609.9</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557.1</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(530.6)</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466.7</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(6),(13)</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599.8</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2820" w:type="dxa"/>
            <w:vAlign w:val="bottom"/>
            <w:gridSpan w:val="2"/>
          </w:tcPr>
          <w:p>
            <w:pPr>
              <w:jc w:val="right"/>
              <w:ind w:right="1567"/>
              <w:spacing w:after="0"/>
              <w:rPr>
                <w:sz w:val="20"/>
                <w:szCs w:val="20"/>
                <w:color w:val="auto"/>
              </w:rPr>
            </w:pPr>
            <w:r>
              <w:rPr>
                <w:rFonts w:ascii="Courier New" w:cs="Courier New" w:eastAsia="Courier New" w:hAnsi="Courier New"/>
                <w:sz w:val="15"/>
                <w:szCs w:val="15"/>
                <w:color w:val="auto"/>
              </w:rPr>
              <w:t>(0.5) (6)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(1,845.7)</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losses of affiliates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515.9</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w:t>
            </w:r>
          </w:p>
        </w:tc>
        <w:tc>
          <w:tcPr>
            <w:tcW w:w="282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rPr>
              <w:t>(1.2) (4),(6)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518.5</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Gain from equity offering of affiliate</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(157.8)</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(157.8)</w:t>
            </w: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Other expense</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(1,000.3)</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w:t>
            </w:r>
          </w:p>
        </w:tc>
        <w:tc>
          <w:tcPr>
            <w:tcW w:w="19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(882.0)</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 EXPENSE</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(BENEFIT), MINORITY INTEREST, DISCONTINUED</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OPERATIONS AND EXTRAORDINARY ITEMS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(541.9)</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966.1</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2820" w:type="dxa"/>
            <w:vAlign w:val="bottom"/>
            <w:gridSpan w:val="2"/>
          </w:tcPr>
          <w:p>
            <w:pPr>
              <w:jc w:val="right"/>
              <w:ind w:right="1487"/>
              <w:spacing w:after="0"/>
              <w:rPr>
                <w:sz w:val="20"/>
                <w:szCs w:val="20"/>
                <w:color w:val="auto"/>
              </w:rPr>
            </w:pPr>
            <w:r>
              <w:rPr>
                <w:rFonts w:ascii="Courier New" w:cs="Courier New" w:eastAsia="Courier New" w:hAnsi="Courier New"/>
                <w:sz w:val="15"/>
                <w:szCs w:val="15"/>
                <w:color w:val="auto"/>
              </w:rPr>
              <w:t>(187.1) (14)</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403.8</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DISCONTINUED OPERATIONS AND</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562.3</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MINORITY INTEREST INCOME</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(44.3)</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1,007.7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606.6</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r>
      <w:tr>
        <w:trPr>
          <w:trHeight w:val="170"/>
        </w:trPr>
        <w:tc>
          <w:tcPr>
            <w:tcW w:w="53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4"/>
              </w:rPr>
              <w:t>--------------------------------</w:t>
            </w: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FOR COMMON STOCKHOLDERS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$978.6</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($46.3)  ($354.8)</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$577.5</w:t>
            </w:r>
          </w:p>
        </w:tc>
      </w:tr>
      <w:tr>
        <w:trPr>
          <w:trHeight w:val="170"/>
        </w:trPr>
        <w:tc>
          <w:tcPr>
            <w:tcW w:w="5360" w:type="dxa"/>
            <w:vAlign w:val="bottom"/>
          </w:tcPr>
          <w:p>
            <w:pPr>
              <w:spacing w:after="0"/>
              <w:rPr>
                <w:sz w:val="14"/>
                <w:szCs w:val="14"/>
                <w:color w:val="auto"/>
              </w:rPr>
            </w:pPr>
          </w:p>
        </w:tc>
        <w:tc>
          <w:tcPr>
            <w:tcW w:w="332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earnings for common stockholders per common share</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from continuing operations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$0.68</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733.0</w:t>
            </w:r>
          </w:p>
        </w:tc>
        <w:tc>
          <w:tcPr>
            <w:tcW w:w="9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849.0</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earnings for common stockholders per common share</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from continuing operations</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$0.66</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w:t>
            </w: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outstanding during the period</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806.0</w:t>
            </w:r>
          </w:p>
        </w:tc>
        <w:tc>
          <w:tcPr>
            <w:tcW w:w="9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922.0</w:t>
            </w:r>
          </w:p>
        </w:tc>
      </w:tr>
      <w:tr>
        <w:trPr>
          <w:trHeight w:val="170"/>
        </w:trPr>
        <w:tc>
          <w:tcPr>
            <w:tcW w:w="536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94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w:t>
            </w:r>
          </w:p>
        </w:tc>
      </w:tr>
    </w:tbl>
    <w:p>
      <w:pPr>
        <w:spacing w:after="0" w:line="175"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See notes to unaudited pro forma condensed consolidated financial statements.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520"/>
          </w:cols>
          <w:pgMar w:left="240" w:top="452" w:right="139" w:bottom="1440" w:gutter="0" w:footer="0" w:header="0"/>
        </w:sectPr>
      </w:pPr>
    </w:p>
    <w:bookmarkStart w:id="9" w:name="page10"/>
    <w:bookmarkEnd w:id="9"/>
    <w:p>
      <w:pPr>
        <w:ind w:left="10"/>
        <w:spacing w:after="0"/>
        <w:rPr>
          <w:sz w:val="20"/>
          <w:szCs w:val="20"/>
          <w:color w:val="auto"/>
        </w:rPr>
      </w:pPr>
      <w:r>
        <w:rPr>
          <w:rFonts w:ascii="Courier New" w:cs="Courier New" w:eastAsia="Courier New" w:hAnsi="Courier New"/>
          <w:sz w:val="15"/>
          <w:szCs w:val="15"/>
          <w:color w:val="auto"/>
        </w:rPr>
        <w:t>PRO FORMA ADJUSTMENTS</w:t>
      </w:r>
    </w:p>
    <w:p>
      <w:pPr>
        <w:spacing w:after="0" w:line="175" w:lineRule="exact"/>
        <w:rPr>
          <w:sz w:val="20"/>
          <w:szCs w:val="20"/>
          <w:color w:val="auto"/>
        </w:rPr>
      </w:pPr>
    </w:p>
    <w:p>
      <w:pPr>
        <w:jc w:val="both"/>
        <w:ind w:left="10" w:right="3179"/>
        <w:spacing w:after="0" w:line="237"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and unaudited pro forma condensed consolidated statement of operations to reflect the Lenfest Acquisition:</w:t>
      </w:r>
    </w:p>
    <w:p>
      <w:pPr>
        <w:spacing w:after="0" w:line="176" w:lineRule="exact"/>
        <w:rPr>
          <w:sz w:val="20"/>
          <w:szCs w:val="20"/>
          <w:color w:val="auto"/>
        </w:rPr>
      </w:pPr>
    </w:p>
    <w:p>
      <w:pPr>
        <w:ind w:left="530" w:right="3179" w:hanging="530"/>
        <w:spacing w:after="0" w:line="259"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estimated fair value of the property and equipment acquired in excess of the historical book value of such property and equipment. The estimated fair value of the acquired property and equipment is subject to adjustment upon receipt by Comcast of an independent appraisal of Lenfest.</w:t>
      </w:r>
    </w:p>
    <w:p>
      <w:pPr>
        <w:spacing w:after="0" w:line="162" w:lineRule="exact"/>
        <w:rPr>
          <w:rFonts w:ascii="Courier New" w:cs="Courier New" w:eastAsia="Courier New" w:hAnsi="Courier New"/>
          <w:sz w:val="14"/>
          <w:szCs w:val="14"/>
          <w:color w:val="auto"/>
        </w:rPr>
      </w:pPr>
    </w:p>
    <w:p>
      <w:pPr>
        <w:ind w:left="530" w:right="3259" w:hanging="530"/>
        <w:spacing w:after="0" w:line="259"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allocation of the excess of the total consideration over the net assets acquired to deferred charges, principally to franchise acquisition costs. The purchase price allocation is subject to adjustment upon receipt by Comcast of an independent appraisal of Lenfest.</w:t>
      </w:r>
    </w:p>
    <w:p>
      <w:pPr>
        <w:spacing w:after="0" w:line="162" w:lineRule="exact"/>
        <w:rPr>
          <w:rFonts w:ascii="Courier New" w:cs="Courier New" w:eastAsia="Courier New" w:hAnsi="Courier New"/>
          <w:sz w:val="14"/>
          <w:szCs w:val="14"/>
          <w:color w:val="auto"/>
        </w:rPr>
      </w:pPr>
    </w:p>
    <w:p>
      <w:pPr>
        <w:ind w:left="530" w:right="33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long-term debt acquired in excess of the historical book value of such long-term debt. The purchase price allocation is subject to adjustment upon receipt by Comcast of an independent appraisal of Lenfest.</w:t>
      </w:r>
    </w:p>
    <w:p>
      <w:pPr>
        <w:spacing w:after="0" w:line="176" w:lineRule="exact"/>
        <w:rPr>
          <w:rFonts w:ascii="Courier New" w:cs="Courier New" w:eastAsia="Courier New" w:hAnsi="Courier New"/>
          <w:sz w:val="15"/>
          <w:szCs w:val="15"/>
          <w:color w:val="auto"/>
        </w:rPr>
      </w:pPr>
    </w:p>
    <w:p>
      <w:pPr>
        <w:ind w:left="530" w:right="353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assets and liabilities and the results of operations that were not acquired or assumed by the Company pursuant to the terms of the Merger Agreement (primarily certain of Lenfest's non-cable television operations).</w:t>
      </w:r>
    </w:p>
    <w:p>
      <w:pPr>
        <w:spacing w:after="0" w:line="176" w:lineRule="exact"/>
        <w:rPr>
          <w:rFonts w:ascii="Courier New" w:cs="Courier New" w:eastAsia="Courier New" w:hAnsi="Courier New"/>
          <w:sz w:val="15"/>
          <w:szCs w:val="15"/>
          <w:color w:val="auto"/>
        </w:rPr>
      </w:pPr>
    </w:p>
    <w:p>
      <w:pPr>
        <w:ind w:left="530" w:right="3259" w:hanging="530"/>
        <w:spacing w:after="0" w:line="258"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par value of the 116.0 million shares of Class A Special Common Stock issued by Comcast and the related additional capital valued at $5.339 billion, based on the average closing price of the Class A Special Common Stock for the period from November 9, 1999 to November 22, 1999, and certain other costs of the acquisition totaling $2.0 million.</w:t>
      </w:r>
    </w:p>
    <w:p>
      <w:pPr>
        <w:spacing w:after="0" w:line="164" w:lineRule="exact"/>
        <w:rPr>
          <w:rFonts w:ascii="Courier New" w:cs="Courier New" w:eastAsia="Courier New" w:hAnsi="Courier New"/>
          <w:sz w:val="14"/>
          <w:szCs w:val="14"/>
          <w:color w:val="auto"/>
        </w:rPr>
      </w:pPr>
    </w:p>
    <w:p>
      <w:pPr>
        <w:jc w:val="both"/>
        <w:ind w:left="530" w:right="317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consolidation of Garden State Cablevision L.P., an investee previously accounted for under the equity method, owned 50% by Comcast and 50% by Lenfest.</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Lenfest's historical equity.</w:t>
      </w:r>
    </w:p>
    <w:p>
      <w:pPr>
        <w:spacing w:after="0" w:line="174" w:lineRule="exact"/>
        <w:rPr>
          <w:rFonts w:ascii="Courier New" w:cs="Courier New" w:eastAsia="Courier New" w:hAnsi="Courier New"/>
          <w:sz w:val="15"/>
          <w:szCs w:val="15"/>
          <w:color w:val="auto"/>
        </w:rPr>
      </w:pPr>
    </w:p>
    <w:p>
      <w:pPr>
        <w:ind w:left="530" w:right="33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Lenfest arising from the Lenfest Acquisition.</w:t>
      </w:r>
    </w:p>
    <w:p>
      <w:pPr>
        <w:spacing w:after="0" w:line="174" w:lineRule="exact"/>
        <w:rPr>
          <w:rFonts w:ascii="Courier New" w:cs="Courier New" w:eastAsia="Courier New" w:hAnsi="Courier New"/>
          <w:sz w:val="15"/>
          <w:szCs w:val="15"/>
          <w:color w:val="auto"/>
        </w:rPr>
      </w:pPr>
    </w:p>
    <w:p>
      <w:pPr>
        <w:ind w:left="530" w:right="3179" w:hanging="530"/>
        <w:spacing w:after="0" w:line="235"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to Lenfest by QVC, Inc., a consolidated subsidiary of Comcast.</w:t>
      </w:r>
    </w:p>
    <w:p>
      <w:pPr>
        <w:spacing w:after="0" w:line="175" w:lineRule="exact"/>
        <w:rPr>
          <w:rFonts w:ascii="Courier New" w:cs="Courier New" w:eastAsia="Courier New" w:hAnsi="Courier New"/>
          <w:sz w:val="15"/>
          <w:szCs w:val="15"/>
          <w:color w:val="auto"/>
        </w:rPr>
      </w:pPr>
    </w:p>
    <w:p>
      <w:pPr>
        <w:ind w:left="530" w:right="317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cable programming expenses charged to Lenfest by E! Entertainment Television, Inc., a consolidated subsidiary of Comcast.</w:t>
      </w:r>
    </w:p>
    <w:p>
      <w:pPr>
        <w:spacing w:after="0" w:line="174" w:lineRule="exact"/>
        <w:rPr>
          <w:rFonts w:ascii="Courier New" w:cs="Courier New" w:eastAsia="Courier New" w:hAnsi="Courier New"/>
          <w:sz w:val="15"/>
          <w:szCs w:val="15"/>
          <w:color w:val="auto"/>
        </w:rPr>
      </w:pPr>
    </w:p>
    <w:p>
      <w:pPr>
        <w:jc w:val="both"/>
        <w:ind w:left="530" w:right="3799" w:hanging="530"/>
        <w:spacing w:after="0" w:line="265" w:lineRule="auto"/>
        <w:tabs>
          <w:tab w:leader="none" w:pos="53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elimination of cable programming expenses charged to Lenfest by Comcast SportsNet, a consolidated subsidiary of Comcast.</w:t>
      </w:r>
    </w:p>
    <w:p>
      <w:pPr>
        <w:spacing w:after="0" w:line="158" w:lineRule="exact"/>
        <w:rPr>
          <w:rFonts w:ascii="Courier New" w:cs="Courier New" w:eastAsia="Courier New" w:hAnsi="Courier New"/>
          <w:sz w:val="14"/>
          <w:szCs w:val="14"/>
          <w:color w:val="auto"/>
        </w:rPr>
      </w:pPr>
    </w:p>
    <w:p>
      <w:pPr>
        <w:ind w:left="530" w:right="3179"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depreciation and amortization expense related to the fair value of the assets acquired in excess of their historical book values and amortization of deferred charges and goodwill arising from the Lenfest Acquisition. Depreciation expense is based on a weighted average life for property and equipment of 10 years. Amortization expense is based on a weighted average life for deferred charges of 12 years and goodwill of 20 years.</w:t>
      </w:r>
    </w:p>
    <w:p>
      <w:pPr>
        <w:spacing w:after="0" w:line="176" w:lineRule="exact"/>
        <w:rPr>
          <w:rFonts w:ascii="Courier New" w:cs="Courier New" w:eastAsia="Courier New" w:hAnsi="Courier New"/>
          <w:sz w:val="15"/>
          <w:szCs w:val="15"/>
          <w:color w:val="auto"/>
        </w:rPr>
      </w:pPr>
    </w:p>
    <w:p>
      <w:pPr>
        <w:ind w:left="530" w:right="32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reduction in interest expense resulting from the increased fair value of the debt acquired in excess of its historical book value. The reduction in interest expense is based on a weighted average maturity date of Lenfest's long-term debt of approximately 7 years.</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tax effects of the pro forma adjustments.</w:t>
      </w:r>
    </w:p>
    <w:p>
      <w:pPr>
        <w:spacing w:after="0" w:line="174" w:lineRule="exact"/>
        <w:rPr>
          <w:rFonts w:ascii="Courier New" w:cs="Courier New" w:eastAsia="Courier New" w:hAnsi="Courier New"/>
          <w:sz w:val="15"/>
          <w:szCs w:val="15"/>
          <w:color w:val="auto"/>
        </w:rPr>
      </w:pPr>
    </w:p>
    <w:p>
      <w:pPr>
        <w:ind w:left="530" w:right="3259" w:hanging="530"/>
        <w:spacing w:after="0" w:line="235"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shares of Comcast's Class A Special Common stock issued in the Lenfest Acquisition.</w:t>
      </w:r>
    </w:p>
    <w:p>
      <w:pPr>
        <w:spacing w:after="0" w:line="175" w:lineRule="exact"/>
        <w:rPr>
          <w:rFonts w:ascii="Courier New" w:cs="Courier New" w:eastAsia="Courier New" w:hAnsi="Courier New"/>
          <w:sz w:val="15"/>
          <w:szCs w:val="15"/>
          <w:color w:val="auto"/>
        </w:rPr>
      </w:pPr>
    </w:p>
    <w:p>
      <w:pPr>
        <w:ind w:left="530" w:right="3179"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bonus plan payments due under the Agreement and Plan of Merger, entered into by Comcast, Comcast LCI Holdings, Inc., a wholly owned subsidiary of Comcast, Lenfest and Lenfest's stockholders as named therein, estimated at approximately $60.0 million. Payments under the bonus plan are contingent upon the closing of the Lenfest Acquisition. For the purpose of the pro forma financial statements, the bonus plan payments have been recognized as a liability assumed as part of the Lenfest Acquisition which results in additional deferred charges at the date of acquisition.</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9"/>
          </w:cols>
          <w:pgMar w:left="230" w:top="791" w:right="1440" w:bottom="1440" w:gutter="0" w:footer="0" w:header="0"/>
        </w:sectPr>
      </w:pPr>
    </w:p>
    <w:bookmarkStart w:id="10" w:name="page11"/>
    <w:bookmarkEnd w:id="10"/>
    <w:p>
      <w:pPr>
        <w:ind w:left="132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4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We consent to the incorporation by reference in this Form 8-K of Comcast Corporation of our report dated March 5, 1999, on our audits of the consolidated balance sheets of Lenfest Communications, Inc. and subsidiaries as of December 31, 1998 and 1997, and the related consolidated statements of operations and comprehensive income (loss), changes in stockholders' equity (deficit) and cash flows for each of the years in the three-year period ended December 31, 1998. Such consolidated financial statements are not separately presented herein.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Pressman Ciocca Smith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14, 1999</w:t>
      </w:r>
    </w:p>
    <w:p>
      <w:pPr>
        <w:spacing w:after="0"/>
        <w:rPr>
          <w:sz w:val="20"/>
          <w:szCs w:val="20"/>
          <w:color w:val="auto"/>
        </w:rPr>
      </w:pPr>
      <w:r>
        <w:rPr>
          <w:rFonts w:ascii="Courier New" w:cs="Courier New" w:eastAsia="Courier New" w:hAnsi="Courier New"/>
          <w:sz w:val="15"/>
          <w:szCs w:val="15"/>
          <w:color w:val="auto"/>
        </w:rPr>
        <w:t>Hatboro, Pennsylvania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2020-02-22T17:10:42Z</dcterms:created>
  <dcterms:modified xsi:type="dcterms:W3CDTF">2020-02-22T17:10:42Z</dcterms:modified>
</cp:coreProperties>
</file>