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5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-233045</wp:posOffset>
            </wp:positionV>
            <wp:extent cx="127635" cy="127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" cy="127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5"/>
        </w:trPr>
        <w:tc>
          <w:tcPr>
            <w:tcW w:w="624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5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58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5231765</wp:posOffset>
            </wp:positionH>
            <wp:positionV relativeFrom="paragraph">
              <wp:posOffset>-610870</wp:posOffset>
            </wp:positionV>
            <wp:extent cx="57150" cy="624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3945890</wp:posOffset>
            </wp:positionH>
            <wp:positionV relativeFrom="paragraph">
              <wp:posOffset>-610870</wp:posOffset>
            </wp:positionV>
            <wp:extent cx="57150" cy="6242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-1675130</wp:posOffset>
            </wp:positionH>
            <wp:positionV relativeFrom="paragraph">
              <wp:posOffset>20320</wp:posOffset>
            </wp:positionV>
            <wp:extent cx="6997065" cy="60788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065" cy="6078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420"/>
            <w:col w:w="8460"/>
          </w:cols>
          <w:pgMar w:left="460" w:top="215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Armstrong Jason</w:t>
        </w:r>
      </w:hyperlink>
    </w:p>
    <w:p>
      <w:pPr>
        <w:spacing w:after="0" w:line="28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7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89"/>
              </w:rPr>
              <w:t>(Middle)</w:t>
            </w:r>
          </w:p>
        </w:tc>
      </w:tr>
      <w:tr>
        <w:trPr>
          <w:trHeight w:val="262"/>
        </w:trPr>
        <w:tc>
          <w:tcPr>
            <w:tcW w:w="2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ONE COMCAST CENTER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68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4"/>
        </w:trPr>
        <w:tc>
          <w:tcPr>
            <w:tcW w:w="2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PHILADELPHIA PA</w:t>
            </w:r>
          </w:p>
        </w:tc>
        <w:tc>
          <w:tcPr>
            <w:tcW w:w="7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19103</w:t>
            </w:r>
          </w:p>
        </w:tc>
      </w:tr>
      <w:tr>
        <w:trPr>
          <w:trHeight w:val="455"/>
        </w:trPr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7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COMCAST CORP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CMCSA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320" w:type="dxa"/>
            <w:vAlign w:val="bottom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12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320" w:type="dxa"/>
            <w:vAlign w:val="bottom"/>
          </w:tcPr>
          <w:p>
            <w:pPr>
              <w:ind w:left="18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03/01/2024</w:t>
            </w: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CFO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5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20" w:right="460"/>
        <w:spacing w:after="0" w:line="28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1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7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7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03/01/2024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4,312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0.0000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29,619.016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7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03/01/2024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2,070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0.0000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31,689.016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7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03/01/2024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875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42.8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30,814.016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7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03/01/2024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1,822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42.8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28,992.016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80" w:type="dxa"/>
            <w:vAlign w:val="bottom"/>
            <w:gridSpan w:val="11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223,920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42.8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03/01/2024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223,920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02/28/2034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223,920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(2)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2,070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03/01/2024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2,070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67,566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(2)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4,312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03/01/2024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4,312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63,254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-2407920</wp:posOffset>
            </wp:positionV>
            <wp:extent cx="28575" cy="24130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41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date of the grant was March 1, 2024, and the stock options vest as follows: 20% vests on the 1st, 2nd, 3rd, 4th and 5th anniversaries of the date of the grant.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2. Each restricted stock unit represents a contingent right to receive one share of Class A Common Stock.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3. These restricted stock units vest on the transaction date.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Elizabeth Wideman, Attorney-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03/05/2024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in-fact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both"/>
        <w:ind w:left="40" w:right="3780" w:hanging="2"/>
        <w:spacing w:after="0" w:line="328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5890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2024-03-05T18:58:47Z</dcterms:created>
  <dcterms:modified xsi:type="dcterms:W3CDTF">2024-03-05T18:58:47Z</dcterms:modified>
</cp:coreProperties>
</file>