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November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500" w:type="dxa"/>
            <w:vAlign w:val="bottom"/>
          </w:tcPr>
          <w:p>
            <w:pPr>
              <w:spacing w:after="0"/>
              <w:rPr>
                <w:sz w:val="18"/>
                <w:szCs w:val="18"/>
                <w:color w:val="auto"/>
              </w:rPr>
            </w:pPr>
          </w:p>
        </w:tc>
        <w:tc>
          <w:tcPr>
            <w:tcW w:w="5440" w:type="dxa"/>
            <w:vAlign w:val="bottom"/>
          </w:tcPr>
          <w:p>
            <w:pPr>
              <w:jc w:val="center"/>
              <w:ind w:right="236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500" w:type="dxa"/>
            <w:vAlign w:val="bottom"/>
          </w:tcPr>
          <w:p>
            <w:pPr>
              <w:spacing w:after="0"/>
              <w:rPr>
                <w:sz w:val="15"/>
                <w:szCs w:val="15"/>
                <w:color w:val="auto"/>
              </w:rPr>
            </w:pPr>
          </w:p>
        </w:tc>
        <w:tc>
          <w:tcPr>
            <w:tcW w:w="5440" w:type="dxa"/>
            <w:vAlign w:val="bottom"/>
          </w:tcPr>
          <w:p>
            <w:pPr>
              <w:jc w:val="center"/>
              <w:ind w:right="2362"/>
              <w:spacing w:after="0"/>
              <w:rPr>
                <w:sz w:val="20"/>
                <w:szCs w:val="20"/>
                <w:color w:val="auto"/>
              </w:rPr>
            </w:pPr>
            <w:r>
              <w:rPr>
                <w:rFonts w:ascii="Arial" w:cs="Arial" w:eastAsia="Arial" w:hAnsi="Arial"/>
                <w:sz w:val="14"/>
                <w:szCs w:val="14"/>
                <w:b w:val="1"/>
                <w:bCs w:val="1"/>
                <w:color w:val="auto"/>
                <w:w w:val="87"/>
              </w:rPr>
              <w:t>(State or other jurisdiction of incorporation)</w:t>
            </w:r>
          </w:p>
        </w:tc>
      </w:tr>
      <w:tr>
        <w:trPr>
          <w:trHeight w:val="393"/>
        </w:trPr>
        <w:tc>
          <w:tcPr>
            <w:tcW w:w="2500" w:type="dxa"/>
            <w:vAlign w:val="bottom"/>
          </w:tcPr>
          <w:p>
            <w:pPr>
              <w:jc w:val="center"/>
              <w:ind w:right="140"/>
              <w:spacing w:after="0"/>
              <w:rPr>
                <w:sz w:val="20"/>
                <w:szCs w:val="20"/>
                <w:color w:val="auto"/>
              </w:rPr>
            </w:pPr>
            <w:r>
              <w:rPr>
                <w:rFonts w:ascii="Arial" w:cs="Arial" w:eastAsia="Arial" w:hAnsi="Arial"/>
                <w:sz w:val="18"/>
                <w:szCs w:val="18"/>
                <w:b w:val="1"/>
                <w:bCs w:val="1"/>
                <w:color w:val="auto"/>
                <w:w w:val="88"/>
              </w:rPr>
              <w:t>001-32871</w:t>
            </w:r>
          </w:p>
        </w:tc>
        <w:tc>
          <w:tcPr>
            <w:tcW w:w="5440" w:type="dxa"/>
            <w:vAlign w:val="bottom"/>
          </w:tcPr>
          <w:p>
            <w:pPr>
              <w:jc w:val="center"/>
              <w:ind w:left="340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50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(Commission File Number)</w:t>
            </w:r>
          </w:p>
        </w:tc>
        <w:tc>
          <w:tcPr>
            <w:tcW w:w="5440" w:type="dxa"/>
            <w:vAlign w:val="bottom"/>
          </w:tcPr>
          <w:p>
            <w:pPr>
              <w:jc w:val="center"/>
              <w:ind w:left="34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500" w:type="dxa"/>
            <w:vAlign w:val="bottom"/>
          </w:tcPr>
          <w:p>
            <w:pPr>
              <w:jc w:val="center"/>
              <w:ind w:right="140"/>
              <w:spacing w:after="0"/>
              <w:rPr>
                <w:sz w:val="20"/>
                <w:szCs w:val="20"/>
                <w:color w:val="auto"/>
              </w:rPr>
            </w:pPr>
            <w:r>
              <w:rPr>
                <w:rFonts w:ascii="Arial" w:cs="Arial" w:eastAsia="Arial" w:hAnsi="Arial"/>
                <w:sz w:val="18"/>
                <w:szCs w:val="18"/>
                <w:b w:val="1"/>
                <w:bCs w:val="1"/>
                <w:color w:val="auto"/>
                <w:w w:val="87"/>
              </w:rPr>
              <w:t>One Comcast Center</w:t>
            </w:r>
          </w:p>
        </w:tc>
        <w:tc>
          <w:tcPr>
            <w:tcW w:w="5440" w:type="dxa"/>
            <w:vAlign w:val="bottom"/>
          </w:tcPr>
          <w:p>
            <w:pPr>
              <w:spacing w:after="0"/>
              <w:rPr>
                <w:sz w:val="24"/>
                <w:szCs w:val="24"/>
                <w:color w:val="auto"/>
              </w:rPr>
            </w:pPr>
          </w:p>
        </w:tc>
      </w:tr>
      <w:tr>
        <w:trPr>
          <w:trHeight w:val="231"/>
        </w:trPr>
        <w:tc>
          <w:tcPr>
            <w:tcW w:w="250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Philadelphia, PA</w:t>
            </w:r>
          </w:p>
        </w:tc>
        <w:tc>
          <w:tcPr>
            <w:tcW w:w="5440" w:type="dxa"/>
            <w:vAlign w:val="bottom"/>
          </w:tcPr>
          <w:p>
            <w:pPr>
              <w:jc w:val="center"/>
              <w:ind w:left="340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500" w:type="dxa"/>
            <w:vAlign w:val="bottom"/>
          </w:tcPr>
          <w:p>
            <w:pPr>
              <w:jc w:val="center"/>
              <w:ind w:right="1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40" w:type="dxa"/>
            <w:vAlign w:val="bottom"/>
          </w:tcPr>
          <w:p>
            <w:pPr>
              <w:jc w:val="center"/>
              <w:ind w:left="342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November 23, 2010, Comcast Corporation (“Comcast”) expects to consummate the issuance and sale of £625,000,000 principal amount of its 5.50% Notes due 2029 (the “Notes”), pursuant to an underwriting agreement dated November 17, 2010 among Comcast, the Cable Guarantors (defined below) and Barclays Bank PLC, Deutsche Bank AG, London Branch, Goldman Sachs International and The Royal Bank of Scotland plc, as representatives of the several underwriters named therein. The Notes will be issued pursuant to an Indenture dated as of January 7, 2003 (the “Indenture”) among Comcast, the cable guarantors named therein and The Bank of New York Mellon (formerly known as The Bank of New York), as trustee (the “Trustee”),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 and an officers’ certificate issued pursuant thereto. The Notes are guaranteed on an unsecured and unsubordinated basis by Comcast Cable Communications, LLC, Comcast Cable Holdings, LLC, Comcast MO Group, Inc. and Comcast MO of Delaware, LLC (the “Cable Guarantors”).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April 27, 2009 (Reg. No. 333-158816), including the prospectus contained therein, and a related prospectus supplement dated November 17, 2010.</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as Exhibit 4.4 to Comcast’s Form 8-A filed on November 18, 2010 and incorporated by reference herein and in the Indenture filed as Exhibit 4.4 and the First Supplemental Indenture filed as Exhibit 4.5 to Comcast’s Annual Report on Form 10-K for the year ended December 31, 2008 and the Second Supplemental Indenture filed as Exhibit 4.1 to Comcast’s Current Report on Form 8-K filed on September 2, 2009.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468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980" w:type="dxa"/>
            <w:vAlign w:val="bottom"/>
          </w:tcPr>
          <w:p>
            <w:pPr>
              <w:spacing w:after="0"/>
              <w:rPr>
                <w:sz w:val="14"/>
                <w:szCs w:val="14"/>
                <w:color w:val="auto"/>
              </w:rPr>
            </w:pPr>
          </w:p>
        </w:tc>
      </w:tr>
      <w:tr>
        <w:trPr>
          <w:trHeight w:val="316"/>
        </w:trPr>
        <w:tc>
          <w:tcPr>
            <w:tcW w:w="520" w:type="dxa"/>
            <w:vAlign w:val="bottom"/>
          </w:tcPr>
          <w:p>
            <w:pPr>
              <w:jc w:val="right"/>
              <w:ind w:right="118"/>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Consent of Davis Polk &amp; Wardwell LLP (contained in Exhibit 5.2)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November 19, 2010</w:t>
            </w: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9"/>
        </w:trPr>
        <w:tc>
          <w:tcPr>
            <w:tcW w:w="3840" w:type="dxa"/>
            <w:vAlign w:val="bottom"/>
          </w:tcPr>
          <w:p>
            <w:pPr>
              <w:spacing w:after="0"/>
              <w:rPr>
                <w:sz w:val="17"/>
                <w:szCs w:val="17"/>
                <w:color w:val="auto"/>
              </w:rPr>
            </w:pPr>
          </w:p>
        </w:tc>
        <w:tc>
          <w:tcPr>
            <w:tcW w:w="2460" w:type="dxa"/>
            <w:vAlign w:val="bottom"/>
          </w:tcPr>
          <w:p>
            <w:pPr>
              <w:ind w:left="1980"/>
              <w:spacing w:after="0" w:line="199" w:lineRule="exact"/>
              <w:rPr>
                <w:sz w:val="20"/>
                <w:szCs w:val="20"/>
                <w:color w:val="auto"/>
              </w:rPr>
            </w:pPr>
            <w:r>
              <w:rPr>
                <w:rFonts w:ascii="Arial" w:cs="Arial" w:eastAsia="Arial" w:hAnsi="Arial"/>
                <w:sz w:val="18"/>
                <w:szCs w:val="18"/>
                <w:color w:val="auto"/>
                <w:w w:val="86"/>
              </w:rPr>
              <w:t>Name:</w:t>
            </w:r>
          </w:p>
        </w:tc>
        <w:tc>
          <w:tcPr>
            <w:tcW w:w="5120" w:type="dxa"/>
            <w:vAlign w:val="bottom"/>
          </w:tcPr>
          <w:p>
            <w:pPr>
              <w:jc w:val="center"/>
              <w:ind w:left="27"/>
              <w:spacing w:after="0"/>
              <w:rPr>
                <w:sz w:val="20"/>
                <w:szCs w:val="20"/>
                <w:color w:val="auto"/>
              </w:rPr>
            </w:pPr>
            <w:r>
              <w:rPr>
                <w:rFonts w:ascii="Arial" w:cs="Arial" w:eastAsia="Arial" w:hAnsi="Arial"/>
                <w:sz w:val="14"/>
                <w:szCs w:val="14"/>
                <w:b w:val="1"/>
                <w:bCs w:val="1"/>
                <w:color w:val="auto"/>
                <w:w w:val="91"/>
              </w:rPr>
              <w:t>Arthur R. Block</w:t>
            </w:r>
          </w:p>
        </w:tc>
      </w:tr>
      <w:tr>
        <w:trPr>
          <w:trHeight w:val="163"/>
        </w:trPr>
        <w:tc>
          <w:tcPr>
            <w:tcW w:w="3840" w:type="dxa"/>
            <w:vAlign w:val="bottom"/>
          </w:tcPr>
          <w:p>
            <w:pPr>
              <w:spacing w:after="0"/>
              <w:rPr>
                <w:sz w:val="14"/>
                <w:szCs w:val="14"/>
                <w:color w:val="auto"/>
              </w:rPr>
            </w:pPr>
          </w:p>
        </w:tc>
        <w:tc>
          <w:tcPr>
            <w:tcW w:w="2460" w:type="dxa"/>
            <w:vAlign w:val="bottom"/>
          </w:tcPr>
          <w:p>
            <w:pPr>
              <w:ind w:left="1980"/>
              <w:spacing w:after="0" w:line="163" w:lineRule="exact"/>
              <w:rPr>
                <w:sz w:val="20"/>
                <w:szCs w:val="20"/>
                <w:color w:val="auto"/>
              </w:rPr>
            </w:pPr>
            <w:r>
              <w:rPr>
                <w:rFonts w:ascii="Arial" w:cs="Arial" w:eastAsia="Arial" w:hAnsi="Arial"/>
                <w:sz w:val="18"/>
                <w:szCs w:val="18"/>
                <w:color w:val="auto"/>
              </w:rPr>
              <w:t>Title:</w:t>
            </w:r>
          </w:p>
        </w:tc>
        <w:tc>
          <w:tcPr>
            <w:tcW w:w="5120" w:type="dxa"/>
            <w:vAlign w:val="bottom"/>
          </w:tcPr>
          <w:p>
            <w:pPr>
              <w:jc w:val="center"/>
              <w:ind w:left="27"/>
              <w:spacing w:after="0"/>
              <w:rPr>
                <w:sz w:val="20"/>
                <w:szCs w:val="20"/>
                <w:color w:val="auto"/>
              </w:rPr>
            </w:pPr>
            <w:r>
              <w:rPr>
                <w:rFonts w:ascii="Arial" w:cs="Arial" w:eastAsia="Arial" w:hAnsi="Arial"/>
                <w:sz w:val="14"/>
                <w:szCs w:val="14"/>
                <w:b w:val="1"/>
                <w:bCs w:val="1"/>
                <w:color w:val="auto"/>
                <w:w w:val="85"/>
              </w:rPr>
              <w:t>Senior Vice President, General Counsel</w:t>
            </w:r>
          </w:p>
        </w:tc>
      </w:tr>
      <w:tr>
        <w:trPr>
          <w:trHeight w:val="174"/>
        </w:trPr>
        <w:tc>
          <w:tcPr>
            <w:tcW w:w="3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120" w:type="dxa"/>
            <w:vAlign w:val="bottom"/>
          </w:tcPr>
          <w:p>
            <w:pPr>
              <w:jc w:val="center"/>
              <w:ind w:left="47"/>
              <w:spacing w:after="0"/>
              <w:rPr>
                <w:sz w:val="20"/>
                <w:szCs w:val="20"/>
                <w:color w:val="auto"/>
              </w:rPr>
            </w:pPr>
            <w:r>
              <w:rPr>
                <w:rFonts w:ascii="Arial" w:cs="Arial" w:eastAsia="Arial" w:hAnsi="Arial"/>
                <w:sz w:val="14"/>
                <w:szCs w:val="14"/>
                <w:b w:val="1"/>
                <w:bCs w:val="1"/>
                <w:color w:val="auto"/>
                <w:w w:val="86"/>
              </w:rPr>
              <w:t>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LETTERHEAD]</w:t>
      </w:r>
    </w:p>
    <w:p>
      <w:pPr>
        <w:spacing w:after="0" w:line="171"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November 19,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November 17, 2010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Barclays Bank PLC, Deutsche Bank AG, London Branch, Goldman Sachs International and The Royal Bank of Scotland plc,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£625,000,000 aggregate principal amount of its 5.50% Notes Due 2029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on an unsecured and unsubordinated basis by the Cable Guarantors.</w:t>
      </w:r>
    </w:p>
    <w:p>
      <w:pPr>
        <w:spacing w:after="0" w:line="11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w:t>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5900" w:val="left"/>
          <w:tab w:leader="none" w:pos="8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November 19,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other instruments as I have deemed necessary or advisable for the purpose of rendering this opinion.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333-158816).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200"/>
          </w:cols>
          <w:pgMar w:left="240" w:top="280" w:right="459" w:bottom="1440" w:gutter="0" w:footer="0" w:header="0"/>
        </w:sectPr>
      </w:pPr>
    </w:p>
    <w:bookmarkStart w:id="5" w:name="page6"/>
    <w:bookmarkEnd w:id="5"/>
    <w:p>
      <w:pPr>
        <w:ind w:left="1060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6334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334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Madrid Tokyo Beijing Hong Kong</w:t>
      </w:r>
    </w:p>
    <w:p>
      <w:pPr>
        <w:spacing w:after="0" w:line="360" w:lineRule="exact"/>
        <w:rPr>
          <w:sz w:val="20"/>
          <w:szCs w:val="20"/>
          <w:color w:val="auto"/>
        </w:rPr>
      </w:pPr>
    </w:p>
    <w:p>
      <w:pPr>
        <w:sectPr>
          <w:pgSz w:w="11900" w:h="16838" w:orient="portrait"/>
          <w:cols w:equalWidth="0" w:num="2">
            <w:col w:w="9860" w:space="500"/>
            <w:col w:w="1060"/>
          </w:cols>
          <w:pgMar w:left="240" w:top="125" w:right="2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20" w:type="dxa"/>
            <w:vAlign w:val="bottom"/>
          </w:tcPr>
          <w:p>
            <w:pPr>
              <w:spacing w:after="0"/>
              <w:rPr>
                <w:sz w:val="20"/>
                <w:szCs w:val="20"/>
                <w:color w:val="auto"/>
              </w:rPr>
            </w:pPr>
            <w:r>
              <w:rPr>
                <w:rFonts w:ascii="Arial" w:cs="Arial" w:eastAsia="Arial" w:hAnsi="Arial"/>
                <w:sz w:val="18"/>
                <w:szCs w:val="18"/>
                <w:b w:val="1"/>
                <w:bCs w:val="1"/>
                <w:color w:val="auto"/>
              </w:rPr>
              <w:t>Bruce K. Dallas</w:t>
            </w:r>
          </w:p>
        </w:tc>
        <w:tc>
          <w:tcPr>
            <w:tcW w:w="2360" w:type="dxa"/>
            <w:vAlign w:val="bottom"/>
          </w:tcPr>
          <w:p>
            <w:pPr>
              <w:spacing w:after="0"/>
              <w:rPr>
                <w:sz w:val="19"/>
                <w:szCs w:val="19"/>
                <w:color w:val="auto"/>
              </w:rPr>
            </w:pPr>
          </w:p>
        </w:tc>
      </w:tr>
      <w:tr>
        <w:trPr>
          <w:trHeight w:val="426"/>
        </w:trPr>
        <w:tc>
          <w:tcPr>
            <w:tcW w:w="232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2360" w:type="dxa"/>
            <w:vAlign w:val="bottom"/>
          </w:tcPr>
          <w:p>
            <w:pPr>
              <w:ind w:left="320"/>
              <w:spacing w:after="0"/>
              <w:rPr>
                <w:sz w:val="20"/>
                <w:szCs w:val="20"/>
                <w:color w:val="auto"/>
              </w:rPr>
            </w:pPr>
            <w:r>
              <w:rPr>
                <w:rFonts w:ascii="Arial" w:cs="Arial" w:eastAsia="Arial" w:hAnsi="Arial"/>
                <w:sz w:val="18"/>
                <w:szCs w:val="18"/>
                <w:color w:val="auto"/>
              </w:rPr>
              <w:t>650 752 2022 tel</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1600 El Camino Real</w:t>
            </w:r>
          </w:p>
        </w:tc>
        <w:tc>
          <w:tcPr>
            <w:tcW w:w="2360" w:type="dxa"/>
            <w:vAlign w:val="bottom"/>
          </w:tcPr>
          <w:p>
            <w:pPr>
              <w:ind w:left="320"/>
              <w:spacing w:after="0"/>
              <w:rPr>
                <w:sz w:val="20"/>
                <w:szCs w:val="20"/>
                <w:color w:val="auto"/>
              </w:rPr>
            </w:pPr>
            <w:r>
              <w:rPr>
                <w:rFonts w:ascii="Arial" w:cs="Arial" w:eastAsia="Arial" w:hAnsi="Arial"/>
                <w:sz w:val="18"/>
                <w:szCs w:val="18"/>
                <w:color w:val="auto"/>
              </w:rPr>
              <w:t>650 752 3622 fax</w:t>
            </w: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Menlo Park, CA 94025</w:t>
            </w:r>
          </w:p>
        </w:tc>
        <w:tc>
          <w:tcPr>
            <w:tcW w:w="2360" w:type="dxa"/>
            <w:vAlign w:val="bottom"/>
          </w:tcPr>
          <w:p>
            <w:pPr>
              <w:ind w:left="320"/>
              <w:spacing w:after="0"/>
              <w:rPr>
                <w:sz w:val="20"/>
                <w:szCs w:val="20"/>
                <w:color w:val="auto"/>
              </w:rPr>
            </w:pPr>
            <w:r>
              <w:rPr>
                <w:rFonts w:ascii="Arial" w:cs="Arial" w:eastAsia="Arial" w:hAnsi="Arial"/>
                <w:sz w:val="18"/>
                <w:szCs w:val="18"/>
                <w:color w:val="auto"/>
                <w:w w:val="88"/>
              </w:rPr>
              <w:t>bruce.dallas@davispolk.com</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November 17, 2010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Barclays Bank PLC, Deutsche Bank AG, London Branch, Goldman Sachs International and The Royal Bank of Scotland plc,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£625,000,000 aggregate principal amount of its 5.50% Notes Due 2029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the Cable Guarantors.</w:t>
      </w:r>
    </w:p>
    <w:p>
      <w:pPr>
        <w:spacing w:after="0" w:line="11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90" w:lineRule="exact"/>
        <w:rPr>
          <w:sz w:val="20"/>
          <w:szCs w:val="20"/>
          <w:color w:val="auto"/>
        </w:rPr>
      </w:pPr>
    </w:p>
    <w:p>
      <w:pPr>
        <w:ind w:left="460" w:right="160" w:firstLine="4"/>
        <w:spacing w:after="0" w:line="306" w:lineRule="auto"/>
        <w:tabs>
          <w:tab w:leader="none" w:pos="70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tabs>
          <w:tab w:leader="none" w:pos="5900" w:val="left"/>
          <w:tab w:leader="none" w:pos="8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November 19, 2010</w:t>
      </w:r>
    </w:p>
    <w:p>
      <w:pPr>
        <w:spacing w:after="0" w:line="158" w:lineRule="exact"/>
        <w:rPr>
          <w:sz w:val="20"/>
          <w:szCs w:val="20"/>
          <w:color w:val="auto"/>
        </w:rPr>
      </w:pPr>
    </w:p>
    <w:p>
      <w:pPr>
        <w:ind w:left="460"/>
        <w:spacing w:after="0" w:line="357" w:lineRule="auto"/>
        <w:rPr>
          <w:sz w:val="20"/>
          <w:szCs w:val="20"/>
          <w:color w:val="auto"/>
        </w:rPr>
      </w:pPr>
      <w:r>
        <w:rPr>
          <w:rFonts w:ascii="Arial" w:cs="Arial" w:eastAsia="Arial" w:hAnsi="Arial"/>
          <w:sz w:val="15"/>
          <w:szCs w:val="15"/>
          <w:color w:val="auto"/>
        </w:rPr>
        <w:t>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ind w:left="460" w:firstLine="4"/>
        <w:spacing w:after="0" w:line="312" w:lineRule="auto"/>
        <w:tabs>
          <w:tab w:leader="none" w:pos="7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Cable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members of the Bar of the State of New York and California and the foregoing opinion is limited to the laws of the State of New York, the federal laws of the United States of America and the General Corporation Law of the State of Delaware.</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333-158816).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2019-12-10T20:38:10Z</dcterms:created>
  <dcterms:modified xsi:type="dcterms:W3CDTF">2019-12-10T20:38:10Z</dcterms:modified>
</cp:coreProperties>
</file>