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20" w:type="dxa"/>
            <w:vAlign w:val="bottom"/>
          </w:tcPr>
          <w:p>
            <w:pPr>
              <w:spacing w:after="0"/>
              <w:rPr>
                <w:sz w:val="20"/>
                <w:szCs w:val="20"/>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10, 2024</w:t>
            </w:r>
          </w:p>
        </w:tc>
      </w:tr>
      <w:tr>
        <w:trPr>
          <w:trHeight w:val="450"/>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20" w:type="dxa"/>
            <w:vAlign w:val="bottom"/>
          </w:tcPr>
          <w:p>
            <w:pPr>
              <w:spacing w:after="0"/>
              <w:rPr>
                <w:sz w:val="12"/>
                <w:szCs w:val="12"/>
                <w:color w:val="auto"/>
              </w:rPr>
            </w:pPr>
          </w:p>
        </w:tc>
        <w:tc>
          <w:tcPr>
            <w:tcW w:w="7140" w:type="dxa"/>
            <w:vAlign w:val="bottom"/>
          </w:tcPr>
          <w:p>
            <w:pPr>
              <w:jc w:val="center"/>
              <w:ind w:right="226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714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on June 10, 2024, our shareholders approved, or did not approve, the following proposals.</w:t>
      </w:r>
    </w:p>
    <w:p>
      <w:pPr>
        <w:spacing w:after="0" w:line="225" w:lineRule="exact"/>
        <w:rPr>
          <w:rFonts w:ascii="Times New Roman" w:cs="Times New Roman" w:eastAsia="Times New Roman" w:hAnsi="Times New Roman"/>
          <w:sz w:val="18"/>
          <w:szCs w:val="18"/>
          <w:color w:val="auto"/>
        </w:rPr>
      </w:pPr>
    </w:p>
    <w:p>
      <w:pPr>
        <w:ind w:left="400" w:right="20" w:hanging="392"/>
        <w:spacing w:after="0" w:line="282" w:lineRule="auto"/>
        <w:tabs>
          <w:tab w:leader="none" w:pos="4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votes cast for and against (or withheld) and the number of abstentions and broker non-votes with respect to each such proposal, as described in detail in the Company’s definitive proxy statement dated April 26, 2024, are set forth below.</w:t>
      </w:r>
    </w:p>
    <w:p>
      <w:pPr>
        <w:spacing w:after="0" w:line="54"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director nominees named in the proxy statement were elected to serve as directors for one-year terms.</w:t>
      </w:r>
    </w:p>
    <w:p>
      <w:pPr>
        <w:spacing w:after="0" w:line="167" w:lineRule="exact"/>
        <w:rPr>
          <w:sz w:val="20"/>
          <w:szCs w:val="20"/>
          <w:color w:val="auto"/>
        </w:rPr>
      </w:pPr>
    </w:p>
    <w:tbl>
      <w:tblPr>
        <w:tblLayout w:type="fixed"/>
        <w:tblInd w:w="420" w:type="dxa"/>
        <w:tblCellMar>
          <w:top w:w="0" w:type="dxa"/>
          <w:left w:w="0" w:type="dxa"/>
          <w:bottom w:w="0" w:type="dxa"/>
          <w:right w:w="0" w:type="dxa"/>
        </w:tblCellMar>
      </w:tblPr>
      <w:tr>
        <w:trPr>
          <w:trHeight w:val="265"/>
        </w:trPr>
        <w:tc>
          <w:tcPr>
            <w:tcW w:w="2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5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4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64"/>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Kenneth J. Bacon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288,736,244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79,148,957</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Thomas J. Baltimore, Jr.</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287,998,096</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79,887,105</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Madeline S. Bell</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318,848,348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49,036,853</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Louise F. Brady</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366,316,032</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1,569,169</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Edward D. Breen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357,460,184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10,425,017</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Jeffrey A. Honickman</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313,558,325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54,326,876</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Wonya Y. Lucas</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366,867,460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1,017,741</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Asuka Nakahara</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363,611,356</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4,273,845</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C. Novak</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361,101,297</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6,783,904</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r>
        <w:trPr>
          <w:trHeight w:val="270"/>
        </w:trPr>
        <w:tc>
          <w:tcPr>
            <w:tcW w:w="2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Brian L. Roberts</w:t>
            </w:r>
          </w:p>
        </w:tc>
        <w:tc>
          <w:tcPr>
            <w:tcW w:w="25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352,949,055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14,936,146</w:t>
            </w: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24,575,007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appointment of Deloitte &amp; Touche LLP as our independent auditors for the 2024 fiscal year, as described in the proxy statement, was ratified.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2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381,465,934</w:t>
            </w:r>
          </w:p>
        </w:tc>
        <w:tc>
          <w:tcPr>
            <w:tcW w:w="26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10,716,634</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277,640</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advisory vote on our executive compensation, as described in the proxy statement, was approved.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3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64"/>
        </w:trPr>
        <w:tc>
          <w:tcPr>
            <w:tcW w:w="2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326,433,027</w:t>
            </w:r>
          </w:p>
        </w:tc>
        <w:tc>
          <w:tcPr>
            <w:tcW w:w="26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40,977,963</w:t>
            </w:r>
          </w:p>
        </w:tc>
        <w:tc>
          <w:tcPr>
            <w:tcW w:w="2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474,211</w:t>
            </w:r>
          </w:p>
        </w:tc>
        <w:tc>
          <w:tcPr>
            <w:tcW w:w="2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24,575,007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 shareholder proposal to report on political expenditures alignment with company values, as described in the proxy statement, was not approved.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1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26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53,061,219</w:t>
            </w:r>
          </w:p>
        </w:tc>
        <w:tc>
          <w:tcPr>
            <w:tcW w:w="420" w:type="dxa"/>
            <w:vAlign w:val="bottom"/>
          </w:tcPr>
          <w:p>
            <w:pPr>
              <w:spacing w:after="0"/>
              <w:rPr>
                <w:sz w:val="22"/>
                <w:szCs w:val="22"/>
                <w:color w:val="auto"/>
              </w:rPr>
            </w:pPr>
          </w:p>
        </w:tc>
        <w:tc>
          <w:tcPr>
            <w:tcW w:w="2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310,237,007</w:t>
            </w:r>
          </w:p>
        </w:tc>
        <w:tc>
          <w:tcPr>
            <w:tcW w:w="27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4,586,975</w:t>
            </w:r>
          </w:p>
        </w:tc>
        <w:tc>
          <w:tcPr>
            <w:tcW w:w="2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24,575,007</w:t>
            </w:r>
          </w:p>
        </w:tc>
        <w:tc>
          <w:tcPr>
            <w:tcW w:w="760" w:type="dxa"/>
            <w:vAlign w:val="bottom"/>
          </w:tcPr>
          <w:p>
            <w:pPr>
              <w:spacing w:after="0"/>
              <w:rPr>
                <w:sz w:val="22"/>
                <w:szCs w:val="22"/>
                <w:color w:val="auto"/>
              </w:rPr>
            </w:pPr>
          </w:p>
        </w:tc>
      </w:tr>
      <w:tr>
        <w:trPr>
          <w:trHeight w:val="554"/>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0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2024</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18"/>
        </w:trPr>
        <w:tc>
          <w:tcPr>
            <w:tcW w:w="3560" w:type="dxa"/>
            <w:vAlign w:val="bottom"/>
          </w:tcPr>
          <w:p>
            <w:pPr>
              <w:spacing w:after="0"/>
              <w:rPr>
                <w:sz w:val="18"/>
                <w:szCs w:val="18"/>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Wideman</w:t>
            </w:r>
          </w:p>
        </w:tc>
      </w:tr>
      <w:tr>
        <w:trPr>
          <w:trHeight w:val="180"/>
        </w:trPr>
        <w:tc>
          <w:tcPr>
            <w:tcW w:w="3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Senior Deputy General Counsel</w:t>
            </w:r>
          </w:p>
        </w:tc>
      </w:tr>
      <w:tr>
        <w:trPr>
          <w:trHeight w:val="243"/>
        </w:trPr>
        <w:tc>
          <w:tcPr>
            <w:tcW w:w="3560" w:type="dxa"/>
            <w:vAlign w:val="bottom"/>
          </w:tcPr>
          <w:p>
            <w:pPr>
              <w:spacing w:after="0"/>
              <w:rPr>
                <w:sz w:val="21"/>
                <w:szCs w:val="21"/>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pacing w:after="0" w:line="1" w:lineRule="exact"/>
        <w:rPr>
          <w:sz w:val="20"/>
          <w:szCs w:val="20"/>
          <w:color w:val="auto"/>
        </w:rPr>
      </w:pPr>
    </w:p>
    <w:sectPr>
      <w:pgSz w:w="11900" w:h="16838" w:orient="portrait"/>
      <w:cols w:equalWidth="0" w:num="1">
        <w:col w:w="11200"/>
      </w:cols>
      <w:pgMar w:left="320" w:top="9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2024-06-12T15:17:45Z</dcterms:created>
  <dcterms:modified xsi:type="dcterms:W3CDTF">2024-06-12T15:17:45Z</dcterms:modified>
</cp:coreProperties>
</file>