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4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4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the Securities Exchange Act of 1934</w:t>
      </w:r>
    </w:p>
    <w:p>
      <w:pPr>
        <w:spacing w:after="0" w:line="23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December 31, 2010</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tbl>
      <w:tblPr>
        <w:tblLayout w:type="fixed"/>
        <w:tblInd w:w="240" w:type="dxa"/>
        <w:tblCellMar>
          <w:top w:w="0" w:type="dxa"/>
          <w:left w:w="0" w:type="dxa"/>
          <w:bottom w:w="0" w:type="dxa"/>
          <w:right w:w="0" w:type="dxa"/>
        </w:tblCellMar>
      </w:tblPr>
      <w:tr>
        <w:trPr>
          <w:trHeight w:val="220"/>
        </w:trPr>
        <w:tc>
          <w:tcPr>
            <w:tcW w:w="382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Pennsylvania</w:t>
            </w:r>
          </w:p>
        </w:tc>
        <w:tc>
          <w:tcPr>
            <w:tcW w:w="338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001-32871</w:t>
            </w:r>
          </w:p>
        </w:tc>
        <w:tc>
          <w:tcPr>
            <w:tcW w:w="330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82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tcPr>
          <w:p>
            <w:pPr>
              <w:jc w:val="center"/>
              <w:ind w:left="7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82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One Comcast Center</w:t>
            </w:r>
          </w:p>
        </w:tc>
        <w:tc>
          <w:tcPr>
            <w:tcW w:w="33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0"/>
        </w:trPr>
        <w:tc>
          <w:tcPr>
            <w:tcW w:w="382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Philadelphia, PA</w:t>
            </w:r>
          </w:p>
        </w:tc>
        <w:tc>
          <w:tcPr>
            <w:tcW w:w="3380" w:type="dxa"/>
            <w:vAlign w:val="bottom"/>
          </w:tcPr>
          <w:p>
            <w:pPr>
              <w:spacing w:after="0"/>
              <w:rPr>
                <w:sz w:val="19"/>
                <w:szCs w:val="19"/>
                <w:color w:val="auto"/>
              </w:rPr>
            </w:pPr>
          </w:p>
        </w:tc>
        <w:tc>
          <w:tcPr>
            <w:tcW w:w="330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82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spacing w:after="0"/>
              <w:rPr>
                <w:sz w:val="20"/>
                <w:szCs w:val="20"/>
                <w:color w:val="auto"/>
              </w:rPr>
            </w:pPr>
          </w:p>
        </w:tc>
        <w:tc>
          <w:tcPr>
            <w:tcW w:w="3300" w:type="dxa"/>
            <w:vAlign w:val="bottom"/>
          </w:tcPr>
          <w:p>
            <w:pPr>
              <w:jc w:val="center"/>
              <w:ind w:left="7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203200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783" w:right="77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31, 2010, Mr. David L. Cohen, the Executive Vice President of Comcast Corporation, entered into an amendment to his employment agreement that provides for, among other things, the extension of the term of his employment agreement (which otherwise would have expired on December 31, 2010) to December 31, 2011.</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above is qualified in its entirety by the terms and conditions set forth in Amendment No. 3 to Employment Agreement with David L. Cohen entered into on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 January 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4579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2092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600"/>
      </w:cols>
      <w:pgMar w:left="240" w:top="999"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2019-12-10T21:19:39Z</dcterms:created>
  <dcterms:modified xsi:type="dcterms:W3CDTF">2019-12-10T21:19:39Z</dcterms:modified>
</cp:coreProperties>
</file>