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Filed Pursuant to Rule 424(B)(2)</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333-132750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prospectus dated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70485</wp:posOffset>
            </wp:positionV>
            <wp:extent cx="1402715" cy="361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$1,250,000,000 Floating Rate Notes due 2009</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$1,000,000,000 6.50% Notes due 2017</w:t>
      </w:r>
    </w:p>
    <w:p>
      <w:pPr>
        <w:spacing w:after="0" w:line="145" w:lineRule="exact"/>
        <w:rPr>
          <w:sz w:val="20"/>
          <w:szCs w:val="20"/>
          <w:color w:val="auto"/>
        </w:rPr>
      </w:pPr>
    </w:p>
    <w:p>
      <w:pPr>
        <w:ind w:right="140" w:firstLine="349"/>
        <w:spacing w:after="0" w:line="302" w:lineRule="auto"/>
        <w:rPr>
          <w:sz w:val="20"/>
          <w:szCs w:val="20"/>
          <w:color w:val="auto"/>
        </w:rPr>
      </w:pPr>
      <w:r>
        <w:rPr>
          <w:rFonts w:ascii="Arial" w:cs="Arial" w:eastAsia="Arial" w:hAnsi="Arial"/>
          <w:sz w:val="15"/>
          <w:szCs w:val="15"/>
          <w:color w:val="auto"/>
        </w:rPr>
        <w:t>We will pay interest on the notes due 2009 on July 14, October 14, January 14 and April 14 of each year, beginning on October 16, 2006 (the first business day following the October 14, 2006 interest payment date). The notes due 2009 will bear interest at a floating rate equal to three month USD LIBOR plus</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0.30% per year and will mature on July 14, 2009. We may redeem the notes due 2009, in whole or in part, at any time after July 14, 2007 at a redemption price equal to 100% of the principal amount redeemed plus accrued and unpaid interest to the redemption date.</w:t>
      </w:r>
    </w:p>
    <w:p>
      <w:pPr>
        <w:spacing w:after="0" w:line="34" w:lineRule="exact"/>
        <w:rPr>
          <w:sz w:val="20"/>
          <w:szCs w:val="20"/>
          <w:color w:val="auto"/>
        </w:rPr>
      </w:pPr>
    </w:p>
    <w:p>
      <w:pPr>
        <w:ind w:right="60" w:firstLine="261"/>
        <w:spacing w:after="0" w:line="319" w:lineRule="auto"/>
        <w:rPr>
          <w:sz w:val="20"/>
          <w:szCs w:val="20"/>
          <w:color w:val="auto"/>
        </w:rPr>
      </w:pPr>
      <w:r>
        <w:rPr>
          <w:rFonts w:ascii="Arial" w:cs="Arial" w:eastAsia="Arial" w:hAnsi="Arial"/>
          <w:sz w:val="15"/>
          <w:szCs w:val="15"/>
          <w:color w:val="auto"/>
        </w:rPr>
        <w:t>We will pay interest on the notes due 2017 on July 15 and January 15 of each year beginning January 15, 2007. The notes due 2017 will bear interest at a rate of 6.50% per year and will mature on January 15, 2017. We may redeem any of the notes due 2017 at any time by paying the greater of the principal amount of the notes or a “make-whole” amount, plus, in each case, accrued interest. See “Description of the Notes — Optional Redemption — Notes Due 2017.”</w:t>
      </w:r>
    </w:p>
    <w:p>
      <w:pPr>
        <w:ind w:right="320" w:firstLine="261"/>
        <w:spacing w:after="0" w:line="283" w:lineRule="auto"/>
        <w:rPr>
          <w:sz w:val="20"/>
          <w:szCs w:val="20"/>
          <w:color w:val="auto"/>
        </w:rPr>
      </w:pPr>
      <w:r>
        <w:rPr>
          <w:rFonts w:ascii="Arial" w:cs="Arial" w:eastAsia="Arial" w:hAnsi="Arial"/>
          <w:sz w:val="17"/>
          <w:szCs w:val="17"/>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ind w:right="60" w:firstLine="476"/>
        <w:spacing w:after="0" w:line="269" w:lineRule="auto"/>
        <w:rPr>
          <w:sz w:val="20"/>
          <w:szCs w:val="20"/>
          <w:color w:val="auto"/>
        </w:rPr>
      </w:pPr>
      <w:r>
        <w:rPr>
          <w:rFonts w:ascii="Arial" w:cs="Arial" w:eastAsia="Arial" w:hAnsi="Arial"/>
          <w:sz w:val="21"/>
          <w:szCs w:val="21"/>
          <w:b w:val="1"/>
          <w:bCs w:val="1"/>
          <w:color w:val="auto"/>
        </w:rPr>
        <w:t>Investing in the notes involves risks that are described in the “Risk Factors” section of our Annual Report on Form 10-K for the year ended December 31, 2005.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tcPr>
          <w:p>
            <w:pPr>
              <w:jc w:val="right"/>
              <w:ind w:right="818"/>
              <w:spacing w:after="0"/>
              <w:rPr>
                <w:sz w:val="20"/>
                <w:szCs w:val="20"/>
                <w:color w:val="auto"/>
              </w:rPr>
            </w:pPr>
            <w:r>
              <w:rPr>
                <w:rFonts w:ascii="Arial" w:cs="Arial" w:eastAsia="Arial" w:hAnsi="Arial"/>
                <w:sz w:val="14"/>
                <w:szCs w:val="14"/>
                <w:b w:val="1"/>
                <w:bCs w:val="1"/>
                <w:color w:val="auto"/>
              </w:rPr>
              <w:t>Price to</w:t>
            </w:r>
          </w:p>
        </w:tc>
        <w:tc>
          <w:tcPr>
            <w:tcW w:w="280" w:type="dxa"/>
            <w:vAlign w:val="bottom"/>
          </w:tcPr>
          <w:p>
            <w:pPr>
              <w:spacing w:after="0"/>
              <w:rPr>
                <w:sz w:val="14"/>
                <w:szCs w:val="14"/>
                <w:color w:val="auto"/>
              </w:rPr>
            </w:pPr>
          </w:p>
        </w:tc>
        <w:tc>
          <w:tcPr>
            <w:tcW w:w="1980" w:type="dxa"/>
            <w:vAlign w:val="bottom"/>
          </w:tcPr>
          <w:p>
            <w:pPr>
              <w:jc w:val="right"/>
              <w:ind w:right="489"/>
              <w:spacing w:after="0"/>
              <w:rPr>
                <w:sz w:val="20"/>
                <w:szCs w:val="20"/>
                <w:color w:val="auto"/>
              </w:rPr>
            </w:pPr>
            <w:r>
              <w:rPr>
                <w:rFonts w:ascii="Arial" w:cs="Arial" w:eastAsia="Arial" w:hAnsi="Arial"/>
                <w:sz w:val="14"/>
                <w:szCs w:val="14"/>
                <w:b w:val="1"/>
                <w:bCs w:val="1"/>
                <w:color w:val="auto"/>
              </w:rPr>
              <w:t>Underwriters’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tcPr>
          <w:p>
            <w:pPr>
              <w:jc w:val="right"/>
              <w:ind w:right="655"/>
              <w:spacing w:after="0"/>
              <w:rPr>
                <w:sz w:val="20"/>
                <w:szCs w:val="20"/>
                <w:color w:val="auto"/>
              </w:rPr>
            </w:pPr>
            <w:r>
              <w:rPr>
                <w:rFonts w:ascii="Arial" w:cs="Arial" w:eastAsia="Arial" w:hAnsi="Arial"/>
                <w:sz w:val="14"/>
                <w:szCs w:val="14"/>
                <w:b w:val="1"/>
                <w:bCs w:val="1"/>
                <w:color w:val="auto"/>
                <w:w w:val="88"/>
              </w:rPr>
              <w:t>Proceeds to Us</w:t>
            </w:r>
          </w:p>
        </w:tc>
        <w:tc>
          <w:tcPr>
            <w:tcW w:w="0" w:type="dxa"/>
            <w:vAlign w:val="bottom"/>
          </w:tcPr>
          <w:p>
            <w:pPr>
              <w:spacing w:after="0"/>
              <w:rPr>
                <w:sz w:val="1"/>
                <w:szCs w:val="1"/>
                <w:color w:val="auto"/>
              </w:rPr>
            </w:pPr>
          </w:p>
        </w:tc>
      </w:tr>
      <w:tr>
        <w:trPr>
          <w:trHeight w:val="168"/>
        </w:trPr>
        <w:tc>
          <w:tcPr>
            <w:tcW w:w="4240" w:type="dxa"/>
            <w:vAlign w:val="bottom"/>
            <w:vMerge w:val="restart"/>
          </w:tcPr>
          <w:p>
            <w:pPr>
              <w:spacing w:after="0"/>
              <w:rPr>
                <w:sz w:val="20"/>
                <w:szCs w:val="20"/>
                <w:color w:val="auto"/>
              </w:rPr>
            </w:pPr>
            <w:r>
              <w:rPr>
                <w:rFonts w:ascii="Arial" w:cs="Arial" w:eastAsia="Arial" w:hAnsi="Arial"/>
                <w:sz w:val="18"/>
                <w:szCs w:val="18"/>
                <w:color w:val="auto"/>
              </w:rPr>
              <w:t>Per note due 2009</w:t>
            </w:r>
          </w:p>
        </w:tc>
        <w:tc>
          <w:tcPr>
            <w:tcW w:w="6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Investors(1)</w:t>
            </w:r>
          </w:p>
        </w:tc>
        <w:tc>
          <w:tcPr>
            <w:tcW w:w="280" w:type="dxa"/>
            <w:vAlign w:val="bottom"/>
          </w:tcPr>
          <w:p>
            <w:pPr>
              <w:spacing w:after="0"/>
              <w:rPr>
                <w:sz w:val="14"/>
                <w:szCs w:val="14"/>
                <w:color w:val="auto"/>
              </w:rPr>
            </w:pPr>
          </w:p>
        </w:tc>
        <w:tc>
          <w:tcPr>
            <w:tcW w:w="198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Discount</w:t>
            </w:r>
          </w:p>
        </w:tc>
        <w:tc>
          <w:tcPr>
            <w:tcW w:w="260" w:type="dxa"/>
            <w:vAlign w:val="bottom"/>
          </w:tcPr>
          <w:p>
            <w:pPr>
              <w:spacing w:after="0"/>
              <w:rPr>
                <w:sz w:val="14"/>
                <w:szCs w:val="14"/>
                <w:color w:val="auto"/>
              </w:rPr>
            </w:pPr>
          </w:p>
        </w:tc>
        <w:tc>
          <w:tcPr>
            <w:tcW w:w="2380" w:type="dxa"/>
            <w:vAlign w:val="bottom"/>
            <w:tcBorders>
              <w:bottom w:val="single" w:sz="8" w:color="auto"/>
            </w:tcBorders>
            <w:gridSpan w:val="2"/>
          </w:tcPr>
          <w:p>
            <w:pPr>
              <w:jc w:val="right"/>
              <w:ind w:right="615"/>
              <w:spacing w:after="0"/>
              <w:rPr>
                <w:sz w:val="20"/>
                <w:szCs w:val="20"/>
                <w:color w:val="auto"/>
              </w:rPr>
            </w:pPr>
            <w:r>
              <w:rPr>
                <w:rFonts w:ascii="Arial" w:cs="Arial" w:eastAsia="Arial" w:hAnsi="Arial"/>
                <w:sz w:val="14"/>
                <w:szCs w:val="14"/>
                <w:b w:val="1"/>
                <w:bCs w:val="1"/>
                <w:color w:val="auto"/>
              </w:rPr>
              <w:t>Before Expenses</w:t>
            </w: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tcPr>
          <w:p>
            <w:pPr>
              <w:jc w:val="right"/>
              <w:ind w:right="418"/>
              <w:spacing w:after="0" w:line="206" w:lineRule="exact"/>
              <w:rPr>
                <w:sz w:val="20"/>
                <w:szCs w:val="20"/>
                <w:color w:val="auto"/>
              </w:rPr>
            </w:pPr>
            <w:r>
              <w:rPr>
                <w:rFonts w:ascii="Arial" w:cs="Arial" w:eastAsia="Arial" w:hAnsi="Arial"/>
                <w:sz w:val="18"/>
                <w:szCs w:val="18"/>
                <w:color w:val="auto"/>
              </w:rPr>
              <w:t>100.000%</w:t>
            </w:r>
          </w:p>
        </w:tc>
        <w:tc>
          <w:tcPr>
            <w:tcW w:w="2260" w:type="dxa"/>
            <w:vAlign w:val="bottom"/>
            <w:gridSpan w:val="2"/>
          </w:tcPr>
          <w:p>
            <w:pPr>
              <w:jc w:val="right"/>
              <w:ind w:right="429"/>
              <w:spacing w:after="0" w:line="206" w:lineRule="exact"/>
              <w:rPr>
                <w:sz w:val="20"/>
                <w:szCs w:val="20"/>
                <w:color w:val="auto"/>
              </w:rPr>
            </w:pPr>
            <w:r>
              <w:rPr>
                <w:rFonts w:ascii="Arial" w:cs="Arial" w:eastAsia="Arial" w:hAnsi="Arial"/>
                <w:sz w:val="18"/>
                <w:szCs w:val="18"/>
                <w:color w:val="auto"/>
              </w:rPr>
              <w:t>0.350%</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tcPr>
          <w:p>
            <w:pPr>
              <w:jc w:val="right"/>
              <w:ind w:right="415"/>
              <w:spacing w:after="0" w:line="206" w:lineRule="exact"/>
              <w:rPr>
                <w:sz w:val="20"/>
                <w:szCs w:val="20"/>
                <w:color w:val="auto"/>
              </w:rPr>
            </w:pPr>
            <w:r>
              <w:rPr>
                <w:rFonts w:ascii="Arial" w:cs="Arial" w:eastAsia="Arial" w:hAnsi="Arial"/>
                <w:sz w:val="18"/>
                <w:szCs w:val="18"/>
                <w:color w:val="auto"/>
              </w:rPr>
              <w:t>99.650%</w:t>
            </w:r>
          </w:p>
        </w:tc>
        <w:tc>
          <w:tcPr>
            <w:tcW w:w="0" w:type="dxa"/>
            <w:vAlign w:val="bottom"/>
          </w:tcPr>
          <w:p>
            <w:pPr>
              <w:spacing w:after="0"/>
              <w:rPr>
                <w:sz w:val="1"/>
                <w:szCs w:val="1"/>
                <w:color w:val="auto"/>
              </w:rPr>
            </w:pPr>
          </w:p>
        </w:tc>
      </w:tr>
      <w:tr>
        <w:trPr>
          <w:trHeight w:val="212"/>
        </w:trPr>
        <w:tc>
          <w:tcPr>
            <w:tcW w:w="4240" w:type="dxa"/>
            <w:vAlign w:val="bottom"/>
          </w:tcPr>
          <w:p>
            <w:pPr>
              <w:ind w:left="260"/>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w w:val="86"/>
              </w:rPr>
              <w:t>1,250,000,000</w:t>
            </w:r>
          </w:p>
        </w:tc>
        <w:tc>
          <w:tcPr>
            <w:tcW w:w="2260" w:type="dxa"/>
            <w:vAlign w:val="bottom"/>
            <w:gridSpan w:val="2"/>
          </w:tcPr>
          <w:p>
            <w:pPr>
              <w:jc w:val="right"/>
              <w:ind w:right="589"/>
              <w:spacing w:after="0"/>
              <w:rPr>
                <w:sz w:val="20"/>
                <w:szCs w:val="20"/>
                <w:color w:val="auto"/>
              </w:rPr>
            </w:pPr>
            <w:r>
              <w:rPr>
                <w:rFonts w:ascii="Arial" w:cs="Arial" w:eastAsia="Arial" w:hAnsi="Arial"/>
                <w:sz w:val="18"/>
                <w:szCs w:val="18"/>
                <w:color w:val="auto"/>
              </w:rPr>
              <w:t>$4,375,000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w w:val="86"/>
              </w:rPr>
              <w:t>1,245,625,000</w:t>
            </w:r>
          </w:p>
        </w:tc>
        <w:tc>
          <w:tcPr>
            <w:tcW w:w="0" w:type="dxa"/>
            <w:vAlign w:val="bottom"/>
          </w:tcPr>
          <w:p>
            <w:pPr>
              <w:spacing w:after="0"/>
              <w:rPr>
                <w:sz w:val="1"/>
                <w:szCs w:val="1"/>
                <w:color w:val="auto"/>
              </w:rPr>
            </w:pPr>
          </w:p>
        </w:tc>
      </w:tr>
      <w:tr>
        <w:trPr>
          <w:trHeight w:val="212"/>
        </w:trPr>
        <w:tc>
          <w:tcPr>
            <w:tcW w:w="4240" w:type="dxa"/>
            <w:vAlign w:val="bottom"/>
          </w:tcPr>
          <w:p>
            <w:pPr>
              <w:spacing w:after="0"/>
              <w:rPr>
                <w:sz w:val="20"/>
                <w:szCs w:val="20"/>
                <w:color w:val="auto"/>
              </w:rPr>
            </w:pPr>
            <w:r>
              <w:rPr>
                <w:rFonts w:ascii="Arial" w:cs="Arial" w:eastAsia="Arial" w:hAnsi="Arial"/>
                <w:sz w:val="18"/>
                <w:szCs w:val="18"/>
                <w:color w:val="auto"/>
              </w:rPr>
              <w:t>Per note due 2017</w:t>
            </w:r>
          </w:p>
        </w:tc>
        <w:tc>
          <w:tcPr>
            <w:tcW w:w="620" w:type="dxa"/>
            <w:vAlign w:val="bottom"/>
          </w:tcPr>
          <w:p>
            <w:pPr>
              <w:spacing w:after="0"/>
              <w:rPr>
                <w:sz w:val="18"/>
                <w:szCs w:val="18"/>
                <w:color w:val="auto"/>
              </w:rPr>
            </w:pPr>
          </w:p>
        </w:tc>
        <w:tc>
          <w:tcPr>
            <w:tcW w:w="1660" w:type="dxa"/>
            <w:vAlign w:val="bottom"/>
          </w:tcPr>
          <w:p>
            <w:pPr>
              <w:jc w:val="right"/>
              <w:ind w:right="418"/>
              <w:spacing w:after="0"/>
              <w:rPr>
                <w:sz w:val="20"/>
                <w:szCs w:val="20"/>
                <w:color w:val="auto"/>
              </w:rPr>
            </w:pPr>
            <w:r>
              <w:rPr>
                <w:rFonts w:ascii="Arial" w:cs="Arial" w:eastAsia="Arial" w:hAnsi="Arial"/>
                <w:sz w:val="18"/>
                <w:szCs w:val="18"/>
                <w:color w:val="auto"/>
              </w:rPr>
              <w:t>99.759%</w:t>
            </w:r>
          </w:p>
        </w:tc>
        <w:tc>
          <w:tcPr>
            <w:tcW w:w="2260" w:type="dxa"/>
            <w:vAlign w:val="bottom"/>
            <w:gridSpan w:val="2"/>
          </w:tcPr>
          <w:p>
            <w:pPr>
              <w:jc w:val="right"/>
              <w:ind w:right="429"/>
              <w:spacing w:after="0"/>
              <w:rPr>
                <w:sz w:val="20"/>
                <w:szCs w:val="20"/>
                <w:color w:val="auto"/>
              </w:rPr>
            </w:pPr>
            <w:r>
              <w:rPr>
                <w:rFonts w:ascii="Arial" w:cs="Arial" w:eastAsia="Arial" w:hAnsi="Arial"/>
                <w:sz w:val="18"/>
                <w:szCs w:val="18"/>
                <w:color w:val="auto"/>
              </w:rPr>
              <w:t>0.650%</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60" w:type="dxa"/>
            <w:vAlign w:val="bottom"/>
          </w:tcPr>
          <w:p>
            <w:pPr>
              <w:jc w:val="right"/>
              <w:ind w:right="415"/>
              <w:spacing w:after="0"/>
              <w:rPr>
                <w:sz w:val="20"/>
                <w:szCs w:val="20"/>
                <w:color w:val="auto"/>
              </w:rPr>
            </w:pPr>
            <w:r>
              <w:rPr>
                <w:rFonts w:ascii="Arial" w:cs="Arial" w:eastAsia="Arial" w:hAnsi="Arial"/>
                <w:sz w:val="18"/>
                <w:szCs w:val="18"/>
                <w:color w:val="auto"/>
              </w:rPr>
              <w:t>99.109%</w:t>
            </w:r>
          </w:p>
        </w:tc>
        <w:tc>
          <w:tcPr>
            <w:tcW w:w="0" w:type="dxa"/>
            <w:vAlign w:val="bottom"/>
          </w:tcPr>
          <w:p>
            <w:pPr>
              <w:spacing w:after="0"/>
              <w:rPr>
                <w:sz w:val="1"/>
                <w:szCs w:val="1"/>
                <w:color w:val="auto"/>
              </w:rPr>
            </w:pPr>
          </w:p>
        </w:tc>
      </w:tr>
      <w:tr>
        <w:trPr>
          <w:trHeight w:val="223"/>
        </w:trPr>
        <w:tc>
          <w:tcPr>
            <w:tcW w:w="4240" w:type="dxa"/>
            <w:vAlign w:val="bottom"/>
          </w:tcPr>
          <w:p>
            <w:pPr>
              <w:ind w:left="260"/>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w w:val="99"/>
              </w:rPr>
              <w:t>997,590,000</w:t>
            </w:r>
          </w:p>
        </w:tc>
        <w:tc>
          <w:tcPr>
            <w:tcW w:w="2260" w:type="dxa"/>
            <w:vAlign w:val="bottom"/>
            <w:gridSpan w:val="2"/>
          </w:tcPr>
          <w:p>
            <w:pPr>
              <w:jc w:val="right"/>
              <w:ind w:right="589"/>
              <w:spacing w:after="0"/>
              <w:rPr>
                <w:sz w:val="20"/>
                <w:szCs w:val="20"/>
                <w:color w:val="auto"/>
              </w:rPr>
            </w:pPr>
            <w:r>
              <w:rPr>
                <w:rFonts w:ascii="Arial" w:cs="Arial" w:eastAsia="Arial" w:hAnsi="Arial"/>
                <w:sz w:val="18"/>
                <w:szCs w:val="18"/>
                <w:color w:val="auto"/>
              </w:rPr>
              <w:t>$6,500,000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w w:val="99"/>
              </w:rPr>
              <w:t>991,090,000</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160" w:hanging="572"/>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July 14, 2006, if settlement occurs after that date.</w:t>
      </w:r>
    </w:p>
    <w:p>
      <w:pPr>
        <w:spacing w:after="0" w:line="58" w:lineRule="exact"/>
        <w:rPr>
          <w:sz w:val="20"/>
          <w:szCs w:val="20"/>
          <w:color w:val="auto"/>
        </w:rPr>
      </w:pPr>
    </w:p>
    <w:p>
      <w:pPr>
        <w:ind w:right="240" w:firstLine="264"/>
        <w:spacing w:after="0" w:line="331" w:lineRule="auto"/>
        <w:rPr>
          <w:sz w:val="20"/>
          <w:szCs w:val="20"/>
          <w:color w:val="auto"/>
        </w:rPr>
      </w:pPr>
      <w:r>
        <w:rPr>
          <w:rFonts w:ascii="Arial" w:cs="Arial" w:eastAsia="Arial" w:hAnsi="Arial"/>
          <w:sz w:val="15"/>
          <w:szCs w:val="15"/>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ind w:right="300" w:firstLine="261"/>
        <w:spacing w:after="0" w:line="264"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and Clearstream, in book-entry form on or about July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88265</wp:posOffset>
            </wp:positionV>
            <wp:extent cx="1587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40" w:type="dxa"/>
            <w:vAlign w:val="bottom"/>
            <w:gridSpan w:val="4"/>
          </w:tcPr>
          <w:p>
            <w:pPr>
              <w:jc w:val="center"/>
              <w:ind w:right="740"/>
              <w:spacing w:after="0"/>
              <w:rPr>
                <w:sz w:val="20"/>
                <w:szCs w:val="20"/>
                <w:color w:val="auto"/>
              </w:rPr>
            </w:pPr>
            <w:r>
              <w:rPr>
                <w:rFonts w:ascii="Arial" w:cs="Arial" w:eastAsia="Arial" w:hAnsi="Arial"/>
                <w:sz w:val="18"/>
                <w:szCs w:val="18"/>
                <w:i w:val="1"/>
                <w:iCs w:val="1"/>
                <w:color w:val="auto"/>
                <w:w w:val="90"/>
              </w:rPr>
              <w:t>Joint Book-Running Managers</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b w:val="1"/>
                <w:bCs w:val="1"/>
                <w:color w:val="auto"/>
              </w:rPr>
              <w:t>Lehman Brothers</w:t>
            </w: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Morgan Stanley</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00" w:type="dxa"/>
            <w:vAlign w:val="bottom"/>
            <w:gridSpan w:val="2"/>
          </w:tcPr>
          <w:p>
            <w:pPr>
              <w:ind w:left="480"/>
              <w:spacing w:after="0"/>
              <w:rPr>
                <w:sz w:val="20"/>
                <w:szCs w:val="20"/>
                <w:color w:val="auto"/>
              </w:rPr>
            </w:pPr>
            <w:r>
              <w:rPr>
                <w:rFonts w:ascii="Arial" w:cs="Arial" w:eastAsia="Arial" w:hAnsi="Arial"/>
                <w:sz w:val="18"/>
                <w:szCs w:val="18"/>
                <w:b w:val="1"/>
                <w:bCs w:val="1"/>
                <w:color w:val="auto"/>
                <w:w w:val="89"/>
              </w:rPr>
              <w:t>RBS Greenwich Capital</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520" w:type="dxa"/>
            <w:vAlign w:val="bottom"/>
          </w:tcPr>
          <w:p>
            <w:pPr>
              <w:jc w:val="center"/>
              <w:ind w:left="515"/>
              <w:spacing w:after="0"/>
              <w:rPr>
                <w:sz w:val="20"/>
                <w:szCs w:val="20"/>
                <w:color w:val="auto"/>
              </w:rPr>
            </w:pPr>
            <w:r>
              <w:rPr>
                <w:rFonts w:ascii="Arial" w:cs="Arial" w:eastAsia="Arial" w:hAnsi="Arial"/>
                <w:sz w:val="18"/>
                <w:szCs w:val="18"/>
                <w:b w:val="1"/>
                <w:bCs w:val="1"/>
                <w:color w:val="auto"/>
                <w:w w:val="87"/>
              </w:rPr>
              <w:t>Banc of America Securities</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9"/>
              </w:rPr>
              <w:t>Barclays Capital</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3"/>
              </w:rPr>
              <w:t>BNP PARIBAS</w:t>
            </w:r>
          </w:p>
        </w:tc>
        <w:tc>
          <w:tcPr>
            <w:tcW w:w="0" w:type="dxa"/>
            <w:vAlign w:val="bottom"/>
          </w:tcPr>
          <w:p>
            <w:pPr>
              <w:spacing w:after="0"/>
              <w:rPr>
                <w:sz w:val="1"/>
                <w:szCs w:val="1"/>
                <w:color w:val="auto"/>
              </w:rPr>
            </w:pPr>
          </w:p>
        </w:tc>
      </w:tr>
      <w:tr>
        <w:trPr>
          <w:trHeight w:val="212"/>
        </w:trPr>
        <w:tc>
          <w:tcPr>
            <w:tcW w:w="3520" w:type="dxa"/>
            <w:vAlign w:val="bottom"/>
          </w:tcPr>
          <w:p>
            <w:pPr>
              <w:jc w:val="center"/>
              <w:ind w:left="515"/>
              <w:spacing w:after="0"/>
              <w:rPr>
                <w:sz w:val="20"/>
                <w:szCs w:val="20"/>
                <w:color w:val="auto"/>
              </w:rPr>
            </w:pPr>
            <w:r>
              <w:rPr>
                <w:rFonts w:ascii="Arial" w:cs="Arial" w:eastAsia="Arial" w:hAnsi="Arial"/>
                <w:sz w:val="18"/>
                <w:szCs w:val="18"/>
                <w:b w:val="1"/>
                <w:bCs w:val="1"/>
                <w:color w:val="auto"/>
                <w:w w:val="89"/>
              </w:rPr>
              <w:t>Citigroup</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Daiwa Securities America Inc.</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5"/>
              </w:rPr>
              <w:t>Deutsche Bank Securities</w:t>
            </w:r>
          </w:p>
        </w:tc>
        <w:tc>
          <w:tcPr>
            <w:tcW w:w="0" w:type="dxa"/>
            <w:vAlign w:val="bottom"/>
          </w:tcPr>
          <w:p>
            <w:pPr>
              <w:spacing w:after="0"/>
              <w:rPr>
                <w:sz w:val="1"/>
                <w:szCs w:val="1"/>
                <w:color w:val="auto"/>
              </w:rPr>
            </w:pPr>
          </w:p>
        </w:tc>
      </w:tr>
      <w:tr>
        <w:trPr>
          <w:trHeight w:val="212"/>
        </w:trPr>
        <w:tc>
          <w:tcPr>
            <w:tcW w:w="3520" w:type="dxa"/>
            <w:vAlign w:val="bottom"/>
          </w:tcPr>
          <w:p>
            <w:pPr>
              <w:jc w:val="center"/>
              <w:ind w:left="515"/>
              <w:spacing w:after="0"/>
              <w:rPr>
                <w:sz w:val="20"/>
                <w:szCs w:val="20"/>
                <w:color w:val="auto"/>
              </w:rPr>
            </w:pPr>
            <w:r>
              <w:rPr>
                <w:rFonts w:ascii="Arial" w:cs="Arial" w:eastAsia="Arial" w:hAnsi="Arial"/>
                <w:sz w:val="18"/>
                <w:szCs w:val="18"/>
                <w:b w:val="1"/>
                <w:bCs w:val="1"/>
                <w:color w:val="auto"/>
                <w:w w:val="89"/>
              </w:rPr>
              <w:t>Goldman, Sachs &amp; Co.</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JPMorgan</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LaSalle Capital Markets</w:t>
            </w:r>
          </w:p>
        </w:tc>
        <w:tc>
          <w:tcPr>
            <w:tcW w:w="0" w:type="dxa"/>
            <w:vAlign w:val="bottom"/>
          </w:tcPr>
          <w:p>
            <w:pPr>
              <w:spacing w:after="0"/>
              <w:rPr>
                <w:sz w:val="1"/>
                <w:szCs w:val="1"/>
                <w:color w:val="auto"/>
              </w:rPr>
            </w:pPr>
          </w:p>
        </w:tc>
      </w:tr>
      <w:tr>
        <w:trPr>
          <w:trHeight w:val="212"/>
        </w:trPr>
        <w:tc>
          <w:tcPr>
            <w:tcW w:w="3520" w:type="dxa"/>
            <w:vAlign w:val="bottom"/>
          </w:tcPr>
          <w:p>
            <w:pPr>
              <w:jc w:val="center"/>
              <w:ind w:left="515"/>
              <w:spacing w:after="0"/>
              <w:rPr>
                <w:sz w:val="20"/>
                <w:szCs w:val="20"/>
                <w:color w:val="auto"/>
              </w:rPr>
            </w:pPr>
            <w:r>
              <w:rPr>
                <w:rFonts w:ascii="Arial" w:cs="Arial" w:eastAsia="Arial" w:hAnsi="Arial"/>
                <w:sz w:val="18"/>
                <w:szCs w:val="18"/>
                <w:b w:val="1"/>
                <w:bCs w:val="1"/>
                <w:color w:val="auto"/>
                <w:w w:val="93"/>
              </w:rPr>
              <w:t>Lazard Capital Markets</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5"/>
              </w:rPr>
              <w:t>Merrill Lynch &amp; Co.</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UBS Investment Bank</w:t>
            </w:r>
          </w:p>
        </w:tc>
        <w:tc>
          <w:tcPr>
            <w:tcW w:w="0" w:type="dxa"/>
            <w:vAlign w:val="bottom"/>
          </w:tcPr>
          <w:p>
            <w:pPr>
              <w:spacing w:after="0"/>
              <w:rPr>
                <w:sz w:val="1"/>
                <w:szCs w:val="1"/>
                <w:color w:val="auto"/>
              </w:rPr>
            </w:pPr>
          </w:p>
        </w:tc>
      </w:tr>
      <w:tr>
        <w:trPr>
          <w:trHeight w:val="229"/>
        </w:trPr>
        <w:tc>
          <w:tcPr>
            <w:tcW w:w="3520" w:type="dxa"/>
            <w:vAlign w:val="bottom"/>
          </w:tcPr>
          <w:p>
            <w:pPr>
              <w:jc w:val="center"/>
              <w:ind w:left="515"/>
              <w:spacing w:after="0"/>
              <w:rPr>
                <w:sz w:val="20"/>
                <w:szCs w:val="20"/>
                <w:color w:val="auto"/>
              </w:rPr>
            </w:pPr>
            <w:r>
              <w:rPr>
                <w:rFonts w:ascii="Arial" w:cs="Arial" w:eastAsia="Arial" w:hAnsi="Arial"/>
                <w:sz w:val="18"/>
                <w:szCs w:val="18"/>
                <w:b w:val="1"/>
                <w:bCs w:val="1"/>
                <w:color w:val="auto"/>
                <w:w w:val="86"/>
              </w:rPr>
              <w:t>Wachovia Securities</w:t>
            </w: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3"/>
              </w:rPr>
              <w:t>BNY Capital Markets, Inc.</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9"/>
              </w:rPr>
              <w:t>SunTrust Robinson Humphrey</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520" w:type="dxa"/>
            <w:vAlign w:val="bottom"/>
          </w:tcPr>
          <w:p>
            <w:pPr>
              <w:jc w:val="center"/>
              <w:ind w:left="535"/>
              <w:spacing w:after="0"/>
              <w:rPr>
                <w:sz w:val="20"/>
                <w:szCs w:val="20"/>
                <w:color w:val="auto"/>
              </w:rPr>
            </w:pPr>
            <w:r>
              <w:rPr>
                <w:rFonts w:ascii="Arial" w:cs="Arial" w:eastAsia="Arial" w:hAnsi="Arial"/>
                <w:sz w:val="18"/>
                <w:szCs w:val="18"/>
                <w:b w:val="1"/>
                <w:bCs w:val="1"/>
                <w:color w:val="auto"/>
                <w:w w:val="92"/>
              </w:rPr>
              <w:t>Guzman &amp; Company</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3"/>
              </w:rPr>
              <w:t>Ramirez &amp; Co., Inc.</w:t>
            </w:r>
          </w:p>
        </w:tc>
        <w:tc>
          <w:tcPr>
            <w:tcW w:w="80" w:type="dxa"/>
            <w:vAlign w:val="bottom"/>
          </w:tcPr>
          <w:p>
            <w:pPr>
              <w:spacing w:after="0"/>
              <w:rPr>
                <w:sz w:val="24"/>
                <w:szCs w:val="24"/>
                <w:color w:val="auto"/>
              </w:rPr>
            </w:pPr>
          </w:p>
        </w:tc>
        <w:tc>
          <w:tcPr>
            <w:tcW w:w="3660" w:type="dxa"/>
            <w:vAlign w:val="bottom"/>
            <w:gridSpan w:val="4"/>
          </w:tcPr>
          <w:p>
            <w:pPr>
              <w:jc w:val="center"/>
              <w:ind w:left="245"/>
              <w:spacing w:after="0"/>
              <w:rPr>
                <w:sz w:val="20"/>
                <w:szCs w:val="20"/>
                <w:color w:val="auto"/>
              </w:rPr>
            </w:pPr>
            <w:r>
              <w:rPr>
                <w:rFonts w:ascii="Arial" w:cs="Arial" w:eastAsia="Arial" w:hAnsi="Arial"/>
                <w:sz w:val="18"/>
                <w:szCs w:val="18"/>
                <w:b w:val="1"/>
                <w:bCs w:val="1"/>
                <w:color w:val="auto"/>
                <w:w w:val="91"/>
              </w:rPr>
              <w:t>The Williams Capital Group, L.P.</w:t>
            </w:r>
          </w:p>
        </w:tc>
        <w:tc>
          <w:tcPr>
            <w:tcW w:w="0" w:type="dxa"/>
            <w:vAlign w:val="bottom"/>
          </w:tcPr>
          <w:p>
            <w:pPr>
              <w:spacing w:after="0"/>
              <w:rPr>
                <w:sz w:val="1"/>
                <w:szCs w:val="1"/>
                <w:color w:val="auto"/>
              </w:rPr>
            </w:pPr>
          </w:p>
        </w:tc>
      </w:tr>
      <w:tr>
        <w:trPr>
          <w:trHeight w:val="229"/>
        </w:trPr>
        <w:tc>
          <w:tcPr>
            <w:tcW w:w="3520" w:type="dxa"/>
            <w:vAlign w:val="bottom"/>
          </w:tcPr>
          <w:p>
            <w:pPr>
              <w:jc w:val="center"/>
              <w:ind w:left="515"/>
              <w:spacing w:after="0"/>
              <w:rPr>
                <w:sz w:val="20"/>
                <w:szCs w:val="20"/>
                <w:color w:val="auto"/>
              </w:rPr>
            </w:pPr>
            <w:r>
              <w:rPr>
                <w:rFonts w:ascii="Arial" w:cs="Arial" w:eastAsia="Arial" w:hAnsi="Arial"/>
                <w:sz w:val="18"/>
                <w:szCs w:val="18"/>
                <w:b w:val="1"/>
                <w:bCs w:val="1"/>
                <w:color w:val="auto"/>
                <w:w w:val="92"/>
              </w:rPr>
              <w:t>Cabrera Capital Markets, Inc.</w:t>
            </w: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4"/>
              </w:rPr>
              <w:t>Loop Capital Markets, LLC</w:t>
            </w:r>
          </w:p>
        </w:tc>
        <w:tc>
          <w:tcPr>
            <w:tcW w:w="0" w:type="dxa"/>
            <w:vAlign w:val="bottom"/>
          </w:tcPr>
          <w:p>
            <w:pPr>
              <w:spacing w:after="0"/>
              <w:rPr>
                <w:sz w:val="1"/>
                <w:szCs w:val="1"/>
                <w:color w:val="auto"/>
              </w:rPr>
            </w:pPr>
          </w:p>
        </w:tc>
      </w:tr>
      <w:tr>
        <w:trPr>
          <w:trHeight w:val="265"/>
        </w:trPr>
        <w:tc>
          <w:tcPr>
            <w:tcW w:w="3520" w:type="dxa"/>
            <w:vAlign w:val="bottom"/>
          </w:tcPr>
          <w:p>
            <w:pPr>
              <w:spacing w:after="0"/>
              <w:rPr>
                <w:sz w:val="23"/>
                <w:szCs w:val="23"/>
                <w:color w:val="auto"/>
              </w:rPr>
            </w:pPr>
          </w:p>
        </w:tc>
        <w:tc>
          <w:tcPr>
            <w:tcW w:w="4180" w:type="dxa"/>
            <w:vAlign w:val="bottom"/>
            <w:gridSpan w:val="6"/>
          </w:tcPr>
          <w:p>
            <w:pPr>
              <w:jc w:val="center"/>
              <w:ind w:left="132"/>
              <w:spacing w:after="0"/>
              <w:rPr>
                <w:sz w:val="20"/>
                <w:szCs w:val="20"/>
                <w:color w:val="auto"/>
              </w:rPr>
            </w:pPr>
            <w:r>
              <w:rPr>
                <w:rFonts w:ascii="Arial" w:cs="Arial" w:eastAsia="Arial" w:hAnsi="Arial"/>
                <w:sz w:val="18"/>
                <w:szCs w:val="18"/>
                <w:color w:val="auto"/>
                <w:w w:val="87"/>
              </w:rPr>
              <w:t>The date of this prospectus supplement is July 11, 2006.</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3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Borders>
              <w:bottom w:val="single" w:sz="8" w:color="auto"/>
            </w:tcBorders>
            <w:gridSpan w:val="2"/>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7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CALCULATION OF REGISTRATION FEE</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35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20" w:type="dxa"/>
            <w:vAlign w:val="bottom"/>
            <w:tcBorders>
              <w:top w:val="single" w:sz="8" w:color="auto"/>
            </w:tcBorders>
            <w:vMerge w:val="restart"/>
          </w:tcPr>
          <w:p>
            <w:pPr>
              <w:jc w:val="center"/>
              <w:ind w:left="1215"/>
              <w:spacing w:after="0"/>
              <w:rPr>
                <w:sz w:val="20"/>
                <w:szCs w:val="20"/>
                <w:color w:val="auto"/>
              </w:rPr>
            </w:pPr>
            <w:r>
              <w:rPr>
                <w:rFonts w:ascii="Arial" w:cs="Arial" w:eastAsia="Arial" w:hAnsi="Arial"/>
                <w:sz w:val="14"/>
                <w:szCs w:val="14"/>
                <w:b w:val="1"/>
                <w:bCs w:val="1"/>
                <w:color w:val="auto"/>
                <w:w w:val="93"/>
              </w:rPr>
              <w:t>Title Of Each Class</w:t>
            </w:r>
          </w:p>
        </w:tc>
        <w:tc>
          <w:tcPr>
            <w:tcW w:w="4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80" w:type="dxa"/>
            <w:vAlign w:val="bottom"/>
            <w:tcBorders>
              <w:top w:val="single" w:sz="8" w:color="auto"/>
              <w:right w:val="single" w:sz="8" w:color="auto"/>
            </w:tcBorders>
          </w:tcPr>
          <w:p>
            <w:pPr>
              <w:spacing w:after="0"/>
              <w:rPr>
                <w:sz w:val="10"/>
                <w:szCs w:val="10"/>
                <w:color w:val="auto"/>
              </w:rPr>
            </w:pP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Amount To Be</w:t>
            </w:r>
          </w:p>
        </w:tc>
        <w:tc>
          <w:tcPr>
            <w:tcW w:w="3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5"/>
              <w:spacing w:after="0" w:line="116" w:lineRule="exact"/>
              <w:rPr>
                <w:sz w:val="20"/>
                <w:szCs w:val="20"/>
                <w:color w:val="auto"/>
              </w:rPr>
            </w:pPr>
            <w:r>
              <w:rPr>
                <w:rFonts w:ascii="Arial" w:cs="Arial" w:eastAsia="Arial" w:hAnsi="Arial"/>
                <w:sz w:val="13"/>
                <w:szCs w:val="13"/>
                <w:b w:val="1"/>
                <w:bCs w:val="1"/>
                <w:color w:val="auto"/>
              </w:rPr>
              <w:t>Maximum</w:t>
            </w:r>
          </w:p>
        </w:tc>
        <w:tc>
          <w:tcPr>
            <w:tcW w:w="560" w:type="dxa"/>
            <w:vAlign w:val="bottom"/>
            <w:tcBorders>
              <w:top w:val="single" w:sz="8" w:color="auto"/>
              <w:right w:val="single" w:sz="8" w:color="auto"/>
            </w:tcBorders>
          </w:tcPr>
          <w:p>
            <w:pPr>
              <w:spacing w:after="0"/>
              <w:rPr>
                <w:sz w:val="10"/>
                <w:szCs w:val="10"/>
                <w:color w:val="auto"/>
              </w:rPr>
            </w:pPr>
          </w:p>
        </w:tc>
        <w:tc>
          <w:tcPr>
            <w:tcW w:w="2280" w:type="dxa"/>
            <w:vAlign w:val="bottom"/>
            <w:tcBorders>
              <w:top w:val="single" w:sz="8" w:color="auto"/>
            </w:tcBorders>
          </w:tcPr>
          <w:p>
            <w:pPr>
              <w:jc w:val="center"/>
              <w:ind w:left="160"/>
              <w:spacing w:after="0" w:line="116" w:lineRule="exact"/>
              <w:rPr>
                <w:sz w:val="20"/>
                <w:szCs w:val="20"/>
                <w:color w:val="auto"/>
              </w:rPr>
            </w:pPr>
            <w:r>
              <w:rPr>
                <w:rFonts w:ascii="Arial" w:cs="Arial" w:eastAsia="Arial" w:hAnsi="Arial"/>
                <w:sz w:val="13"/>
                <w:szCs w:val="13"/>
                <w:b w:val="1"/>
                <w:bCs w:val="1"/>
                <w:color w:val="auto"/>
              </w:rPr>
              <w:t>Amount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vMerge w:val="continue"/>
          </w:tcPr>
          <w:p>
            <w:pPr>
              <w:spacing w:after="0"/>
              <w:rPr>
                <w:sz w:val="12"/>
                <w:szCs w:val="12"/>
                <w:color w:val="auto"/>
              </w:rPr>
            </w:pPr>
          </w:p>
        </w:tc>
        <w:tc>
          <w:tcPr>
            <w:tcW w:w="6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5"/>
              <w:spacing w:after="0" w:line="145" w:lineRule="exact"/>
              <w:rPr>
                <w:sz w:val="20"/>
                <w:szCs w:val="20"/>
                <w:color w:val="auto"/>
              </w:rPr>
            </w:pPr>
            <w:r>
              <w:rPr>
                <w:rFonts w:ascii="Arial" w:cs="Arial" w:eastAsia="Arial" w:hAnsi="Arial"/>
                <w:sz w:val="14"/>
                <w:szCs w:val="14"/>
                <w:b w:val="1"/>
                <w:bCs w:val="1"/>
                <w:color w:val="auto"/>
                <w:w w:val="89"/>
              </w:rPr>
              <w:t>Aggregate</w:t>
            </w:r>
          </w:p>
        </w:tc>
        <w:tc>
          <w:tcPr>
            <w:tcW w:w="560" w:type="dxa"/>
            <w:vAlign w:val="bottom"/>
            <w:tcBorders>
              <w:right w:val="single" w:sz="8" w:color="auto"/>
            </w:tcBorders>
          </w:tcPr>
          <w:p>
            <w:pPr>
              <w:spacing w:after="0"/>
              <w:rPr>
                <w:sz w:val="12"/>
                <w:szCs w:val="12"/>
                <w:color w:val="auto"/>
              </w:rPr>
            </w:pPr>
          </w:p>
        </w:tc>
        <w:tc>
          <w:tcPr>
            <w:tcW w:w="2300" w:type="dxa"/>
            <w:vAlign w:val="bottom"/>
            <w:gridSpan w:val="2"/>
          </w:tcPr>
          <w:p>
            <w:pPr>
              <w:jc w:val="center"/>
              <w:ind w:left="120"/>
              <w:spacing w:after="0" w:line="145" w:lineRule="exact"/>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168"/>
        </w:trPr>
        <w:tc>
          <w:tcPr>
            <w:tcW w:w="3520" w:type="dxa"/>
            <w:vAlign w:val="bottom"/>
          </w:tcPr>
          <w:p>
            <w:pPr>
              <w:jc w:val="center"/>
              <w:ind w:left="1215"/>
              <w:spacing w:after="0"/>
              <w:rPr>
                <w:sz w:val="20"/>
                <w:szCs w:val="20"/>
                <w:color w:val="auto"/>
              </w:rPr>
            </w:pPr>
            <w:r>
              <w:rPr>
                <w:rFonts w:ascii="Arial" w:cs="Arial" w:eastAsia="Arial" w:hAnsi="Arial"/>
                <w:sz w:val="14"/>
                <w:szCs w:val="14"/>
                <w:b w:val="1"/>
                <w:bCs w:val="1"/>
                <w:color w:val="auto"/>
                <w:w w:val="88"/>
              </w:rPr>
              <w:t>Of Securities To Be Registered</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600" w:type="dxa"/>
            <w:vAlign w:val="bottom"/>
            <w:gridSpan w:val="2"/>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Offering Price</w:t>
            </w:r>
          </w:p>
        </w:tc>
        <w:tc>
          <w:tcPr>
            <w:tcW w:w="560" w:type="dxa"/>
            <w:vAlign w:val="bottom"/>
            <w:tcBorders>
              <w:right w:val="single" w:sz="8" w:color="auto"/>
            </w:tcBorders>
          </w:tcPr>
          <w:p>
            <w:pPr>
              <w:spacing w:after="0"/>
              <w:rPr>
                <w:sz w:val="14"/>
                <w:szCs w:val="14"/>
                <w:color w:val="auto"/>
              </w:rPr>
            </w:pPr>
          </w:p>
        </w:tc>
        <w:tc>
          <w:tcPr>
            <w:tcW w:w="2300" w:type="dxa"/>
            <w:vAlign w:val="bottom"/>
            <w:gridSpan w:val="2"/>
          </w:tcPr>
          <w:p>
            <w:pPr>
              <w:jc w:val="center"/>
              <w:ind w:left="140"/>
              <w:spacing w:after="0"/>
              <w:rPr>
                <w:sz w:val="20"/>
                <w:szCs w:val="20"/>
                <w:color w:val="auto"/>
              </w:rPr>
            </w:pPr>
            <w:r>
              <w:rPr>
                <w:rFonts w:ascii="Arial" w:cs="Arial" w:eastAsia="Arial" w:hAnsi="Arial"/>
                <w:sz w:val="14"/>
                <w:szCs w:val="14"/>
                <w:b w:val="1"/>
                <w:bCs w:val="1"/>
                <w:color w:val="auto"/>
                <w:w w:val="88"/>
              </w:rPr>
              <w:t>Fee (1)</w:t>
            </w:r>
          </w:p>
        </w:tc>
        <w:tc>
          <w:tcPr>
            <w:tcW w:w="0" w:type="dxa"/>
            <w:vAlign w:val="bottom"/>
          </w:tcPr>
          <w:p>
            <w:pPr>
              <w:spacing w:after="0"/>
              <w:rPr>
                <w:sz w:val="1"/>
                <w:szCs w:val="1"/>
                <w:color w:val="auto"/>
              </w:rPr>
            </w:pPr>
          </w:p>
        </w:tc>
      </w:tr>
      <w:tr>
        <w:trPr>
          <w:trHeight w:val="206"/>
        </w:trPr>
        <w:tc>
          <w:tcPr>
            <w:tcW w:w="3520" w:type="dxa"/>
            <w:vAlign w:val="bottom"/>
            <w:tcBorders>
              <w:top w:val="single" w:sz="8" w:color="auto"/>
            </w:tcBorders>
          </w:tcPr>
          <w:p>
            <w:pPr>
              <w:spacing w:after="0" w:line="206" w:lineRule="exact"/>
              <w:rPr>
                <w:sz w:val="20"/>
                <w:szCs w:val="20"/>
                <w:color w:val="auto"/>
              </w:rPr>
            </w:pPr>
            <w:r>
              <w:rPr>
                <w:rFonts w:ascii="Arial" w:cs="Arial" w:eastAsia="Arial" w:hAnsi="Arial"/>
                <w:sz w:val="18"/>
                <w:szCs w:val="18"/>
                <w:color w:val="auto"/>
              </w:rPr>
              <w:t>Floating Rate Notes due 2009</w:t>
            </w:r>
          </w:p>
        </w:tc>
        <w:tc>
          <w:tcPr>
            <w:tcW w:w="1520" w:type="dxa"/>
            <w:vAlign w:val="bottom"/>
            <w:tcBorders>
              <w:top w:val="single" w:sz="8" w:color="auto"/>
              <w:right w:val="single" w:sz="8" w:color="auto"/>
            </w:tcBorders>
            <w:gridSpan w:val="3"/>
          </w:tcPr>
          <w:p>
            <w:pPr>
              <w:spacing w:after="0"/>
              <w:rPr>
                <w:sz w:val="17"/>
                <w:szCs w:val="17"/>
                <w:color w:val="auto"/>
              </w:rPr>
            </w:pPr>
          </w:p>
        </w:tc>
        <w:tc>
          <w:tcPr>
            <w:tcW w:w="206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color w:val="auto"/>
                <w:w w:val="87"/>
              </w:rPr>
              <w:t>$1,250,000,000</w:t>
            </w: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165"/>
              <w:spacing w:after="0" w:line="206" w:lineRule="exact"/>
              <w:rPr>
                <w:sz w:val="20"/>
                <w:szCs w:val="20"/>
                <w:color w:val="auto"/>
              </w:rPr>
            </w:pPr>
            <w:r>
              <w:rPr>
                <w:rFonts w:ascii="Arial" w:cs="Arial" w:eastAsia="Arial" w:hAnsi="Arial"/>
                <w:sz w:val="18"/>
                <w:szCs w:val="18"/>
                <w:color w:val="auto"/>
              </w:rPr>
              <w:t>100%</w:t>
            </w:r>
          </w:p>
        </w:tc>
        <w:tc>
          <w:tcPr>
            <w:tcW w:w="560" w:type="dxa"/>
            <w:vAlign w:val="bottom"/>
            <w:tcBorders>
              <w:top w:val="single" w:sz="8" w:color="auto"/>
              <w:right w:val="single" w:sz="8" w:color="auto"/>
            </w:tcBorders>
          </w:tcPr>
          <w:p>
            <w:pPr>
              <w:spacing w:after="0"/>
              <w:rPr>
                <w:sz w:val="17"/>
                <w:szCs w:val="17"/>
                <w:color w:val="auto"/>
              </w:rPr>
            </w:pPr>
          </w:p>
        </w:tc>
        <w:tc>
          <w:tcPr>
            <w:tcW w:w="2280" w:type="dxa"/>
            <w:vAlign w:val="bottom"/>
            <w:tcBorders>
              <w:top w:val="single" w:sz="8" w:color="auto"/>
            </w:tcBorders>
          </w:tcPr>
          <w:p>
            <w:pPr>
              <w:jc w:val="center"/>
              <w:ind w:left="140"/>
              <w:spacing w:after="0" w:line="206" w:lineRule="exact"/>
              <w:rPr>
                <w:sz w:val="20"/>
                <w:szCs w:val="20"/>
                <w:color w:val="auto"/>
              </w:rPr>
            </w:pPr>
            <w:r>
              <w:rPr>
                <w:rFonts w:ascii="Arial" w:cs="Arial" w:eastAsia="Arial" w:hAnsi="Arial"/>
                <w:sz w:val="18"/>
                <w:szCs w:val="18"/>
                <w:color w:val="auto"/>
                <w:w w:val="87"/>
              </w:rPr>
              <w:t>$133,750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6.50% Notes due 2017</w:t>
            </w:r>
          </w:p>
        </w:tc>
        <w:tc>
          <w:tcPr>
            <w:tcW w:w="1520" w:type="dxa"/>
            <w:vAlign w:val="bottom"/>
            <w:tcBorders>
              <w:bottom w:val="single" w:sz="8" w:color="auto"/>
              <w:right w:val="single" w:sz="8" w:color="auto"/>
            </w:tcBorders>
            <w:gridSpan w:val="3"/>
          </w:tcPr>
          <w:p>
            <w:pPr>
              <w:spacing w:after="0"/>
              <w:rPr>
                <w:sz w:val="19"/>
                <w:szCs w:val="19"/>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$1,000,000,000</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rPr>
              <w:t>99.759%</w:t>
            </w:r>
          </w:p>
        </w:tc>
        <w:tc>
          <w:tcPr>
            <w:tcW w:w="5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jc w:val="center"/>
              <w:ind w:left="140"/>
              <w:spacing w:after="0"/>
              <w:rPr>
                <w:sz w:val="20"/>
                <w:szCs w:val="20"/>
                <w:color w:val="auto"/>
              </w:rPr>
            </w:pPr>
            <w:r>
              <w:rPr>
                <w:rFonts w:ascii="Arial" w:cs="Arial" w:eastAsia="Arial" w:hAnsi="Arial"/>
                <w:sz w:val="18"/>
                <w:szCs w:val="18"/>
                <w:color w:val="auto"/>
                <w:w w:val="87"/>
              </w:rPr>
              <w:t>$107,000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Calculated in accordance with Rule 457(r)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40" w:type="dxa"/>
            <w:vAlign w:val="bottom"/>
            <w:gridSpan w:val="2"/>
          </w:tcPr>
          <w:p>
            <w:pPr>
              <w:jc w:val="center"/>
              <w:ind w:right="2672"/>
              <w:spacing w:after="0"/>
              <w:rPr>
                <w:sz w:val="20"/>
                <w:szCs w:val="20"/>
                <w:color w:val="auto"/>
              </w:rPr>
            </w:pPr>
            <w:r>
              <w:rPr>
                <w:rFonts w:ascii="Arial" w:cs="Arial" w:eastAsia="Arial" w:hAnsi="Arial"/>
                <w:sz w:val="18"/>
                <w:szCs w:val="18"/>
                <w:b w:val="1"/>
                <w:bCs w:val="1"/>
                <w:color w:val="auto"/>
                <w:w w:val="96"/>
              </w:rPr>
              <w:t>TABLE OF CONTENTS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gridSpan w:val="2"/>
          </w:tcPr>
          <w:p>
            <w:pPr>
              <w:jc w:val="center"/>
              <w:ind w:right="2672"/>
              <w:spacing w:after="0"/>
              <w:rPr>
                <w:sz w:val="20"/>
                <w:szCs w:val="20"/>
                <w:color w:val="auto"/>
              </w:rPr>
            </w:pPr>
            <w:r>
              <w:rPr>
                <w:rFonts w:ascii="Arial" w:cs="Arial" w:eastAsia="Arial" w:hAnsi="Arial"/>
                <w:sz w:val="18"/>
                <w:szCs w:val="18"/>
                <w:b w:val="1"/>
                <w:bCs w:val="1"/>
                <w:color w:val="auto"/>
                <w:w w:val="85"/>
              </w:rPr>
              <w:t>Prospectus Supplement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380" w:type="dxa"/>
            <w:vAlign w:val="bottom"/>
            <w:gridSpan w:val="18"/>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380" w:type="dxa"/>
            <w:vAlign w:val="bottom"/>
            <w:gridSpan w:val="18"/>
            <w:vMerge w:val="continue"/>
          </w:tcPr>
          <w:p>
            <w:pPr>
              <w:spacing w:after="0"/>
              <w:rPr>
                <w:sz w:val="15"/>
                <w:szCs w:val="15"/>
                <w:color w:val="auto"/>
              </w:rPr>
            </w:pPr>
          </w:p>
        </w:tc>
        <w:tc>
          <w:tcPr>
            <w:tcW w:w="1000" w:type="dxa"/>
            <w:vAlign w:val="bottom"/>
          </w:tcPr>
          <w:p>
            <w:pPr>
              <w:jc w:val="right"/>
              <w:ind w:right="233"/>
              <w:spacing w:after="0" w:line="178"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2"/>
        </w:trPr>
        <w:tc>
          <w:tcPr>
            <w:tcW w:w="116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Use of Proceeds</w:t>
              </w:r>
            </w:hyperlink>
          </w:p>
        </w:tc>
        <w:tc>
          <w:tcPr>
            <w:tcW w:w="1220" w:type="dxa"/>
            <w:vAlign w:val="bottom"/>
            <w:tcBorders>
              <w:top w:val="single" w:sz="8" w:color="0000EE"/>
            </w:tcBorders>
            <w:gridSpan w:val="6"/>
          </w:tcPr>
          <w:p>
            <w:pPr>
              <w:spacing w:after="0"/>
              <w:rPr>
                <w:sz w:val="16"/>
                <w:szCs w:val="16"/>
                <w:color w:val="auto"/>
              </w:rPr>
            </w:pPr>
          </w:p>
        </w:tc>
        <w:tc>
          <w:tcPr>
            <w:tcW w:w="8000" w:type="dxa"/>
            <w:vAlign w:val="bottom"/>
            <w:gridSpan w:val="7"/>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0000EE"/>
            </w:tcBorders>
            <w:gridSpan w:val="12"/>
          </w:tcPr>
          <w:p>
            <w:pPr>
              <w:spacing w:after="0" w:line="192"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Ratio of Earnings to Fixed Charges</w:t>
              </w:r>
            </w:hyperlink>
          </w:p>
        </w:tc>
        <w:tc>
          <w:tcPr>
            <w:tcW w:w="7880" w:type="dxa"/>
            <w:vAlign w:val="bottom"/>
            <w:gridSpan w:val="6"/>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2"/>
        </w:trPr>
        <w:tc>
          <w:tcPr>
            <w:tcW w:w="1740" w:type="dxa"/>
            <w:vAlign w:val="bottom"/>
            <w:tcBorders>
              <w:bottom w:val="single" w:sz="8" w:color="0000EE"/>
            </w:tcBorders>
            <w:gridSpan w:val="9"/>
          </w:tcPr>
          <w:p>
            <w:pPr>
              <w:spacing w:after="0" w:line="19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Description of the Notes</w:t>
              </w:r>
            </w:hyperlink>
          </w:p>
        </w:tc>
        <w:tc>
          <w:tcPr>
            <w:tcW w:w="8640" w:type="dxa"/>
            <w:vAlign w:val="bottom"/>
            <w:gridSpan w:val="9"/>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2"/>
        </w:trPr>
        <w:tc>
          <w:tcPr>
            <w:tcW w:w="960" w:type="dxa"/>
            <w:vAlign w:val="bottom"/>
            <w:tcBorders>
              <w:bottom w:val="single" w:sz="8" w:color="0000EE"/>
            </w:tcBorders>
            <w:gridSpan w:val="2"/>
          </w:tcPr>
          <w:p>
            <w:pPr>
              <w:spacing w:after="0" w:line="192"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Underwriting</w:t>
              </w:r>
            </w:hyperlink>
          </w:p>
        </w:tc>
        <w:tc>
          <w:tcPr>
            <w:tcW w:w="9420" w:type="dxa"/>
            <w:vAlign w:val="bottom"/>
            <w:gridSpan w:val="16"/>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2"/>
        </w:trPr>
        <w:tc>
          <w:tcPr>
            <w:tcW w:w="10380" w:type="dxa"/>
            <w:vAlign w:val="bottom"/>
            <w:gridSpan w:val="18"/>
          </w:tcPr>
          <w:p>
            <w:pPr>
              <w:spacing w:after="0" w:line="192" w:lineRule="exact"/>
              <w:rPr>
                <w:rFonts w:ascii="Arial" w:cs="Arial" w:eastAsia="Arial" w:hAnsi="Arial"/>
                <w:sz w:val="18"/>
                <w:szCs w:val="18"/>
                <w:color w:val="0000EE"/>
              </w:rPr>
            </w:pPr>
            <w:hyperlink w:anchor="page16">
              <w:r>
                <w:rPr>
                  <w:rFonts w:ascii="Arial" w:cs="Arial" w:eastAsia="Arial" w:hAnsi="Arial"/>
                  <w:sz w:val="18"/>
                  <w:szCs w:val="18"/>
                  <w:color w:val="0000EE"/>
                </w:rPr>
                <w:t>Legal Matters</w:t>
              </w:r>
            </w:hyperlink>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230"/>
        </w:trPr>
        <w:tc>
          <w:tcPr>
            <w:tcW w:w="5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340" w:type="dxa"/>
            <w:vAlign w:val="bottom"/>
          </w:tcPr>
          <w:p>
            <w:pPr>
              <w:jc w:val="center"/>
              <w:ind w:right="3992"/>
              <w:spacing w:after="0"/>
              <w:rPr>
                <w:sz w:val="20"/>
                <w:szCs w:val="20"/>
                <w:color w:val="auto"/>
              </w:rPr>
            </w:pPr>
            <w:r>
              <w:rPr>
                <w:rFonts w:ascii="Arial" w:cs="Arial" w:eastAsia="Arial" w:hAnsi="Arial"/>
                <w:sz w:val="18"/>
                <w:szCs w:val="18"/>
                <w:b w:val="1"/>
                <w:bCs w:val="1"/>
                <w:color w:val="auto"/>
                <w:w w:val="83"/>
              </w:rPr>
              <w:t>Prospectus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038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The Companies</w:t>
              </w:r>
            </w:hyperlink>
          </w:p>
        </w:tc>
        <w:tc>
          <w:tcPr>
            <w:tcW w:w="1000" w:type="dxa"/>
            <w:vAlign w:val="bottom"/>
          </w:tcPr>
          <w:p>
            <w:pPr>
              <w:jc w:val="right"/>
              <w:ind w:right="2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60" w:type="dxa"/>
            <w:vAlign w:val="bottom"/>
            <w:tcBorders>
              <w:bottom w:val="single" w:sz="8" w:color="0000EE"/>
            </w:tcBorders>
            <w:gridSpan w:val="15"/>
          </w:tcPr>
          <w:p>
            <w:pPr>
              <w:spacing w:after="0" w:line="19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Caution Concerning Forward-Looking Statements</w:t>
              </w:r>
            </w:hyperlink>
          </w:p>
        </w:tc>
        <w:tc>
          <w:tcPr>
            <w:tcW w:w="6820" w:type="dxa"/>
            <w:vAlign w:val="bottom"/>
            <w:gridSpan w:val="3"/>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5"/>
          </w:tcPr>
          <w:p>
            <w:pPr>
              <w:spacing w:after="0" w:line="192" w:lineRule="exact"/>
              <w:rPr>
                <w:rFonts w:ascii="Arial" w:cs="Arial" w:eastAsia="Arial" w:hAnsi="Arial"/>
                <w:sz w:val="18"/>
                <w:szCs w:val="18"/>
                <w:color w:val="0000EE"/>
                <w:w w:val="85"/>
              </w:rPr>
            </w:pPr>
            <w:hyperlink w:anchor="page45">
              <w:r>
                <w:rPr>
                  <w:rFonts w:ascii="Arial" w:cs="Arial" w:eastAsia="Arial" w:hAnsi="Arial"/>
                  <w:sz w:val="18"/>
                  <w:szCs w:val="18"/>
                  <w:color w:val="0000EE"/>
                  <w:w w:val="85"/>
                </w:rPr>
                <w:t>Use of Proceeds</w:t>
              </w:r>
            </w:hyperlink>
          </w:p>
        </w:tc>
        <w:tc>
          <w:tcPr>
            <w:tcW w:w="9220" w:type="dxa"/>
            <w:vAlign w:val="bottom"/>
            <w:gridSpan w:val="13"/>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0380" w:type="dxa"/>
            <w:vAlign w:val="bottom"/>
            <w:gridSpan w:val="18"/>
          </w:tcPr>
          <w:p>
            <w:pPr>
              <w:spacing w:after="0" w:line="192" w:lineRule="exact"/>
              <w:rPr>
                <w:rFonts w:ascii="Arial" w:cs="Arial" w:eastAsia="Arial" w:hAnsi="Arial"/>
                <w:sz w:val="18"/>
                <w:szCs w:val="18"/>
                <w:color w:val="0000EE"/>
              </w:rPr>
            </w:pPr>
            <w:hyperlink w:anchor="page45">
              <w:r>
                <w:rPr>
                  <w:rFonts w:ascii="Arial" w:cs="Arial" w:eastAsia="Arial" w:hAnsi="Arial"/>
                  <w:sz w:val="18"/>
                  <w:szCs w:val="18"/>
                  <w:color w:val="0000EE"/>
                </w:rPr>
                <w:t>Dividend Policy</w:t>
              </w:r>
            </w:hyperlink>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380" w:type="dxa"/>
            <w:vAlign w:val="bottom"/>
            <w:gridSpan w:val="18"/>
          </w:tcPr>
          <w:p>
            <w:pPr>
              <w:spacing w:after="0" w:line="192" w:lineRule="exact"/>
              <w:rPr>
                <w:rFonts w:ascii="Arial" w:cs="Arial" w:eastAsia="Arial" w:hAnsi="Arial"/>
                <w:sz w:val="18"/>
                <w:szCs w:val="18"/>
                <w:color w:val="0000EE"/>
              </w:rPr>
            </w:pPr>
            <w:hyperlink w:anchor="page45">
              <w:r>
                <w:rPr>
                  <w:rFonts w:ascii="Arial" w:cs="Arial" w:eastAsia="Arial" w:hAnsi="Arial"/>
                  <w:sz w:val="18"/>
                  <w:szCs w:val="18"/>
                  <w:color w:val="0000EE"/>
                </w:rPr>
                <w:t>Ratios of Earnings to Fixed Charges</w:t>
              </w:r>
            </w:hyperlink>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380" w:type="dxa"/>
            <w:vAlign w:val="bottom"/>
            <w:gridSpan w:val="18"/>
          </w:tcPr>
          <w:p>
            <w:pPr>
              <w:spacing w:after="0" w:line="192" w:lineRule="exact"/>
              <w:rPr>
                <w:rFonts w:ascii="Arial" w:cs="Arial" w:eastAsia="Arial" w:hAnsi="Arial"/>
                <w:sz w:val="18"/>
                <w:szCs w:val="18"/>
                <w:color w:val="0000EE"/>
              </w:rPr>
            </w:pPr>
            <w:hyperlink w:anchor="page46">
              <w:r>
                <w:rPr>
                  <w:rFonts w:ascii="Arial" w:cs="Arial" w:eastAsia="Arial" w:hAnsi="Arial"/>
                  <w:sz w:val="18"/>
                  <w:szCs w:val="18"/>
                  <w:color w:val="0000EE"/>
                </w:rPr>
                <w:t>Ratio of Earnings to Combined Fixed Charges and Preferred Dividends</w:t>
              </w:r>
            </w:hyperlink>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5040" w:type="dxa"/>
            <w:vAlign w:val="bottom"/>
            <w:tcBorders>
              <w:top w:val="single" w:sz="8" w:color="0000EE"/>
            </w:tcBorders>
            <w:gridSpan w:val="17"/>
          </w:tcPr>
          <w:p>
            <w:pPr>
              <w:spacing w:after="0" w:line="192" w:lineRule="exact"/>
              <w:rPr>
                <w:sz w:val="20"/>
                <w:szCs w:val="20"/>
                <w:color w:val="auto"/>
              </w:rPr>
            </w:pPr>
            <w:r>
              <w:rPr>
                <w:rFonts w:ascii="Arial" w:cs="Arial" w:eastAsia="Arial" w:hAnsi="Arial"/>
                <w:sz w:val="18"/>
                <w:szCs w:val="18"/>
                <w:color w:val="0000EE"/>
              </w:rPr>
              <w:t>Description of Debt Securities and Cable Guarantees</w:t>
            </w:r>
          </w:p>
        </w:tc>
        <w:tc>
          <w:tcPr>
            <w:tcW w:w="5340" w:type="dxa"/>
            <w:vAlign w:val="bottom"/>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3740" w:type="dxa"/>
            <w:vAlign w:val="bottom"/>
            <w:tcBorders>
              <w:top w:val="single" w:sz="8" w:color="0000EE"/>
            </w:tcBorders>
            <w:gridSpan w:val="16"/>
          </w:tcPr>
          <w:p>
            <w:pPr>
              <w:spacing w:after="0" w:line="192" w:lineRule="exact"/>
              <w:rPr>
                <w:sz w:val="20"/>
                <w:szCs w:val="20"/>
                <w:color w:val="auto"/>
              </w:rPr>
            </w:pPr>
            <w:r>
              <w:rPr>
                <w:rFonts w:ascii="Arial" w:cs="Arial" w:eastAsia="Arial" w:hAnsi="Arial"/>
                <w:sz w:val="18"/>
                <w:szCs w:val="18"/>
                <w:color w:val="0000EE"/>
              </w:rPr>
              <w:t>Global Securities</w:t>
            </w:r>
          </w:p>
        </w:tc>
        <w:tc>
          <w:tcPr>
            <w:tcW w:w="6640" w:type="dxa"/>
            <w:vAlign w:val="bottom"/>
            <w:gridSpan w:val="2"/>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380" w:type="dxa"/>
            <w:vAlign w:val="bottom"/>
            <w:gridSpan w:val="18"/>
          </w:tcPr>
          <w:p>
            <w:pPr>
              <w:spacing w:after="0" w:line="192" w:lineRule="exact"/>
              <w:rPr>
                <w:sz w:val="20"/>
                <w:szCs w:val="20"/>
                <w:color w:val="auto"/>
              </w:rPr>
            </w:pPr>
            <w:r>
              <w:rPr>
                <w:rFonts w:ascii="Arial" w:cs="Arial" w:eastAsia="Arial" w:hAnsi="Arial"/>
                <w:sz w:val="18"/>
                <w:szCs w:val="18"/>
                <w:color w:val="0000EE"/>
              </w:rPr>
              <w:t>Description of Capital Stock</w:t>
            </w: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2"/>
        </w:trPr>
        <w:tc>
          <w:tcPr>
            <w:tcW w:w="1420" w:type="dxa"/>
            <w:vAlign w:val="bottom"/>
            <w:tcBorders>
              <w:top w:val="single" w:sz="8" w:color="0000EE"/>
              <w:bottom w:val="single" w:sz="8" w:color="0000EE"/>
            </w:tcBorders>
            <w:gridSpan w:val="7"/>
          </w:tcPr>
          <w:p>
            <w:pPr>
              <w:spacing w:after="0" w:line="192" w:lineRule="exact"/>
              <w:rPr>
                <w:sz w:val="20"/>
                <w:szCs w:val="20"/>
                <w:color w:val="auto"/>
              </w:rPr>
            </w:pPr>
            <w:r>
              <w:rPr>
                <w:rFonts w:ascii="Arial" w:cs="Arial" w:eastAsia="Arial" w:hAnsi="Arial"/>
                <w:sz w:val="18"/>
                <w:szCs w:val="18"/>
                <w:color w:val="0000EE"/>
                <w:w w:val="92"/>
              </w:rPr>
              <w:t>Plan of Distribution</w:t>
            </w:r>
          </w:p>
        </w:tc>
        <w:tc>
          <w:tcPr>
            <w:tcW w:w="600" w:type="dxa"/>
            <w:vAlign w:val="bottom"/>
            <w:tcBorders>
              <w:top w:val="single" w:sz="8" w:color="0000EE"/>
            </w:tcBorders>
            <w:gridSpan w:val="3"/>
          </w:tcPr>
          <w:p>
            <w:pPr>
              <w:spacing w:after="0"/>
              <w:rPr>
                <w:sz w:val="16"/>
                <w:szCs w:val="16"/>
                <w:color w:val="auto"/>
              </w:rPr>
            </w:pPr>
          </w:p>
        </w:tc>
        <w:tc>
          <w:tcPr>
            <w:tcW w:w="8360" w:type="dxa"/>
            <w:vAlign w:val="bottom"/>
            <w:gridSpan w:val="8"/>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0000EE"/>
            </w:tcBorders>
            <w:gridSpan w:val="3"/>
          </w:tcPr>
          <w:p>
            <w:pPr>
              <w:spacing w:after="0" w:line="192" w:lineRule="exact"/>
              <w:rPr>
                <w:sz w:val="20"/>
                <w:szCs w:val="20"/>
                <w:color w:val="auto"/>
              </w:rPr>
            </w:pPr>
            <w:r>
              <w:rPr>
                <w:rFonts w:ascii="Arial" w:cs="Arial" w:eastAsia="Arial" w:hAnsi="Arial"/>
                <w:sz w:val="18"/>
                <w:szCs w:val="18"/>
                <w:color w:val="0000EE"/>
                <w:w w:val="89"/>
              </w:rPr>
              <w:t>Legal Matters</w:t>
            </w:r>
          </w:p>
        </w:tc>
        <w:tc>
          <w:tcPr>
            <w:tcW w:w="9380" w:type="dxa"/>
            <w:vAlign w:val="bottom"/>
            <w:gridSpan w:val="15"/>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2"/>
        </w:trPr>
        <w:tc>
          <w:tcPr>
            <w:tcW w:w="10380" w:type="dxa"/>
            <w:vAlign w:val="bottom"/>
            <w:gridSpan w:val="18"/>
          </w:tcPr>
          <w:p>
            <w:pPr>
              <w:spacing w:after="0" w:line="192" w:lineRule="exact"/>
              <w:rPr>
                <w:sz w:val="20"/>
                <w:szCs w:val="20"/>
                <w:color w:val="auto"/>
              </w:rPr>
            </w:pPr>
            <w:r>
              <w:rPr>
                <w:rFonts w:ascii="Arial" w:cs="Arial" w:eastAsia="Arial" w:hAnsi="Arial"/>
                <w:sz w:val="18"/>
                <w:szCs w:val="18"/>
                <w:color w:val="0000EE"/>
              </w:rPr>
              <w:t>Experts</w:t>
            </w: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380" w:type="dxa"/>
            <w:vAlign w:val="bottom"/>
            <w:gridSpan w:val="18"/>
          </w:tcPr>
          <w:p>
            <w:pPr>
              <w:spacing w:after="0" w:line="192" w:lineRule="exact"/>
              <w:rPr>
                <w:sz w:val="20"/>
                <w:szCs w:val="20"/>
                <w:color w:val="auto"/>
              </w:rPr>
            </w:pPr>
            <w:r>
              <w:rPr>
                <w:rFonts w:ascii="Arial" w:cs="Arial" w:eastAsia="Arial" w:hAnsi="Arial"/>
                <w:sz w:val="18"/>
                <w:szCs w:val="18"/>
                <w:color w:val="0000EE"/>
              </w:rPr>
              <w:t>Available Information</w:t>
            </w: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380" w:type="dxa"/>
            <w:vAlign w:val="bottom"/>
            <w:gridSpan w:val="18"/>
          </w:tcPr>
          <w:p>
            <w:pPr>
              <w:spacing w:after="0" w:line="192" w:lineRule="exact"/>
              <w:rPr>
                <w:sz w:val="20"/>
                <w:szCs w:val="20"/>
                <w:color w:val="auto"/>
              </w:rPr>
            </w:pPr>
            <w:r>
              <w:rPr>
                <w:rFonts w:ascii="Arial" w:cs="Arial" w:eastAsia="Arial" w:hAnsi="Arial"/>
                <w:sz w:val="18"/>
                <w:szCs w:val="18"/>
                <w:color w:val="0000EE"/>
              </w:rPr>
              <w:t>Incorporation of Certain Documents by Reference</w:t>
            </w: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right="140" w:firstLine="258"/>
        <w:spacing w:after="0" w:line="26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the free writing prospectus relating to the notes.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799"/>
        <w:spacing w:after="0"/>
        <w:rPr>
          <w:sz w:val="20"/>
          <w:szCs w:val="20"/>
          <w:color w:val="auto"/>
        </w:rPr>
      </w:pPr>
      <w:r>
        <w:rPr>
          <w:rFonts w:ascii="Arial" w:cs="Arial" w:eastAsia="Arial" w:hAnsi="Arial"/>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338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3930" cy="533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PROSPECTUS SUPPLEMENT SUMMARY</w:t>
      </w:r>
    </w:p>
    <w:p>
      <w:pPr>
        <w:spacing w:after="0" w:line="11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Companies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180" w:firstLine="261"/>
        <w:spacing w:after="0" w:line="251"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serving approximately 21.5 million video subscribers, 9.0 million high-speed Internet subscribers and 1.5 million phone subscribers at March 31, 2006. We were incorporated under the laws of Pennsylvania in December 2001. Through our predecessors (including our immediate predecessor Comcast Holdings), we have developed, managed and operated broadband cable systems since 1963.</w:t>
      </w:r>
    </w:p>
    <w:p>
      <w:pPr>
        <w:spacing w:after="0" w:line="87" w:lineRule="exact"/>
        <w:rPr>
          <w:sz w:val="20"/>
          <w:szCs w:val="20"/>
          <w:color w:val="auto"/>
        </w:rPr>
      </w:pPr>
    </w:p>
    <w:p>
      <w:pPr>
        <w:ind w:left="180" w:right="140" w:firstLine="261"/>
        <w:spacing w:after="0" w:line="264"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Cable segment develops, manages and operates our broadband cable systems, including video, high-speed Internet and phone services.</w:t>
      </w:r>
    </w:p>
    <w:p>
      <w:pPr>
        <w:spacing w:after="0" w:line="122" w:lineRule="exact"/>
        <w:rPr>
          <w:sz w:val="20"/>
          <w:szCs w:val="20"/>
          <w:color w:val="auto"/>
        </w:rPr>
      </w:pPr>
    </w:p>
    <w:p>
      <w:pPr>
        <w:ind w:left="180" w:right="640" w:firstLine="264"/>
        <w:spacing w:after="0" w:line="264"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 (formerly known as the International Channel).</w:t>
      </w:r>
    </w:p>
    <w:p>
      <w:pPr>
        <w:spacing w:after="0" w:line="74" w:lineRule="exact"/>
        <w:rPr>
          <w:sz w:val="20"/>
          <w:szCs w:val="20"/>
          <w:color w:val="auto"/>
        </w:rPr>
      </w:pPr>
    </w:p>
    <w:p>
      <w:pPr>
        <w:ind w:left="180" w:right="260" w:firstLine="264"/>
        <w:spacing w:after="0" w:line="264"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74" w:lineRule="exact"/>
        <w:rPr>
          <w:sz w:val="20"/>
          <w:szCs w:val="20"/>
          <w:color w:val="auto"/>
        </w:rPr>
      </w:pPr>
    </w:p>
    <w:p>
      <w:pPr>
        <w:ind w:left="180" w:right="80" w:firstLine="264"/>
        <w:spacing w:after="0" w:line="25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84" w:lineRule="exact"/>
        <w:rPr>
          <w:sz w:val="20"/>
          <w:szCs w:val="20"/>
          <w:color w:val="auto"/>
        </w:rPr>
      </w:pPr>
    </w:p>
    <w:p>
      <w:pPr>
        <w:ind w:left="180" w:right="440" w:firstLine="264"/>
        <w:spacing w:after="0" w:line="364" w:lineRule="auto"/>
        <w:rPr>
          <w:sz w:val="20"/>
          <w:szCs w:val="20"/>
          <w:color w:val="auto"/>
        </w:rPr>
      </w:pPr>
      <w:r>
        <w:rPr>
          <w:rFonts w:ascii="Arial" w:cs="Arial" w:eastAsia="Arial" w:hAnsi="Arial"/>
          <w:sz w:val="15"/>
          <w:szCs w:val="15"/>
          <w:color w:val="auto"/>
        </w:rPr>
        <w:t>Our principal executive office is located at 1500 Market Street, Philadelphia, Pennsylvania 19102-2148. Our telephone number is (215) 665-1700. The address of our web site is www.comcast.com. The information on our web site is not part of this prospectus supplement or the accompanying prospectus.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Guarantors</w:t>
      </w:r>
    </w:p>
    <w:p>
      <w:pPr>
        <w:spacing w:after="0" w:line="117" w:lineRule="exact"/>
        <w:rPr>
          <w:sz w:val="20"/>
          <w:szCs w:val="20"/>
          <w:color w:val="auto"/>
        </w:rPr>
      </w:pPr>
    </w:p>
    <w:p>
      <w:pPr>
        <w:ind w:left="180" w:right="20" w:firstLine="264"/>
        <w:spacing w:after="0" w:line="329" w:lineRule="auto"/>
        <w:rPr>
          <w:sz w:val="20"/>
          <w:szCs w:val="20"/>
          <w:color w:val="auto"/>
        </w:rPr>
      </w:pPr>
      <w:r>
        <w:rPr>
          <w:rFonts w:ascii="Arial" w:cs="Arial" w:eastAsia="Arial" w:hAnsi="Arial"/>
          <w:sz w:val="15"/>
          <w:szCs w:val="15"/>
          <w:color w:val="auto"/>
        </w:rPr>
        <w:t>Our obligations, including the payment of principal, premium, if any, and interest on the notes will be fully and unconditionally guaranteed by each of Comcast Cable Communications, LLC, Comcast Cable Communications Holdings, Inc., Comcast Cable Holdings, LLC, Comcast MO Group, Inc. and Comcast MO of Delaware, LLC. In this prospectus supplement, we refer to these guarantors as the cable guarantors and to these guarantees as the cable guarantees.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640" w:right="500" w:hanging="118"/>
        <w:spacing w:after="0" w:line="264"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640" w:hanging="118"/>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704"/>
        </w:trPr>
        <w:tc>
          <w:tcPr>
            <w:tcW w:w="282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tcBorders>
            <w:gridSpan w:val="2"/>
          </w:tcPr>
          <w:p>
            <w:pPr>
              <w:ind w:left="2580"/>
              <w:spacing w:after="0"/>
              <w:rPr>
                <w:sz w:val="20"/>
                <w:szCs w:val="20"/>
                <w:color w:val="auto"/>
              </w:rPr>
            </w:pPr>
            <w:r>
              <w:rPr>
                <w:rFonts w:ascii="Arial" w:cs="Arial" w:eastAsia="Arial" w:hAnsi="Arial"/>
                <w:sz w:val="18"/>
                <w:szCs w:val="18"/>
                <w:b w:val="1"/>
                <w:bCs w:val="1"/>
                <w:color w:val="auto"/>
              </w:rPr>
              <w:t>The Offering</w:t>
            </w:r>
          </w:p>
        </w:tc>
      </w:tr>
      <w:tr>
        <w:trPr>
          <w:trHeight w:val="437"/>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Comcast Corporation.</w:t>
            </w:r>
          </w:p>
        </w:tc>
      </w:tr>
      <w:tr>
        <w:trPr>
          <w:trHeight w:val="423"/>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$1,250,000,000 aggregate principal amount of Floating Rate Notes due 2009.</w:t>
            </w:r>
          </w:p>
        </w:tc>
      </w:tr>
      <w:tr>
        <w:trPr>
          <w:trHeight w:val="423"/>
        </w:trPr>
        <w:tc>
          <w:tcPr>
            <w:tcW w:w="2820" w:type="dxa"/>
            <w:vAlign w:val="bottom"/>
            <w:tcBorders>
              <w:left w:val="single" w:sz="8" w:color="auto"/>
            </w:tcBorders>
          </w:tcPr>
          <w:p>
            <w:pPr>
              <w:spacing w:after="0"/>
              <w:rPr>
                <w:sz w:val="24"/>
                <w:szCs w:val="24"/>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$1,000,000,000 aggregate principal amount of 6.50% Notes due 2017.</w:t>
            </w:r>
          </w:p>
        </w:tc>
      </w:tr>
      <w:tr>
        <w:trPr>
          <w:trHeight w:val="423"/>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The notes due 2009 will mature on July 14, 2009.</w:t>
            </w:r>
          </w:p>
        </w:tc>
      </w:tr>
      <w:tr>
        <w:trPr>
          <w:trHeight w:val="423"/>
        </w:trPr>
        <w:tc>
          <w:tcPr>
            <w:tcW w:w="2820" w:type="dxa"/>
            <w:vAlign w:val="bottom"/>
            <w:tcBorders>
              <w:left w:val="single" w:sz="8" w:color="auto"/>
            </w:tcBorders>
          </w:tcPr>
          <w:p>
            <w:pPr>
              <w:spacing w:after="0"/>
              <w:rPr>
                <w:sz w:val="24"/>
                <w:szCs w:val="24"/>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The notes due 2017 will mature on January 15, 2017.</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Interest on the notes will accrue at a floating rate equal to three month USD LIBOR plus 0.30%, payable</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quarterly in cash in arrears on each July 14, October 14, January 14 and April 14, beginning on October 16,</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2006 (the first business day following the October 14, 2006 interest payment date).</w:t>
            </w:r>
          </w:p>
        </w:tc>
      </w:tr>
      <w:tr>
        <w:trPr>
          <w:trHeight w:val="412"/>
        </w:trPr>
        <w:tc>
          <w:tcPr>
            <w:tcW w:w="2820" w:type="dxa"/>
            <w:vAlign w:val="bottom"/>
            <w:tcBorders>
              <w:left w:val="single" w:sz="8" w:color="auto"/>
            </w:tcBorders>
          </w:tcPr>
          <w:p>
            <w:pPr>
              <w:spacing w:after="0"/>
              <w:rPr>
                <w:sz w:val="24"/>
                <w:szCs w:val="24"/>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Interest on the notes due 2017 will accrue at the rate of 6.50% per year, payable semi-annually in cash in</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arrears on July 15 and January 15, beginning on January 15, 2007.</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The notes will be unsecured and will rank equally with all of our unsecured and unsubordinated</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indebtedness.</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Cable Guarantors</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Comcast Cable Communications, LLC, Comcast Cable Communications Holdings, Inc., Comcast Cable</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Holdings, LLC, Comcast MO Group, Inc. and Comcast MO of Delaware, LLC.</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Cable Guarantees</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The cable guarantors will fully and unconditionally guarantee the notes, including the payment of principal</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premium, if any, and interest. The cable guarantees will rank equally with all other general unsecured and</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unsubordinated obligations of the cable guarantors.</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We may redeem the notes due 2009, in whole or in part, at any time after July 14, 2007 at a redemption</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9"/>
              </w:rPr>
              <w:t>price equal to 100% of the principal amount redeemed plus accrued and unpaid interest to the redemption</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date.</w:t>
            </w:r>
          </w:p>
        </w:tc>
      </w:tr>
      <w:tr>
        <w:trPr>
          <w:trHeight w:val="423"/>
        </w:trPr>
        <w:tc>
          <w:tcPr>
            <w:tcW w:w="2820" w:type="dxa"/>
            <w:vAlign w:val="bottom"/>
            <w:tcBorders>
              <w:left w:val="single" w:sz="8" w:color="auto"/>
            </w:tcBorders>
          </w:tcPr>
          <w:p>
            <w:pPr>
              <w:spacing w:after="0"/>
              <w:rPr>
                <w:sz w:val="24"/>
                <w:szCs w:val="24"/>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We may redeem all or part of the notes due 2017 at our option at a redemption price equal to the greater of:</w:t>
            </w:r>
          </w:p>
        </w:tc>
      </w:tr>
      <w:tr>
        <w:trPr>
          <w:trHeight w:val="423"/>
        </w:trPr>
        <w:tc>
          <w:tcPr>
            <w:tcW w:w="2820" w:type="dxa"/>
            <w:vAlign w:val="bottom"/>
            <w:tcBorders>
              <w:left w:val="single" w:sz="8" w:color="auto"/>
            </w:tcBorders>
          </w:tcPr>
          <w:p>
            <w:pPr>
              <w:spacing w:after="0"/>
              <w:rPr>
                <w:sz w:val="24"/>
                <w:szCs w:val="24"/>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 100% of the principal amount of the notes being redeemed; and</w:t>
            </w:r>
          </w:p>
        </w:tc>
      </w:tr>
      <w:tr>
        <w:trPr>
          <w:trHeight w:val="412"/>
        </w:trPr>
        <w:tc>
          <w:tcPr>
            <w:tcW w:w="2820" w:type="dxa"/>
            <w:vAlign w:val="bottom"/>
            <w:tcBorders>
              <w:left w:val="single" w:sz="8" w:color="auto"/>
            </w:tcBorders>
          </w:tcPr>
          <w:p>
            <w:pPr>
              <w:spacing w:after="0"/>
              <w:rPr>
                <w:sz w:val="24"/>
                <w:szCs w:val="24"/>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 the Make-Whole Amount, as defined in “Description of the Notes — Optional Redemption — Notes Due</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2017” in this prospectus supplement for the notes being redeemed; plus accrued interest to the redemption</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date.</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We intend to use the proceeds from this offering, after deducting fees and expenses related to this offering,</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4"/>
              </w:rPr>
              <w:t>for working capital and general corporate purposes, including for the repayment of commercial paper</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obligations. As of March 31, 2006, our indebtedness, excluding the derivative component for our indexed</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debt instruments whose changes in fair value are recorded to investment income (loss), net, had a weighted</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average annual interest rate of 7.33% and an average maturity date in 2018.</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 Entry</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The notes will be issued in book-entry form and will be represented by global notes deposited with, or on</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behalf of, DTC and registered in the name of DTC or its nominees. Beneficial interests in any of the notes</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will be shown on, and transfers will be effected only through, records maintained by DTC or its nominee,</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and these beneficial interests may not be exchanged for certificated notes, except in limited circumstances.</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See “Description of the Notes — Book- Entry System” in this prospectus supplement.</w:t>
            </w:r>
          </w:p>
        </w:tc>
      </w:tr>
      <w:tr>
        <w:trPr>
          <w:trHeight w:val="156"/>
        </w:trPr>
        <w:tc>
          <w:tcPr>
            <w:tcW w:w="2820" w:type="dxa"/>
            <w:vAlign w:val="bottom"/>
            <w:tcBorders>
              <w:left w:val="single" w:sz="8" w:color="auto"/>
              <w:bottom w:val="single" w:sz="8" w:color="auto"/>
            </w:tcBorders>
          </w:tcPr>
          <w:p>
            <w:pPr>
              <w:spacing w:after="0"/>
              <w:rPr>
                <w:sz w:val="13"/>
                <w:szCs w:val="13"/>
                <w:color w:val="auto"/>
              </w:rPr>
            </w:pPr>
          </w:p>
        </w:tc>
        <w:tc>
          <w:tcPr>
            <w:tcW w:w="8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393"/>
        </w:trPr>
        <w:tc>
          <w:tcPr>
            <w:tcW w:w="2820" w:type="dxa"/>
            <w:vAlign w:val="bottom"/>
          </w:tcPr>
          <w:p>
            <w:pPr>
              <w:spacing w:after="0"/>
              <w:rPr>
                <w:sz w:val="24"/>
                <w:szCs w:val="24"/>
                <w:color w:val="auto"/>
              </w:rPr>
            </w:pPr>
          </w:p>
        </w:tc>
        <w:tc>
          <w:tcPr>
            <w:tcW w:w="8700" w:type="dxa"/>
            <w:vAlign w:val="bottom"/>
            <w:gridSpan w:val="2"/>
          </w:tcPr>
          <w:p>
            <w:pPr>
              <w:ind w:left="2780"/>
              <w:spacing w:after="0"/>
              <w:rPr>
                <w:sz w:val="20"/>
                <w:szCs w:val="20"/>
                <w:color w:val="auto"/>
              </w:rPr>
            </w:pPr>
            <w:r>
              <w:rPr>
                <w:rFonts w:ascii="Arial" w:cs="Arial" w:eastAsia="Arial" w:hAnsi="Arial"/>
                <w:sz w:val="18"/>
                <w:szCs w:val="18"/>
                <w:color w:val="auto"/>
              </w:rPr>
              <w:t>S-2</w:t>
            </w:r>
          </w:p>
        </w:tc>
      </w:tr>
      <w:tr>
        <w:trPr>
          <w:trHeight w:val="222"/>
        </w:trPr>
        <w:tc>
          <w:tcPr>
            <w:tcW w:w="2820" w:type="dxa"/>
            <w:vAlign w:val="bottom"/>
            <w:tcBorders>
              <w:bottom w:val="single" w:sz="8" w:color="808080"/>
            </w:tcBorders>
          </w:tcPr>
          <w:p>
            <w:pPr>
              <w:spacing w:after="0"/>
              <w:rPr>
                <w:sz w:val="19"/>
                <w:szCs w:val="19"/>
                <w:color w:val="auto"/>
              </w:rPr>
            </w:pPr>
          </w:p>
        </w:tc>
        <w:tc>
          <w:tcPr>
            <w:tcW w:w="860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-7511415</wp:posOffset>
            </wp:positionV>
            <wp:extent cx="7202170" cy="134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170" cy="13462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ind w:right="80" w:firstLine="261"/>
        <w:spacing w:after="0" w:line="251" w:lineRule="auto"/>
        <w:rPr>
          <w:sz w:val="20"/>
          <w:szCs w:val="20"/>
          <w:color w:val="auto"/>
        </w:rPr>
      </w:pPr>
      <w:r>
        <w:rPr>
          <w:rFonts w:ascii="Arial" w:cs="Arial" w:eastAsia="Arial" w:hAnsi="Arial"/>
          <w:sz w:val="18"/>
          <w:szCs w:val="18"/>
          <w:color w:val="auto"/>
        </w:rPr>
        <w:t>We intend to use the proceeds from this offering, after deducting fees and expenses related to this offering, for working capital and general corporate purposes, including for the repayment of commercial paper obligations. As of March 31, 2006, our indebtedness, excluding the derivative component for our indexed debt instruments whose changes in fair value are recorded to investment income (loss), net, had a weighted average annual interest rate of 7.33% and an average maturity date in 2018.</w:t>
      </w:r>
    </w:p>
    <w:p>
      <w:pPr>
        <w:spacing w:after="0" w:line="292" w:lineRule="exact"/>
        <w:rPr>
          <w:sz w:val="20"/>
          <w:szCs w:val="20"/>
          <w:color w:val="auto"/>
        </w:rPr>
      </w:pPr>
    </w:p>
    <w:p>
      <w:pPr>
        <w:ind w:left="280" w:right="3880" w:firstLine="3627"/>
        <w:spacing w:after="0" w:line="395" w:lineRule="auto"/>
        <w:rPr>
          <w:sz w:val="20"/>
          <w:szCs w:val="20"/>
          <w:color w:val="auto"/>
        </w:rPr>
      </w:pPr>
      <w:r>
        <w:rPr>
          <w:rFonts w:ascii="Arial" w:cs="Arial" w:eastAsia="Arial" w:hAnsi="Arial"/>
          <w:sz w:val="17"/>
          <w:szCs w:val="17"/>
          <w:b w:val="1"/>
          <w:bCs w:val="1"/>
          <w:color w:val="auto"/>
        </w:rPr>
        <w:t xml:space="preserve">RATIO OF EARNINGS TO FIXED CHARGES </w:t>
      </w:r>
      <w:r>
        <w:rPr>
          <w:rFonts w:ascii="Arial" w:cs="Arial" w:eastAsia="Arial" w:hAnsi="Arial"/>
          <w:sz w:val="17"/>
          <w:szCs w:val="17"/>
          <w:color w:val="auto"/>
        </w:rPr>
        <w:t>Our ratio of earnings to fixed charges was as follows for the respective periods indicated:</w:t>
      </w:r>
    </w:p>
    <w:tbl>
      <w:tblPr>
        <w:tblLayout w:type="fixed"/>
        <w:tblInd w:w="0" w:type="dxa"/>
        <w:tblCellMar>
          <w:top w:w="0" w:type="dxa"/>
          <w:left w:w="0" w:type="dxa"/>
          <w:bottom w:w="0" w:type="dxa"/>
          <w:right w:w="0" w:type="dxa"/>
        </w:tblCellMar>
      </w:tblPr>
      <w:tr>
        <w:trPr>
          <w:trHeight w:val="146"/>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4"/>
              </w:rPr>
              <w:t>Three</w:t>
            </w: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8"/>
        </w:trPr>
        <w:tc>
          <w:tcPr>
            <w:tcW w:w="1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2"/>
        </w:trPr>
        <w:tc>
          <w:tcPr>
            <w:tcW w:w="1960" w:type="dxa"/>
            <w:vAlign w:val="bottom"/>
          </w:tcPr>
          <w:p>
            <w:pPr>
              <w:jc w:val="right"/>
              <w:ind w:right="761"/>
              <w:spacing w:after="0" w:line="152" w:lineRule="exact"/>
              <w:rPr>
                <w:sz w:val="20"/>
                <w:szCs w:val="20"/>
                <w:color w:val="auto"/>
              </w:rPr>
            </w:pPr>
            <w:r>
              <w:rPr>
                <w:rFonts w:ascii="Arial" w:cs="Arial" w:eastAsia="Arial" w:hAnsi="Arial"/>
                <w:sz w:val="14"/>
                <w:szCs w:val="14"/>
                <w:b w:val="1"/>
                <w:bCs w:val="1"/>
                <w:color w:val="auto"/>
              </w:rPr>
              <w:t>2001</w:t>
            </w:r>
          </w:p>
        </w:tc>
        <w:tc>
          <w:tcPr>
            <w:tcW w:w="1460" w:type="dxa"/>
            <w:vAlign w:val="bottom"/>
            <w:gridSpan w:val="2"/>
          </w:tcPr>
          <w:p>
            <w:pPr>
              <w:jc w:val="right"/>
              <w:ind w:right="212"/>
              <w:spacing w:after="0" w:line="152" w:lineRule="exact"/>
              <w:rPr>
                <w:sz w:val="20"/>
                <w:szCs w:val="20"/>
                <w:color w:val="auto"/>
              </w:rPr>
            </w:pPr>
            <w:r>
              <w:rPr>
                <w:rFonts w:ascii="Arial" w:cs="Arial" w:eastAsia="Arial" w:hAnsi="Arial"/>
                <w:sz w:val="14"/>
                <w:szCs w:val="14"/>
                <w:b w:val="1"/>
                <w:bCs w:val="1"/>
                <w:color w:val="auto"/>
              </w:rPr>
              <w:t>2002</w:t>
            </w:r>
          </w:p>
        </w:tc>
        <w:tc>
          <w:tcPr>
            <w:tcW w:w="1960" w:type="dxa"/>
            <w:vAlign w:val="bottom"/>
            <w:gridSpan w:val="3"/>
          </w:tcPr>
          <w:p>
            <w:pPr>
              <w:jc w:val="right"/>
              <w:ind w:right="452"/>
              <w:spacing w:after="0" w:line="152" w:lineRule="exact"/>
              <w:rPr>
                <w:sz w:val="20"/>
                <w:szCs w:val="20"/>
                <w:color w:val="auto"/>
              </w:rPr>
            </w:pPr>
            <w:r>
              <w:rPr>
                <w:rFonts w:ascii="Arial" w:cs="Arial" w:eastAsia="Arial" w:hAnsi="Arial"/>
                <w:sz w:val="14"/>
                <w:szCs w:val="14"/>
                <w:b w:val="1"/>
                <w:bCs w:val="1"/>
                <w:color w:val="auto"/>
              </w:rPr>
              <w:t>2003</w:t>
            </w:r>
          </w:p>
        </w:tc>
        <w:tc>
          <w:tcPr>
            <w:tcW w:w="1720" w:type="dxa"/>
            <w:vAlign w:val="bottom"/>
            <w:gridSpan w:val="2"/>
          </w:tcPr>
          <w:p>
            <w:pPr>
              <w:jc w:val="right"/>
              <w:ind w:right="452"/>
              <w:spacing w:after="0" w:line="152" w:lineRule="exact"/>
              <w:rPr>
                <w:sz w:val="20"/>
                <w:szCs w:val="20"/>
                <w:color w:val="auto"/>
              </w:rPr>
            </w:pPr>
            <w:r>
              <w:rPr>
                <w:rFonts w:ascii="Arial" w:cs="Arial" w:eastAsia="Arial" w:hAnsi="Arial"/>
                <w:sz w:val="14"/>
                <w:szCs w:val="14"/>
                <w:b w:val="1"/>
                <w:bCs w:val="1"/>
                <w:color w:val="auto"/>
              </w:rPr>
              <w:t>2004</w:t>
            </w:r>
          </w:p>
        </w:tc>
        <w:tc>
          <w:tcPr>
            <w:tcW w:w="1720" w:type="dxa"/>
            <w:vAlign w:val="bottom"/>
            <w:gridSpan w:val="2"/>
          </w:tcPr>
          <w:p>
            <w:pPr>
              <w:jc w:val="right"/>
              <w:ind w:right="452"/>
              <w:spacing w:after="0" w:line="15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3"/>
                <w:szCs w:val="13"/>
                <w:color w:val="auto"/>
              </w:rPr>
            </w:pPr>
          </w:p>
        </w:tc>
        <w:tc>
          <w:tcPr>
            <w:tcW w:w="2280" w:type="dxa"/>
            <w:vAlign w:val="bottom"/>
          </w:tcPr>
          <w:p>
            <w:pPr>
              <w:jc w:val="right"/>
              <w:ind w:right="927"/>
              <w:spacing w:after="0" w:line="15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7"/>
        </w:trPr>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1.33x</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center"/>
              <w:ind w:left="172"/>
              <w:spacing w:after="0"/>
              <w:rPr>
                <w:sz w:val="20"/>
                <w:szCs w:val="20"/>
                <w:color w:val="auto"/>
              </w:rPr>
            </w:pPr>
            <w:r>
              <w:rPr>
                <w:rFonts w:ascii="Arial" w:cs="Arial" w:eastAsia="Arial" w:hAnsi="Arial"/>
                <w:sz w:val="18"/>
                <w:szCs w:val="18"/>
                <w:color w:val="auto"/>
                <w:w w:val="94"/>
              </w:rPr>
              <w:t>—(1)</w:t>
            </w:r>
          </w:p>
        </w:tc>
        <w:tc>
          <w:tcPr>
            <w:tcW w:w="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6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1.97x</w:t>
            </w:r>
          </w:p>
        </w:tc>
        <w:tc>
          <w:tcPr>
            <w:tcW w:w="36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2.01x</w:t>
            </w:r>
          </w:p>
        </w:tc>
        <w:tc>
          <w:tcPr>
            <w:tcW w:w="32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2.40x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1301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67" w:lineRule="exact"/>
        <w:rPr>
          <w:sz w:val="20"/>
          <w:szCs w:val="20"/>
          <w:color w:val="auto"/>
        </w:rPr>
      </w:pPr>
    </w:p>
    <w:p>
      <w:pPr>
        <w:ind w:left="460" w:hanging="454"/>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the years ended December 31, 2003 and 2002, we had a $76 million and $490 million deficiency, respectively, of earnings to fixed charges.</w:t>
      </w:r>
    </w:p>
    <w:p>
      <w:pPr>
        <w:spacing w:after="0" w:line="122" w:lineRule="exact"/>
        <w:rPr>
          <w:sz w:val="20"/>
          <w:szCs w:val="20"/>
          <w:color w:val="auto"/>
        </w:rPr>
      </w:pPr>
    </w:p>
    <w:p>
      <w:pPr>
        <w:ind w:right="240" w:firstLine="264"/>
        <w:spacing w:after="0" w:line="297"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3" w:lineRule="exact"/>
        <w:rPr>
          <w:sz w:val="20"/>
          <w:szCs w:val="20"/>
          <w:color w:val="auto"/>
        </w:rPr>
      </w:pPr>
    </w:p>
    <w:p>
      <w:pPr>
        <w:ind w:firstLine="6"/>
        <w:spacing w:after="0" w:line="248"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are offering $1,250,000,000 aggregate principal amount of our Floating Rate Notes due 2009 and $1,000,000,000 aggregate principal amount of our</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6.50% notes due 2017. The notes due 2009 and notes due 2017 will each be a separate series of securities issued under an indenture, dated as of January 7, 2003</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and amended as of March 25, 2003, among us, the cable guarantors and The Bank of New York, as trustee. The notes will be our direct unsecured and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unsubordinated obligations and will be fully and unconditionally guaranteed by Comcast Cable, Comcast Cable Communications Holdings, Comcast Cable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Holdings, Comcast MO Group and Comcast MO of Delaware, referred to as the cable guarantors, as described below. The terms of the notes include those stated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in the indenture and those made part of the indenture by reference to the Trust Indenture Act of 1939, as amended. The indenture provides that we will have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ability to issue securities with terms different from those of the notes. We also have the ability to “reopen” a series of these notes and issue additional notes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such series. Additional notes of such series will be consolidated with and form a single series with the notes then outstanding of such series. Copies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indenture and the form of notes are available from us upon request.</w:t>
      </w:r>
    </w:p>
    <w:p>
      <w:pPr>
        <w:spacing w:after="0" w:line="99" w:lineRule="exact"/>
        <w:rPr>
          <w:sz w:val="20"/>
          <w:szCs w:val="20"/>
          <w:color w:val="auto"/>
        </w:rPr>
      </w:pPr>
    </w:p>
    <w:p>
      <w:pPr>
        <w:ind w:right="220" w:firstLine="261"/>
        <w:spacing w:after="0" w:line="25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notes:</w:t>
      </w:r>
    </w:p>
    <w:p>
      <w:pPr>
        <w:spacing w:after="0" w:line="111" w:lineRule="exact"/>
        <w:rPr>
          <w:sz w:val="20"/>
          <w:szCs w:val="20"/>
          <w:color w:val="auto"/>
        </w:rPr>
      </w:pPr>
    </w:p>
    <w:p>
      <w:pPr>
        <w:ind w:left="460" w:hanging="110"/>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will rank equally with all of our other unsecured and unsubordinated debt and will be entitled to the benefits of the cable guarantees described below;</w:t>
      </w:r>
    </w:p>
    <w:p>
      <w:pPr>
        <w:spacing w:after="0" w:line="158" w:lineRule="exact"/>
        <w:rPr>
          <w:rFonts w:ascii="Arial" w:cs="Arial" w:eastAsia="Arial" w:hAnsi="Arial"/>
          <w:sz w:val="15"/>
          <w:szCs w:val="15"/>
          <w:color w:val="auto"/>
        </w:rPr>
      </w:pPr>
    </w:p>
    <w:p>
      <w:pPr>
        <w:ind w:left="460" w:hanging="11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$2,250,000,000, comprised as follows:</w:t>
      </w:r>
    </w:p>
    <w:p>
      <w:pPr>
        <w:spacing w:after="0" w:line="110" w:lineRule="exact"/>
        <w:rPr>
          <w:rFonts w:ascii="Arial" w:cs="Arial" w:eastAsia="Arial" w:hAnsi="Arial"/>
          <w:sz w:val="18"/>
          <w:szCs w:val="18"/>
          <w:color w:val="auto"/>
        </w:rPr>
      </w:pPr>
    </w:p>
    <w:p>
      <w:pPr>
        <w:ind w:left="820" w:hanging="126"/>
        <w:spacing w:after="0" w:line="254"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$1,250,000,000 initial aggregate principal amount of Floating Rate Notes due 2009 maturing on July 14, 2009, with interest payable quarterly on each July 14, October 14, January 14 and April 14, beginning October 16, 2006 (the first business day following the October 14, 2006 interest payment date), to holders of record on the preceding June 30, September 30, December 31 and March 31;</w:t>
      </w:r>
    </w:p>
    <w:p>
      <w:pPr>
        <w:spacing w:after="0" w:line="96" w:lineRule="exact"/>
        <w:rPr>
          <w:rFonts w:ascii="Arial" w:cs="Arial" w:eastAsia="Arial" w:hAnsi="Arial"/>
          <w:sz w:val="18"/>
          <w:szCs w:val="18"/>
          <w:color w:val="auto"/>
        </w:rPr>
      </w:pPr>
    </w:p>
    <w:p>
      <w:pPr>
        <w:ind w:left="820" w:right="260" w:hanging="126"/>
        <w:spacing w:after="0" w:line="364" w:lineRule="auto"/>
        <w:tabs>
          <w:tab w:leader="none" w:pos="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$1,000,000,000 initial aggregate principal amount of 6.50% Notes due 2017, maturing on January 15, 2017, with interest payable semiannually on each July 15 and January 15, beginning January 15, 2007, to holders of record on the preceding July 1 and January 1; and</w:t>
      </w:r>
    </w:p>
    <w:p>
      <w:pPr>
        <w:spacing w:after="0" w:line="5" w:lineRule="exact"/>
        <w:rPr>
          <w:rFonts w:ascii="Arial" w:cs="Arial" w:eastAsia="Arial" w:hAnsi="Arial"/>
          <w:sz w:val="15"/>
          <w:szCs w:val="15"/>
          <w:color w:val="auto"/>
        </w:rPr>
      </w:pPr>
    </w:p>
    <w:p>
      <w:pPr>
        <w:ind w:left="460" w:hanging="11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$1,000 and multiples thereof.</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Notes due 2009</w:t>
      </w:r>
    </w:p>
    <w:p>
      <w:pPr>
        <w:spacing w:after="0" w:line="111" w:lineRule="exact"/>
        <w:rPr>
          <w:sz w:val="20"/>
          <w:szCs w:val="20"/>
          <w:color w:val="auto"/>
        </w:rPr>
      </w:pPr>
    </w:p>
    <w:p>
      <w:pPr>
        <w:ind w:firstLine="261"/>
        <w:spacing w:after="0" w:line="308" w:lineRule="auto"/>
        <w:rPr>
          <w:sz w:val="20"/>
          <w:szCs w:val="20"/>
          <w:color w:val="auto"/>
        </w:rPr>
      </w:pPr>
      <w:r>
        <w:rPr>
          <w:rFonts w:ascii="Arial" w:cs="Arial" w:eastAsia="Arial" w:hAnsi="Arial"/>
          <w:sz w:val="15"/>
          <w:szCs w:val="15"/>
          <w:color w:val="auto"/>
        </w:rPr>
        <w:t>The notes due 2009 will bear interest from July 14, 2006 or from the most recent interest payment date (as defined below) on which we have paid or provided for interest on the notes due 2009. The interest rate per annum for the notes due 2009 will be reset quarterly on the first day of each interest period (as defined below) and will be equal to LIBOR (as defined below) plus 0.30%, as determined by the calculation agent. The Bank of New York will initially act as calculation agent. The amount of interest for each day the notes due 2009 are outstanding, which we refer to as the “daily interest amount,” will be calculated by dividing the interest rate in effect for that day by 360 and multiplying the result by the principal amount of the notes due 2009. The amount of interest to be paid on the notes due 2009 for each interest period will be calculated by adding the daily interest amounts for each day in the interest period.</w:t>
      </w:r>
    </w:p>
    <w:p>
      <w:pPr>
        <w:spacing w:after="0" w:line="48" w:lineRule="exact"/>
        <w:rPr>
          <w:sz w:val="20"/>
          <w:szCs w:val="20"/>
          <w:color w:val="auto"/>
        </w:rPr>
      </w:pPr>
    </w:p>
    <w:p>
      <w:pPr>
        <w:ind w:firstLine="261"/>
        <w:spacing w:after="0" w:line="304" w:lineRule="auto"/>
        <w:rPr>
          <w:sz w:val="20"/>
          <w:szCs w:val="20"/>
          <w:color w:val="auto"/>
        </w:rPr>
      </w:pPr>
      <w:r>
        <w:rPr>
          <w:rFonts w:ascii="Arial" w:cs="Arial" w:eastAsia="Arial" w:hAnsi="Arial"/>
          <w:sz w:val="15"/>
          <w:szCs w:val="15"/>
          <w:color w:val="auto"/>
        </w:rPr>
        <w:t>We will pay interest on the notes due 2009 on each July 14, October 14, January 14 and April 14, commencing October 16, 2006 (the first business day following the October 14, 2006 interest payment date), and at maturity. Each of these dates on which we will pay interest is referred to as an “interest payment date.” If any interest payment date would fall on a day that is not a business day, other than the interest payment date that is also the date of maturity for the notes due 2009, that interest payment date will be postponed to the following day that is a business day, except that if such next business day is in a different month, then that payment date will be the immediately preceding day that is a business day. If the date of maturity for the notes due 2009 is not a business day, payment of principal and interest on the notes due 2009 will be made on the following day that is a business day and no interest will accrue for the period from and after such date of maturity. Interest on the notes due 2009 will be paid to the person in whose name such note was registered at the close of business on the fifteenth calendar day, whether or not a business day, prior to the applicable interest payment date.</w:t>
      </w:r>
    </w:p>
    <w:p>
      <w:pPr>
        <w:spacing w:after="0" w:line="51" w:lineRule="exact"/>
        <w:rPr>
          <w:sz w:val="20"/>
          <w:szCs w:val="20"/>
          <w:color w:val="auto"/>
        </w:rPr>
      </w:pPr>
    </w:p>
    <w:p>
      <w:pPr>
        <w:jc w:val="both"/>
        <w:ind w:right="260" w:firstLine="264"/>
        <w:spacing w:after="0" w:line="329" w:lineRule="auto"/>
        <w:rPr>
          <w:sz w:val="20"/>
          <w:szCs w:val="20"/>
          <w:color w:val="auto"/>
        </w:rPr>
      </w:pPr>
      <w:r>
        <w:rPr>
          <w:rFonts w:ascii="Arial" w:cs="Arial" w:eastAsia="Arial" w:hAnsi="Arial"/>
          <w:sz w:val="15"/>
          <w:szCs w:val="15"/>
          <w:color w:val="auto"/>
        </w:rPr>
        <w:t>Except as described below for the first interest period, on each interest payment date, we will pay interest for the period commencing on and including the immediately preceding interest payment date and ending on and including the next day preceding that interest payment date. We will refer to this period as an “interest period.” The first interest period will begin on and include July 14, 2006 and will end on but exclude October 16, 2006.</w:t>
      </w:r>
    </w:p>
    <w:p>
      <w:pPr>
        <w:spacing w:after="0" w:line="31" w:lineRule="exact"/>
        <w:rPr>
          <w:sz w:val="20"/>
          <w:szCs w:val="20"/>
          <w:color w:val="auto"/>
        </w:rPr>
      </w:pPr>
    </w:p>
    <w:p>
      <w:pPr>
        <w:ind w:right="140" w:firstLine="264"/>
        <w:spacing w:after="0" w:line="254" w:lineRule="auto"/>
        <w:rPr>
          <w:sz w:val="20"/>
          <w:szCs w:val="20"/>
          <w:color w:val="auto"/>
        </w:rPr>
      </w:pPr>
      <w:r>
        <w:rPr>
          <w:rFonts w:ascii="Arial" w:cs="Arial" w:eastAsia="Arial" w:hAnsi="Arial"/>
          <w:sz w:val="18"/>
          <w:szCs w:val="18"/>
          <w:color w:val="auto"/>
        </w:rPr>
        <w:t>“LIBOR,” with respect to an interest period, shall be the rate (expressed as a percentage per annum) for deposits in United States dollars for a three-month period beginning on the second London Banking Day after the Determination Date (as defined below) that appears on Telerate Page 3750 (as defined below) as of 11:00 a.m., London time, on the Determination Date. If Telerate Page 3750 does not include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this rate or is unavailable on the Determination Date, the calculation agent will obtain such rate from Bloomberg’s page “BBAM.” If neither Telerate Page 3750 nor Bloomberg L.P. page “BBAM” includes such rate, the calculation agent will request the principal London office of each of four major banks in the London interbank market, as selected by the calculation agent (in consultation with us), to provide that bank’s offered quotation (expressed as a percentage per annum) as of approximately 11:00 a.m., London time, on the Determination Date to prime banks in the London interbank market for deposits in a Representative Amount (as defined below) in United States dollars for a three-month period beginning on the second London Banking Day after the Determination Date. If at least two offered quotations are so provided, LIBOR for the interest period will be the arithmetic mean of those quotations. If fewer than two quotations are so provided, the calculation agent will request each of three major banks in New York City, as selected by the calculation agent, to provide that bank’s rate (expressed as a percentage per annum), as of approximately 11:00 a.m., New York City time, on the Determination Date for loans in a Representative Amount in United States dollars to leading European banks for a three-month period beginning on the second London Banking Day after the Determination Date. If at least two rates are so provided, LIBOR for the interest period will be the arithmetic mean of those rates. If fewer than two rates are so provided, then LIBOR for the interest period will be LIBOR in effect with respect to the immediately preceding interest period.</w:t>
      </w:r>
    </w:p>
    <w:p>
      <w:pPr>
        <w:spacing w:after="0" w:line="2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“Determination Date” with respect to an interest period will be the second London Banking Day preceding the first day of the interest period.</w:t>
      </w:r>
    </w:p>
    <w:p>
      <w:pPr>
        <w:spacing w:after="0" w:line="111" w:lineRule="exact"/>
        <w:rPr>
          <w:sz w:val="20"/>
          <w:szCs w:val="20"/>
          <w:color w:val="auto"/>
        </w:rPr>
      </w:pPr>
    </w:p>
    <w:p>
      <w:pPr>
        <w:ind w:right="160" w:firstLine="264"/>
        <w:spacing w:after="0" w:line="264" w:lineRule="auto"/>
        <w:rPr>
          <w:sz w:val="20"/>
          <w:szCs w:val="20"/>
          <w:color w:val="auto"/>
        </w:rPr>
      </w:pPr>
      <w:r>
        <w:rPr>
          <w:rFonts w:ascii="Arial" w:cs="Arial" w:eastAsia="Arial" w:hAnsi="Arial"/>
          <w:sz w:val="18"/>
          <w:szCs w:val="18"/>
          <w:color w:val="auto"/>
        </w:rPr>
        <w:t>“London Banking Day” is any day in which dealings in United States dollars are transacted or, with respect to any future date, are expected to be transacted in the London interbank market.</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“Representative Amount” means a principal amount that is not less than $1.0 million for a single transaction in the relevant market at the relevant time.</w:t>
      </w:r>
    </w:p>
    <w:p>
      <w:pPr>
        <w:spacing w:after="0" w:line="145" w:lineRule="exact"/>
        <w:rPr>
          <w:sz w:val="20"/>
          <w:szCs w:val="20"/>
          <w:color w:val="auto"/>
        </w:rPr>
      </w:pPr>
    </w:p>
    <w:p>
      <w:pPr>
        <w:ind w:right="140" w:firstLine="264"/>
        <w:spacing w:after="0" w:line="264" w:lineRule="auto"/>
        <w:rPr>
          <w:sz w:val="20"/>
          <w:szCs w:val="20"/>
          <w:color w:val="auto"/>
        </w:rPr>
      </w:pPr>
      <w:r>
        <w:rPr>
          <w:rFonts w:ascii="Arial" w:cs="Arial" w:eastAsia="Arial" w:hAnsi="Arial"/>
          <w:sz w:val="18"/>
          <w:szCs w:val="18"/>
          <w:color w:val="auto"/>
        </w:rPr>
        <w:t>“Telerate Page 3750” means the display designated as “Page 3750” on Moneyline Telerate, Inc. or any successor service (or such other page as may replace Page 3750 on that service or a successor service).</w:t>
      </w:r>
    </w:p>
    <w:p>
      <w:pPr>
        <w:spacing w:after="0" w:line="74" w:lineRule="exact"/>
        <w:rPr>
          <w:sz w:val="20"/>
          <w:szCs w:val="20"/>
          <w:color w:val="auto"/>
        </w:rPr>
      </w:pPr>
    </w:p>
    <w:p>
      <w:pPr>
        <w:jc w:val="both"/>
        <w:ind w:right="120" w:firstLine="255"/>
        <w:spacing w:after="0" w:line="276" w:lineRule="auto"/>
        <w:rPr>
          <w:sz w:val="20"/>
          <w:szCs w:val="20"/>
          <w:color w:val="auto"/>
        </w:rPr>
      </w:pPr>
      <w:r>
        <w:rPr>
          <w:rFonts w:ascii="Arial" w:cs="Arial" w:eastAsia="Arial" w:hAnsi="Arial"/>
          <w:sz w:val="17"/>
          <w:szCs w:val="17"/>
          <w:color w:val="auto"/>
        </w:rPr>
        <w:t>All percentages resulting from any of the above calculations will be rounded, if necessary, to the nearest one hundred-thousandth of a percentage point, with five one-millionths of a percentage point rounded upwards (e.g., 9.876545% (or .09876545) being rounded to 9.87655% (or ..0987655)) and all dollar amounts used in or resulting from such calculations will be rounded to the nearest cent (with one-half cent being rounded upwards).</w:t>
      </w:r>
    </w:p>
    <w:p>
      <w:pPr>
        <w:spacing w:after="0" w:line="66" w:lineRule="exact"/>
        <w:rPr>
          <w:sz w:val="20"/>
          <w:szCs w:val="20"/>
          <w:color w:val="auto"/>
        </w:rPr>
      </w:pPr>
    </w:p>
    <w:p>
      <w:pPr>
        <w:ind w:right="20" w:firstLine="261"/>
        <w:spacing w:after="0" w:line="254" w:lineRule="auto"/>
        <w:rPr>
          <w:sz w:val="20"/>
          <w:szCs w:val="20"/>
          <w:color w:val="auto"/>
        </w:rPr>
      </w:pPr>
      <w:r>
        <w:rPr>
          <w:rFonts w:ascii="Arial" w:cs="Arial" w:eastAsia="Arial" w:hAnsi="Arial"/>
          <w:sz w:val="18"/>
          <w:szCs w:val="18"/>
          <w:color w:val="auto"/>
        </w:rPr>
        <w:t>The interest rate on the notes due 2009 will in no event be higher than the maximum rate permitted by New York law as the same may be modified by United States law of general application. Under present New York law, the maximum rate of interest is 25% per annum on a simple interest basis. This limit may not apply to notes due 2009 in which $2,500,000 or more has been invested.</w:t>
      </w:r>
    </w:p>
    <w:p>
      <w:pPr>
        <w:spacing w:after="0" w:line="84" w:lineRule="exact"/>
        <w:rPr>
          <w:sz w:val="20"/>
          <w:szCs w:val="20"/>
          <w:color w:val="auto"/>
        </w:rPr>
      </w:pPr>
    </w:p>
    <w:p>
      <w:pPr>
        <w:jc w:val="both"/>
        <w:ind w:right="320" w:firstLine="261"/>
        <w:spacing w:after="0" w:line="276" w:lineRule="auto"/>
        <w:rPr>
          <w:sz w:val="20"/>
          <w:szCs w:val="20"/>
          <w:color w:val="auto"/>
        </w:rPr>
      </w:pPr>
      <w:r>
        <w:rPr>
          <w:rFonts w:ascii="Arial" w:cs="Arial" w:eastAsia="Arial" w:hAnsi="Arial"/>
          <w:sz w:val="17"/>
          <w:szCs w:val="17"/>
          <w:color w:val="auto"/>
        </w:rPr>
        <w:t>The calculation agent will, upon the request of the holder of any note due 2009, provide the interest rate then in effect. All calculations of the calculation agent, in the absence of manifest error, shall be conclusive for all purposes and binding on us and holders of the notes due 2009. We may appoint a successor calculation agent with the written consent of the paying agent, which consent shall not be unreasonably withheld.</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Notes Due 2017</w:t>
      </w:r>
    </w:p>
    <w:p>
      <w:pPr>
        <w:spacing w:after="0" w:line="111"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Interest on the notes due 2017 will be computed on the basis of a 360-day year consisting of twelve 30-day months. Interest on the notes due 2017 will accrue from the date of original issuance, or from the most recent interest payment date to which interest has been paid and will be payable semiannually on interest payment dates described for each year.</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more information on payment and transfer procedures for the notes, see “— Book-Entry System” below.</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117" w:lineRule="exact"/>
        <w:rPr>
          <w:sz w:val="20"/>
          <w:szCs w:val="20"/>
          <w:color w:val="auto"/>
        </w:rPr>
      </w:pPr>
    </w:p>
    <w:p>
      <w:pPr>
        <w:ind w:right="740" w:firstLine="264"/>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74" w:lineRule="exact"/>
        <w:rPr>
          <w:sz w:val="20"/>
          <w:szCs w:val="20"/>
          <w:color w:val="auto"/>
        </w:rPr>
      </w:pPr>
    </w:p>
    <w:p>
      <w:pPr>
        <w:ind w:right="180" w:firstLine="261"/>
        <w:spacing w:after="0" w:line="254"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Notes Due 2009</w:t>
      </w:r>
    </w:p>
    <w:p>
      <w:pPr>
        <w:spacing w:after="0" w:line="111"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We will have the right at our option to redeem the notes in whole or in part, at any time or from time to time after July 14, 2007 and prior to their maturity, on at least 30 days, but not more than 60 days, prior notice mailed to the registered address of each holder, at a redemption price equal to 100% of the principal amount of such notes, plus any accrued and unpaid interest thereon to the date of redemption.</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Notes Due 2017</w:t>
      </w:r>
    </w:p>
    <w:p>
      <w:pPr>
        <w:spacing w:after="0" w:line="111" w:lineRule="exact"/>
        <w:rPr>
          <w:sz w:val="20"/>
          <w:szCs w:val="20"/>
          <w:color w:val="auto"/>
        </w:rPr>
      </w:pPr>
    </w:p>
    <w:p>
      <w:pPr>
        <w:ind w:right="60" w:firstLine="261"/>
        <w:spacing w:after="0" w:line="312" w:lineRule="auto"/>
        <w:rPr>
          <w:sz w:val="20"/>
          <w:szCs w:val="20"/>
          <w:color w:val="auto"/>
        </w:rPr>
      </w:pPr>
      <w:r>
        <w:rPr>
          <w:rFonts w:ascii="Arial" w:cs="Arial" w:eastAsia="Arial" w:hAnsi="Arial"/>
          <w:sz w:val="15"/>
          <w:szCs w:val="15"/>
          <w:color w:val="auto"/>
        </w:rPr>
        <w:t>We will have the right at our option to redeem any of the notes due 2017 in whole or in part, at any time or from time to time prior to their maturity, on at least 30 days, but not more than 60 days, prior notice mailed to the registered address of each holder of notes due 2017,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25 basis points (the “Make-Whole Amount”), plus accrued interest thereon to the date of redemption.</w:t>
      </w:r>
    </w:p>
    <w:p>
      <w:pPr>
        <w:spacing w:after="0" w:line="43"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84" w:lineRule="exact"/>
        <w:rPr>
          <w:sz w:val="20"/>
          <w:szCs w:val="20"/>
          <w:color w:val="auto"/>
        </w:rPr>
      </w:pPr>
    </w:p>
    <w:p>
      <w:pPr>
        <w:ind w:right="240" w:firstLine="264"/>
        <w:spacing w:after="0" w:line="329" w:lineRule="auto"/>
        <w:rPr>
          <w:sz w:val="20"/>
          <w:szCs w:val="20"/>
          <w:color w:val="auto"/>
        </w:rPr>
      </w:pPr>
      <w:r>
        <w:rPr>
          <w:rFonts w:ascii="Arial" w:cs="Arial" w:eastAsia="Arial" w:hAnsi="Arial"/>
          <w:sz w:val="15"/>
          <w:szCs w:val="15"/>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11" w:lineRule="exact"/>
        <w:rPr>
          <w:sz w:val="20"/>
          <w:szCs w:val="20"/>
          <w:color w:val="auto"/>
        </w:rPr>
      </w:pPr>
    </w:p>
    <w:p>
      <w:pPr>
        <w:ind w:right="180" w:firstLine="264"/>
        <w:spacing w:after="0" w:line="254"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84" w:lineRule="exact"/>
        <w:rPr>
          <w:sz w:val="20"/>
          <w:szCs w:val="20"/>
          <w:color w:val="auto"/>
        </w:rPr>
      </w:pPr>
    </w:p>
    <w:p>
      <w:pPr>
        <w:ind w:right="120" w:firstLine="264"/>
        <w:spacing w:after="0" w:line="251" w:lineRule="auto"/>
        <w:rPr>
          <w:sz w:val="20"/>
          <w:szCs w:val="20"/>
          <w:color w:val="auto"/>
        </w:rPr>
      </w:pPr>
      <w:r>
        <w:rPr>
          <w:rFonts w:ascii="Arial" w:cs="Arial" w:eastAsia="Arial" w:hAnsi="Arial"/>
          <w:sz w:val="18"/>
          <w:szCs w:val="18"/>
          <w:color w:val="auto"/>
        </w:rPr>
        <w:t>“Reference Treasury Dealer” means each of Morgan Stanley &amp; Co. Incorporated, Lehman Brothers Inc. and Greenwich Capital Markets, Inc.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87" w:lineRule="exact"/>
        <w:rPr>
          <w:sz w:val="20"/>
          <w:szCs w:val="20"/>
          <w:color w:val="auto"/>
        </w:rPr>
      </w:pPr>
    </w:p>
    <w:p>
      <w:pPr>
        <w:ind w:right="200" w:firstLine="264"/>
        <w:spacing w:after="0" w:line="364" w:lineRule="auto"/>
        <w:rPr>
          <w:sz w:val="20"/>
          <w:szCs w:val="20"/>
          <w:color w:val="auto"/>
        </w:rPr>
      </w:pPr>
      <w:r>
        <w:rPr>
          <w:rFonts w:ascii="Arial" w:cs="Arial" w:eastAsia="Arial" w:hAnsi="Arial"/>
          <w:sz w:val="15"/>
          <w:szCs w:val="15"/>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to the trustee by such Reference Treasury Dealer at 3:30 pm New York time on the third business day preceding such redemption date.</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Provisions Applicable to Both Series of Notes</w:t>
      </w:r>
    </w:p>
    <w:p>
      <w:pPr>
        <w:spacing w:after="0" w:line="111" w:lineRule="exact"/>
        <w:rPr>
          <w:sz w:val="20"/>
          <w:szCs w:val="20"/>
          <w:color w:val="auto"/>
        </w:rPr>
      </w:pPr>
    </w:p>
    <w:p>
      <w:pPr>
        <w:ind w:firstLine="264"/>
        <w:spacing w:after="0" w:line="312" w:lineRule="auto"/>
        <w:rPr>
          <w:sz w:val="20"/>
          <w:szCs w:val="20"/>
          <w:color w:val="auto"/>
        </w:rPr>
      </w:pPr>
      <w:r>
        <w:rPr>
          <w:rFonts w:ascii="Arial" w:cs="Arial" w:eastAsia="Arial" w:hAnsi="Arial"/>
          <w:sz w:val="15"/>
          <w:szCs w:val="15"/>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17" w:lineRule="exact"/>
        <w:rPr>
          <w:sz w:val="20"/>
          <w:szCs w:val="20"/>
          <w:color w:val="auto"/>
        </w:rPr>
      </w:pPr>
    </w:p>
    <w:p>
      <w:pPr>
        <w:ind w:right="60" w:firstLine="261"/>
        <w:spacing w:after="0" w:line="317" w:lineRule="auto"/>
        <w:rPr>
          <w:sz w:val="20"/>
          <w:szCs w:val="20"/>
          <w:color w:val="auto"/>
        </w:rPr>
      </w:pPr>
      <w:r>
        <w:rPr>
          <w:rFonts w:ascii="Arial" w:cs="Arial" w:eastAsia="Arial" w:hAnsi="Arial"/>
          <w:sz w:val="15"/>
          <w:szCs w:val="15"/>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DTC</w:t>
      </w:r>
    </w:p>
    <w:p>
      <w:pPr>
        <w:spacing w:after="0" w:line="111" w:lineRule="exact"/>
        <w:rPr>
          <w:sz w:val="20"/>
          <w:szCs w:val="20"/>
          <w:color w:val="auto"/>
        </w:rPr>
      </w:pPr>
    </w:p>
    <w:p>
      <w:pPr>
        <w:ind w:right="20" w:firstLine="264"/>
        <w:spacing w:after="0" w:line="306" w:lineRule="auto"/>
        <w:rPr>
          <w:sz w:val="20"/>
          <w:szCs w:val="20"/>
          <w:color w:val="auto"/>
        </w:rPr>
      </w:pPr>
      <w:r>
        <w:rPr>
          <w:rFonts w:ascii="Arial" w:cs="Arial" w:eastAsia="Arial" w:hAnsi="Arial"/>
          <w:sz w:val="15"/>
          <w:szCs w:val="15"/>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48" w:lineRule="exact"/>
        <w:rPr>
          <w:sz w:val="20"/>
          <w:szCs w:val="20"/>
          <w:color w:val="auto"/>
        </w:rPr>
      </w:pPr>
    </w:p>
    <w:p>
      <w:pPr>
        <w:ind w:right="100" w:firstLine="261"/>
        <w:spacing w:after="0" w:line="266" w:lineRule="auto"/>
        <w:rPr>
          <w:sz w:val="20"/>
          <w:szCs w:val="20"/>
          <w:color w:val="auto"/>
        </w:rPr>
      </w:pPr>
      <w:r>
        <w:rPr>
          <w:rFonts w:ascii="Arial" w:cs="Arial" w:eastAsia="Arial" w:hAnsi="Arial"/>
          <w:sz w:val="17"/>
          <w:szCs w:val="17"/>
          <w:color w:val="auto"/>
        </w:rPr>
        <w:t>We expect that pursuant to procedures established by DTC, upon the deposit of the Global Notes with DTC, DTC will credit on its book 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40" w:firstLine="261"/>
        <w:spacing w:after="0" w:line="264"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74" w:lineRule="exact"/>
        <w:rPr>
          <w:sz w:val="20"/>
          <w:szCs w:val="20"/>
          <w:color w:val="auto"/>
        </w:rPr>
      </w:pPr>
    </w:p>
    <w:p>
      <w:pPr>
        <w:ind w:right="100" w:firstLine="264"/>
        <w:spacing w:after="0" w:line="306" w:lineRule="auto"/>
        <w:rPr>
          <w:sz w:val="20"/>
          <w:szCs w:val="20"/>
          <w:color w:val="auto"/>
        </w:rPr>
      </w:pPr>
      <w:r>
        <w:rPr>
          <w:rFonts w:ascii="Arial" w:cs="Arial" w:eastAsia="Arial" w:hAnsi="Arial"/>
          <w:sz w:val="15"/>
          <w:szCs w:val="15"/>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48" w:lineRule="exact"/>
        <w:rPr>
          <w:sz w:val="20"/>
          <w:szCs w:val="20"/>
          <w:color w:val="auto"/>
        </w:rPr>
      </w:pPr>
    </w:p>
    <w:p>
      <w:pPr>
        <w:ind w:right="20" w:firstLine="261"/>
        <w:spacing w:after="0" w:line="264"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74" w:lineRule="exact"/>
        <w:rPr>
          <w:sz w:val="20"/>
          <w:szCs w:val="20"/>
          <w:color w:val="auto"/>
        </w:rPr>
      </w:pPr>
    </w:p>
    <w:p>
      <w:pPr>
        <w:ind w:right="40" w:firstLine="261"/>
        <w:spacing w:after="0" w:line="303" w:lineRule="auto"/>
        <w:rPr>
          <w:sz w:val="20"/>
          <w:szCs w:val="20"/>
          <w:color w:val="auto"/>
        </w:rPr>
      </w:pPr>
      <w:r>
        <w:rPr>
          <w:rFonts w:ascii="Arial" w:cs="Arial" w:eastAsia="Arial" w:hAnsi="Arial"/>
          <w:sz w:val="15"/>
          <w:szCs w:val="15"/>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51" w:lineRule="exact"/>
        <w:rPr>
          <w:sz w:val="20"/>
          <w:szCs w:val="20"/>
          <w:color w:val="auto"/>
        </w:rPr>
      </w:pPr>
    </w:p>
    <w:p>
      <w:pPr>
        <w:ind w:firstLine="255"/>
        <w:spacing w:after="0" w:line="312" w:lineRule="auto"/>
        <w:rPr>
          <w:sz w:val="20"/>
          <w:szCs w:val="20"/>
          <w:color w:val="auto"/>
        </w:rPr>
      </w:pPr>
      <w:r>
        <w:rPr>
          <w:rFonts w:ascii="Arial" w:cs="Arial" w:eastAsia="Arial" w:hAnsi="Arial"/>
          <w:sz w:val="15"/>
          <w:szCs w:val="15"/>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1" w:lineRule="exact"/>
        <w:rPr>
          <w:sz w:val="20"/>
          <w:szCs w:val="20"/>
          <w:color w:val="auto"/>
        </w:rPr>
      </w:pPr>
    </w:p>
    <w:p>
      <w:pPr>
        <w:ind w:right="960" w:firstLine="264"/>
        <w:spacing w:after="0" w:line="264"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$1,000 principal amount and multiples thereof if:</w:t>
      </w:r>
    </w:p>
    <w:p>
      <w:pPr>
        <w:spacing w:after="0" w:line="74" w:lineRule="exact"/>
        <w:rPr>
          <w:sz w:val="20"/>
          <w:szCs w:val="20"/>
          <w:color w:val="auto"/>
        </w:rPr>
      </w:pPr>
    </w:p>
    <w:p>
      <w:pPr>
        <w:ind w:left="1040" w:right="440" w:hanging="452"/>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87"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40" w:hanging="45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1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11"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84" w:lineRule="exact"/>
        <w:rPr>
          <w:sz w:val="20"/>
          <w:szCs w:val="20"/>
          <w:color w:val="auto"/>
        </w:rPr>
      </w:pPr>
    </w:p>
    <w:p>
      <w:pPr>
        <w:ind w:right="100" w:firstLine="264"/>
        <w:spacing w:after="0" w:line="308" w:lineRule="auto"/>
        <w:rPr>
          <w:sz w:val="20"/>
          <w:szCs w:val="20"/>
          <w:color w:val="auto"/>
        </w:rPr>
      </w:pPr>
      <w:r>
        <w:rPr>
          <w:rFonts w:ascii="Arial" w:cs="Arial" w:eastAsia="Arial" w:hAnsi="Arial"/>
          <w:sz w:val="15"/>
          <w:szCs w:val="15"/>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17" w:lineRule="exact"/>
        <w:rPr>
          <w:sz w:val="20"/>
          <w:szCs w:val="20"/>
          <w:color w:val="auto"/>
        </w:rPr>
      </w:pPr>
    </w:p>
    <w:p>
      <w:pPr>
        <w:jc w:val="both"/>
        <w:ind w:right="260" w:firstLine="261"/>
        <w:spacing w:after="0" w:line="25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3"/>
          </w:tcPr>
          <w:p>
            <w:pPr>
              <w:ind w:left="780"/>
              <w:spacing w:after="0"/>
              <w:rPr>
                <w:sz w:val="20"/>
                <w:szCs w:val="20"/>
                <w:color w:val="auto"/>
              </w:rPr>
            </w:pPr>
            <w:r>
              <w:rPr>
                <w:rFonts w:ascii="Arial" w:cs="Arial" w:eastAsia="Arial" w:hAnsi="Arial"/>
                <w:sz w:val="14"/>
                <w:szCs w:val="14"/>
                <w:b w:val="1"/>
                <w:bCs w:val="1"/>
                <w:color w:val="auto"/>
              </w:rPr>
              <w:t>Principal Amount</w:t>
            </w:r>
          </w:p>
        </w:tc>
        <w:tc>
          <w:tcPr>
            <w:tcW w:w="300" w:type="dxa"/>
            <w:vAlign w:val="bottom"/>
          </w:tcPr>
          <w:p>
            <w:pPr>
              <w:spacing w:after="0"/>
              <w:rPr>
                <w:sz w:val="14"/>
                <w:szCs w:val="14"/>
                <w:color w:val="auto"/>
              </w:rPr>
            </w:pPr>
          </w:p>
        </w:tc>
        <w:tc>
          <w:tcPr>
            <w:tcW w:w="2640" w:type="dxa"/>
            <w:vAlign w:val="bottom"/>
            <w:gridSpan w:val="3"/>
          </w:tcPr>
          <w:p>
            <w:pPr>
              <w:ind w:left="78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46"/>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8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rPr>
              <w:t>of Notes due</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8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of Notes due</w:t>
            </w:r>
          </w:p>
        </w:tc>
        <w:tc>
          <w:tcPr>
            <w:tcW w:w="0" w:type="dxa"/>
            <w:vAlign w:val="bottom"/>
          </w:tcPr>
          <w:p>
            <w:pPr>
              <w:spacing w:after="0"/>
              <w:rPr>
                <w:sz w:val="1"/>
                <w:szCs w:val="1"/>
                <w:color w:val="auto"/>
              </w:rPr>
            </w:pPr>
          </w:p>
        </w:tc>
      </w:tr>
      <w:tr>
        <w:trPr>
          <w:trHeight w:val="168"/>
        </w:trPr>
        <w:tc>
          <w:tcPr>
            <w:tcW w:w="55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2009</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540" w:type="dxa"/>
            <w:vAlign w:val="bottom"/>
          </w:tcPr>
          <w:p>
            <w:pPr>
              <w:spacing w:after="0"/>
              <w:rPr>
                <w:sz w:val="20"/>
                <w:szCs w:val="20"/>
                <w:color w:val="auto"/>
              </w:rPr>
            </w:pPr>
            <w:r>
              <w:rPr>
                <w:rFonts w:ascii="Arial" w:cs="Arial" w:eastAsia="Arial" w:hAnsi="Arial"/>
                <w:sz w:val="18"/>
                <w:szCs w:val="18"/>
                <w:color w:val="auto"/>
              </w:rPr>
              <w:t>Lehman Brothers Inc.</w:t>
            </w:r>
          </w:p>
        </w:tc>
        <w:tc>
          <w:tcPr>
            <w:tcW w:w="1160" w:type="dxa"/>
            <w:vAlign w:val="bottom"/>
            <w:gridSpan w:val="2"/>
          </w:tcPr>
          <w:p>
            <w:pPr>
              <w:ind w:left="1080"/>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w w:val="99"/>
              </w:rPr>
              <w:t>250,000,000</w:t>
            </w: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w w:val="99"/>
              </w:rPr>
              <w:t>200,000,000</w:t>
            </w: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9"/>
              </w:rPr>
              <w:t>250,000,000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9"/>
              </w:rPr>
              <w:t>200,000,000</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Greenwich Capital Markets, Inc.</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w w:val="99"/>
              </w:rPr>
              <w:t>250,000,000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w w:val="99"/>
              </w:rPr>
              <w:t>200,000,000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Barclays Capital Inc.</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Daiwa Securities America Inc.</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LaSalle Financial Services, Inc.</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Lazard Capital Markets LLC</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199"/>
        </w:trPr>
        <w:tc>
          <w:tcPr>
            <w:tcW w:w="55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Merrill Lynch, Pierce, Fenner &amp; Smith</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Incorporated</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UBS Securities LLC</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33,750,000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BNY Capital Markets, Inc.</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19,375,000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15,500,000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SunTrust Capital Markets, Inc.</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19,375,000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15,500,000</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Guzman &amp; Company</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5,000,000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Samuel A. Ramirez &amp; Co., Inc.</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5,000,000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The Williams Capital Group, L.P.</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5,000,000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Cabrera Capital Markets, Inc.</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3,750,000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8"/>
        </w:trPr>
        <w:tc>
          <w:tcPr>
            <w:tcW w:w="5540" w:type="dxa"/>
            <w:vAlign w:val="bottom"/>
          </w:tcPr>
          <w:p>
            <w:pPr>
              <w:spacing w:after="0"/>
              <w:rPr>
                <w:sz w:val="20"/>
                <w:szCs w:val="20"/>
                <w:color w:val="auto"/>
              </w:rPr>
            </w:pPr>
            <w:r>
              <w:rPr>
                <w:rFonts w:ascii="Arial" w:cs="Arial" w:eastAsia="Arial" w:hAnsi="Arial"/>
                <w:sz w:val="18"/>
                <w:szCs w:val="18"/>
                <w:color w:val="auto"/>
              </w:rPr>
              <w:t>Loop Capital Markets, LLC</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3,750,000</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6"/>
              </w:rPr>
              <w:t>1,250,000,000</w:t>
            </w:r>
          </w:p>
        </w:tc>
        <w:tc>
          <w:tcPr>
            <w:tcW w:w="11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6"/>
              </w:rPr>
              <w:t>1,000,000,000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61"/>
        <w:spacing w:after="0" w:line="25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84" w:lineRule="exact"/>
        <w:rPr>
          <w:sz w:val="20"/>
          <w:szCs w:val="20"/>
          <w:color w:val="auto"/>
        </w:rPr>
      </w:pPr>
    </w:p>
    <w:p>
      <w:pPr>
        <w:ind w:right="60" w:firstLine="261"/>
        <w:spacing w:after="0" w:line="264"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74" w:lineRule="exact"/>
        <w:rPr>
          <w:sz w:val="20"/>
          <w:szCs w:val="20"/>
          <w:color w:val="auto"/>
        </w:rPr>
      </w:pPr>
    </w:p>
    <w:p>
      <w:pPr>
        <w:jc w:val="both"/>
        <w:ind w:right="360" w:firstLine="261"/>
        <w:spacing w:after="0" w:line="329"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111" w:lineRule="exact"/>
        <w:rPr>
          <w:sz w:val="20"/>
          <w:szCs w:val="20"/>
          <w:color w:val="auto"/>
        </w:rPr>
      </w:pPr>
    </w:p>
    <w:p>
      <w:pPr>
        <w:ind w:left="340" w:right="480" w:firstLine="274"/>
        <w:spacing w:after="0" w:line="264" w:lineRule="auto"/>
        <w:tabs>
          <w:tab w:leader="none" w:pos="8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line="268" w:lineRule="auto"/>
        <w:rPr>
          <w:sz w:val="20"/>
          <w:szCs w:val="20"/>
          <w:color w:val="auto"/>
        </w:rPr>
      </w:pPr>
      <w:r>
        <w:rPr>
          <w:rFonts w:ascii="Arial" w:cs="Arial" w:eastAsia="Arial" w:hAnsi="Arial"/>
          <w:sz w:val="17"/>
          <w:szCs w:val="17"/>
          <w:color w:val="auto"/>
        </w:rPr>
        <w:t>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179" w:lineRule="exact"/>
        <w:rPr>
          <w:sz w:val="20"/>
          <w:szCs w:val="20"/>
          <w:color w:val="auto"/>
        </w:rPr>
      </w:pPr>
    </w:p>
    <w:p>
      <w:pPr>
        <w:ind w:left="700" w:right="460" w:firstLine="258"/>
        <w:spacing w:after="0" w:line="264" w:lineRule="auto"/>
        <w:tabs>
          <w:tab w:leader="none" w:pos="1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87" w:lineRule="exact"/>
        <w:rPr>
          <w:rFonts w:ascii="Arial" w:cs="Arial" w:eastAsia="Arial" w:hAnsi="Arial"/>
          <w:sz w:val="18"/>
          <w:szCs w:val="18"/>
          <w:color w:val="auto"/>
        </w:rPr>
      </w:pPr>
    </w:p>
    <w:p>
      <w:pPr>
        <w:ind w:left="700" w:right="100" w:firstLine="258"/>
        <w:spacing w:after="0" w:line="364" w:lineRule="auto"/>
        <w:tabs>
          <w:tab w:leader="none" w:pos="1224" w:val="left"/>
        </w:tabs>
        <w:numPr>
          <w:ilvl w:val="0"/>
          <w:numId w:val="9"/>
        </w:numPr>
        <w:rPr>
          <w:rFonts w:ascii="Arial" w:cs="Arial" w:eastAsia="Arial" w:hAnsi="Arial"/>
          <w:sz w:val="15"/>
          <w:szCs w:val="15"/>
          <w:color w:val="auto"/>
        </w:rPr>
      </w:pPr>
      <w:r>
        <w:rPr>
          <w:rFonts w:ascii="Arial" w:cs="Arial" w:eastAsia="Arial" w:hAnsi="Arial"/>
          <w:sz w:val="15"/>
          <w:szCs w:val="15"/>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9" w:lineRule="exact"/>
        <w:rPr>
          <w:rFonts w:ascii="Arial" w:cs="Arial" w:eastAsia="Arial" w:hAnsi="Arial"/>
          <w:sz w:val="15"/>
          <w:szCs w:val="15"/>
          <w:color w:val="auto"/>
        </w:rPr>
      </w:pPr>
    </w:p>
    <w:p>
      <w:pPr>
        <w:ind w:left="1260" w:hanging="302"/>
        <w:spacing w:after="0"/>
        <w:tabs>
          <w:tab w:leader="none" w:pos="12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any other circumstances which do not require the publication by the Issuer of a prospectus pursuant to Article 3 of the Prospectus Directive.</w:t>
      </w:r>
    </w:p>
    <w:p>
      <w:pPr>
        <w:spacing w:after="0" w:line="145" w:lineRule="exact"/>
        <w:rPr>
          <w:sz w:val="20"/>
          <w:szCs w:val="20"/>
          <w:color w:val="auto"/>
        </w:rPr>
      </w:pPr>
    </w:p>
    <w:p>
      <w:pPr>
        <w:ind w:right="40" w:firstLine="264"/>
        <w:spacing w:after="0" w:line="317" w:lineRule="auto"/>
        <w:rPr>
          <w:sz w:val="20"/>
          <w:szCs w:val="20"/>
          <w:color w:val="auto"/>
        </w:rPr>
      </w:pPr>
      <w:r>
        <w:rPr>
          <w:rFonts w:ascii="Arial" w:cs="Arial" w:eastAsia="Arial" w:hAnsi="Arial"/>
          <w:sz w:val="15"/>
          <w:szCs w:val="15"/>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41" w:lineRule="exact"/>
        <w:rPr>
          <w:sz w:val="20"/>
          <w:szCs w:val="20"/>
          <w:color w:val="auto"/>
        </w:rPr>
      </w:pPr>
    </w:p>
    <w:p>
      <w:pPr>
        <w:ind w:left="340" w:right="240" w:firstLine="274"/>
        <w:spacing w:after="0" w:line="329" w:lineRule="auto"/>
        <w:tabs>
          <w:tab w:leader="none" w:pos="854" w:val="left"/>
        </w:tabs>
        <w:numPr>
          <w:ilvl w:val="0"/>
          <w:numId w:val="10"/>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w:t>
      </w:r>
    </w:p>
    <w:p>
      <w:pPr>
        <w:spacing w:after="0" w:line="44" w:lineRule="exact"/>
        <w:rPr>
          <w:rFonts w:ascii="Arial" w:cs="Arial" w:eastAsia="Arial" w:hAnsi="Arial"/>
          <w:sz w:val="15"/>
          <w:szCs w:val="15"/>
          <w:color w:val="auto"/>
        </w:rPr>
      </w:pPr>
    </w:p>
    <w:p>
      <w:pPr>
        <w:ind w:left="340" w:right="100" w:firstLine="274"/>
        <w:spacing w:after="0" w:line="264" w:lineRule="auto"/>
        <w:tabs>
          <w:tab w:leader="none" w:pos="8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notes in, from or otherwise involving the United Kingdom.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17" w:lineRule="exact"/>
        <w:rPr>
          <w:sz w:val="20"/>
          <w:szCs w:val="20"/>
          <w:color w:val="auto"/>
        </w:rPr>
      </w:pPr>
    </w:p>
    <w:p>
      <w:pPr>
        <w:ind w:right="80" w:firstLine="261"/>
        <w:spacing w:after="0" w:line="317" w:lineRule="auto"/>
        <w:rPr>
          <w:sz w:val="20"/>
          <w:szCs w:val="20"/>
          <w:color w:val="auto"/>
        </w:rPr>
      </w:pPr>
      <w:r>
        <w:rPr>
          <w:rFonts w:ascii="Arial" w:cs="Arial" w:eastAsia="Arial" w:hAnsi="Arial"/>
          <w:sz w:val="15"/>
          <w:szCs w:val="15"/>
          <w:color w:val="auto"/>
        </w:rPr>
        <w:t>The underwriters have advised us that they propose initially to offer the notes to the public at the public offering price on the cover page of this prospectus supplement, and to dealers at that price less a concession not in excess of 0.15% and 0.39% of the principal amount of the notes due 2009 and notes due 2017, respectively. The underwriters may allow, and the dealers may reallow, a discount not in excess of 0.075% and 0.195% of the principal amount of the notes due 2009 and notes due 2017, respectively to other dealers. After the initial public offering, the public offering prices, concessions and discounts may be changed.</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expenses of the offering, not including the underwriting discount, are estimated to be $400,000 and are payable by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17" w:lineRule="exact"/>
        <w:rPr>
          <w:sz w:val="20"/>
          <w:szCs w:val="20"/>
          <w:color w:val="auto"/>
        </w:rPr>
      </w:pPr>
    </w:p>
    <w:p>
      <w:pPr>
        <w:ind w:firstLine="261"/>
        <w:spacing w:after="0" w:line="312" w:lineRule="auto"/>
        <w:rPr>
          <w:sz w:val="20"/>
          <w:szCs w:val="20"/>
          <w:color w:val="auto"/>
        </w:rPr>
      </w:pPr>
      <w:r>
        <w:rPr>
          <w:rFonts w:ascii="Arial" w:cs="Arial" w:eastAsia="Arial" w:hAnsi="Arial"/>
          <w:sz w:val="15"/>
          <w:szCs w:val="15"/>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64" w:lineRule="exact"/>
        <w:rPr>
          <w:sz w:val="20"/>
          <w:szCs w:val="20"/>
          <w:color w:val="auto"/>
        </w:rPr>
      </w:pPr>
    </w:p>
    <w:p>
      <w:pPr>
        <w:ind w:right="160" w:firstLine="264"/>
        <w:spacing w:after="0" w:line="250"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33" w:lineRule="exact"/>
        <w:rPr>
          <w:sz w:val="20"/>
          <w:szCs w:val="20"/>
          <w:color w:val="auto"/>
        </w:rPr>
      </w:pPr>
    </w:p>
    <w:p>
      <w:pPr>
        <w:ind w:right="40" w:firstLine="264"/>
        <w:spacing w:after="0" w:line="254"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64" w:lineRule="exact"/>
        <w:rPr>
          <w:sz w:val="20"/>
          <w:szCs w:val="20"/>
          <w:color w:val="auto"/>
        </w:rPr>
      </w:pPr>
    </w:p>
    <w:p>
      <w:pPr>
        <w:ind w:firstLine="264"/>
        <w:spacing w:after="0" w:line="276" w:lineRule="auto"/>
        <w:rPr>
          <w:sz w:val="20"/>
          <w:szCs w:val="20"/>
          <w:color w:val="auto"/>
        </w:rPr>
      </w:pPr>
      <w:r>
        <w:rPr>
          <w:rFonts w:ascii="Arial" w:cs="Arial" w:eastAsia="Arial" w:hAnsi="Arial"/>
          <w:sz w:val="17"/>
          <w:szCs w:val="17"/>
          <w:color w:val="auto"/>
        </w:rPr>
        <w:t>Lazard Capital Markets LLC (“Lazard Capital Markets”) has entered into an agreement with Mitsubishi UFJ Securities (USA), Inc. (“MUS(USA)”) pursuant to which MUS(USA) provides certain advisory and/or other services to Lazard Capital Markets, including in respect of this offering. In return for the provision of such services by MUS(USA) to Lazard Capital Markets, Lazard Capital Markets will pay to MUS(USA) a mutually agreed upon fee.</w:t>
      </w:r>
    </w:p>
    <w:p>
      <w:pPr>
        <w:spacing w:after="0" w:line="66"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21" w:lineRule="exact"/>
        <w:rPr>
          <w:sz w:val="20"/>
          <w:szCs w:val="20"/>
          <w:color w:val="auto"/>
        </w:rPr>
      </w:pPr>
    </w:p>
    <w:p>
      <w:pPr>
        <w:ind w:right="60" w:firstLine="264"/>
        <w:spacing w:after="0" w:line="264" w:lineRule="auto"/>
        <w:rPr>
          <w:sz w:val="20"/>
          <w:szCs w:val="20"/>
          <w:color w:val="auto"/>
        </w:rPr>
      </w:pPr>
      <w:r>
        <w:rPr>
          <w:rFonts w:ascii="Arial" w:cs="Arial" w:eastAsia="Arial" w:hAnsi="Arial"/>
          <w:sz w:val="18"/>
          <w:szCs w:val="18"/>
          <w:color w:val="auto"/>
        </w:rPr>
        <w:t>Brian L. Roberts, our director, President and Chief Executive Officer and a director of Comcast Holdings, is a member of the board of directors of The Bank of New York Company, Inc., an affiliate of BNY Capital Markets, Inc.</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Dr. Judith Rodin, our director, is a member of the board of directors of Citigroup Inc., an affiliate of Citigroup Global Markets Inc.</w:t>
      </w:r>
    </w:p>
    <w:p>
      <w:pPr>
        <w:spacing w:after="0" w:line="58"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John R. Alchin, our Executive Vice President, Co-Chief Financial Officer and Treasurer, is a member of the board of directors of BNY Hamilton Funds, Inc., an affiliate of BNY Capital Markets, Inc.</w:t>
      </w:r>
    </w:p>
    <w:p>
      <w:pPr>
        <w:spacing w:after="0" w:line="21" w:lineRule="exact"/>
        <w:rPr>
          <w:sz w:val="20"/>
          <w:szCs w:val="20"/>
          <w:color w:val="auto"/>
        </w:rPr>
      </w:pPr>
    </w:p>
    <w:p>
      <w:pPr>
        <w:ind w:right="460" w:firstLine="264"/>
        <w:spacing w:after="0" w:line="264" w:lineRule="auto"/>
        <w:rPr>
          <w:sz w:val="20"/>
          <w:szCs w:val="20"/>
          <w:color w:val="auto"/>
        </w:rPr>
      </w:pPr>
      <w:r>
        <w:rPr>
          <w:rFonts w:ascii="Arial" w:cs="Arial" w:eastAsia="Arial" w:hAnsi="Arial"/>
          <w:sz w:val="18"/>
          <w:szCs w:val="18"/>
          <w:color w:val="auto"/>
        </w:rPr>
        <w:t>Stephen B. Burke, our Executive Vice President and Chief Operating Officer and the President of Comcast Cable and Comcast Cable Communications Holdings, is a member of the board of directors of JPMorgan Chase &amp; Co., an affiliate of J.P. Morgan Securities Inc.</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64" w:lineRule="exact"/>
        <w:rPr>
          <w:sz w:val="20"/>
          <w:szCs w:val="20"/>
          <w:color w:val="auto"/>
        </w:rPr>
      </w:pPr>
    </w:p>
    <w:p>
      <w:pPr>
        <w:ind w:right="80" w:firstLine="261"/>
        <w:spacing w:after="0" w:line="254"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Menlo Park, California. Cahill Gordon &amp; Reindel </w:t>
      </w:r>
      <w:r>
        <w:rPr>
          <w:rFonts w:ascii="Arial" w:cs="Arial" w:eastAsia="Arial" w:hAnsi="Arial"/>
          <w:sz w:val="11"/>
          <w:szCs w:val="11"/>
          <w:color w:val="auto"/>
        </w:rPr>
        <w:t>LLP</w:t>
      </w:r>
      <w:r>
        <w:rPr>
          <w:rFonts w:ascii="Arial" w:cs="Arial" w:eastAsia="Arial" w:hAnsi="Arial"/>
          <w:sz w:val="18"/>
          <w:szCs w:val="18"/>
          <w:color w:val="auto"/>
        </w:rPr>
        <w:t xml:space="preserve"> , New York, New York, is representing the underwriters.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510540</wp:posOffset>
            </wp:positionV>
            <wp:extent cx="7249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81915</wp:posOffset>
            </wp:positionV>
            <wp:extent cx="1402715" cy="361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types of securities that may be offered and sold under this prospectus:</w:t>
      </w:r>
    </w:p>
    <w:p>
      <w:pPr>
        <w:spacing w:after="0" w:line="111" w:lineRule="exact"/>
        <w:rPr>
          <w:sz w:val="20"/>
          <w:szCs w:val="20"/>
          <w:color w:val="auto"/>
        </w:rPr>
      </w:pPr>
    </w:p>
    <w:p>
      <w:pPr>
        <w:ind w:left="820" w:hanging="329"/>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Unsecured senior debt securities</w:t>
      </w:r>
    </w:p>
    <w:p>
      <w:pPr>
        <w:spacing w:after="0" w:line="16" w:lineRule="exact"/>
        <w:rPr>
          <w:rFonts w:ascii="Arial" w:cs="Arial" w:eastAsia="Arial" w:hAnsi="Arial"/>
          <w:sz w:val="18"/>
          <w:szCs w:val="18"/>
          <w:color w:val="auto"/>
        </w:rPr>
      </w:pPr>
    </w:p>
    <w:p>
      <w:pPr>
        <w:ind w:left="820" w:hanging="329"/>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Unsecured subordinated debt securities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Units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Class A Common Stock</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Class A Special Common Stock</w:t>
      </w:r>
    </w:p>
    <w:p>
      <w:pPr>
        <w:spacing w:after="0" w:line="99"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74" w:lineRule="exact"/>
        <w:rPr>
          <w:sz w:val="20"/>
          <w:szCs w:val="20"/>
          <w:color w:val="auto"/>
        </w:rPr>
      </w:pPr>
    </w:p>
    <w:p>
      <w:pPr>
        <w:ind w:right="140" w:firstLine="441"/>
        <w:spacing w:after="0" w:line="254" w:lineRule="auto"/>
        <w:rPr>
          <w:sz w:val="20"/>
          <w:szCs w:val="20"/>
          <w:color w:val="auto"/>
        </w:rPr>
      </w:pPr>
      <w:r>
        <w:rPr>
          <w:rFonts w:ascii="Arial" w:cs="Arial" w:eastAsia="Arial" w:hAnsi="Arial"/>
          <w:sz w:val="18"/>
          <w:szCs w:val="18"/>
          <w:color w:val="auto"/>
        </w:rPr>
        <w:t>Our Class A Common Stock and Class A Special Common Stock are quoted on The Nasdaq National Market under the ticker symbols “CMCSA” and “CMCSK”. On March 27, 2006, the reported last sale prices on The Nasdaq National Market for our Class A Common Stock and our Class A Special Common Stock were $26.72 and $26.64.</w:t>
      </w:r>
    </w:p>
    <w:p>
      <w:pPr>
        <w:spacing w:after="0" w:line="84" w:lineRule="exact"/>
        <w:rPr>
          <w:sz w:val="20"/>
          <w:szCs w:val="20"/>
          <w:color w:val="auto"/>
        </w:rPr>
      </w:pPr>
    </w:p>
    <w:p>
      <w:pPr>
        <w:ind w:right="400" w:firstLine="438"/>
        <w:spacing w:after="0" w:line="264"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4" w:lineRule="exact"/>
        <w:rPr>
          <w:sz w:val="20"/>
          <w:szCs w:val="20"/>
          <w:color w:val="auto"/>
        </w:rPr>
      </w:pPr>
    </w:p>
    <w:p>
      <w:pPr>
        <w:ind w:left="800" w:hanging="33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Maturity</w:t>
      </w:r>
    </w:p>
    <w:p>
      <w:pPr>
        <w:spacing w:after="0" w:line="16" w:lineRule="exact"/>
        <w:rPr>
          <w:rFonts w:ascii="Arial" w:cs="Arial" w:eastAsia="Arial" w:hAnsi="Arial"/>
          <w:sz w:val="18"/>
          <w:szCs w:val="18"/>
          <w:color w:val="auto"/>
        </w:rPr>
      </w:pPr>
    </w:p>
    <w:p>
      <w:pPr>
        <w:ind w:left="800" w:hanging="33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Sinking fund terms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of payments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Redemption terms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Listing on a securities exchange</w:t>
      </w:r>
    </w:p>
    <w:p>
      <w:pPr>
        <w:spacing w:after="0" w:line="4" w:lineRule="exact"/>
        <w:rPr>
          <w:rFonts w:ascii="Arial" w:cs="Arial" w:eastAsia="Arial" w:hAnsi="Arial"/>
          <w:sz w:val="18"/>
          <w:szCs w:val="18"/>
          <w:color w:val="auto"/>
        </w:rPr>
      </w:pPr>
    </w:p>
    <w:p>
      <w:pPr>
        <w:ind w:left="780" w:hanging="31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payable at maturity</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Conversion or exchange rights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Liquidation amount</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Subsidiary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249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52" w:lineRule="exact"/>
        <w:rPr>
          <w:sz w:val="20"/>
          <w:szCs w:val="20"/>
          <w:color w:val="auto"/>
        </w:rPr>
      </w:pPr>
    </w:p>
    <w:p>
      <w:pPr>
        <w:ind w:firstLine="441"/>
        <w:spacing w:after="0" w:line="271" w:lineRule="auto"/>
        <w:rPr>
          <w:sz w:val="20"/>
          <w:szCs w:val="20"/>
          <w:color w:val="auto"/>
        </w:rPr>
      </w:pPr>
      <w:r>
        <w:rPr>
          <w:rFonts w:ascii="Arial" w:cs="Arial" w:eastAsia="Arial" w:hAnsi="Arial"/>
          <w:sz w:val="18"/>
          <w:szCs w:val="18"/>
          <w:b w:val="1"/>
          <w:bCs w:val="1"/>
          <w:color w:val="auto"/>
        </w:rPr>
        <w:t>Investing in these securities involves certain risks. See “Item 1A — Risk Factors” beginning on page 18 of our annual report on Form 10-K for the year ended December 31, 2005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249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21" w:lineRule="exact"/>
        <w:rPr>
          <w:sz w:val="20"/>
          <w:szCs w:val="20"/>
          <w:color w:val="auto"/>
        </w:rPr>
      </w:pPr>
    </w:p>
    <w:p>
      <w:pPr>
        <w:ind w:right="200" w:firstLine="441"/>
        <w:spacing w:after="0" w:line="271"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249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40" w:lineRule="exact"/>
        <w:rPr>
          <w:sz w:val="20"/>
          <w:szCs w:val="20"/>
          <w:color w:val="auto"/>
        </w:rPr>
      </w:pPr>
    </w:p>
    <w:p>
      <w:pPr>
        <w:ind w:right="20" w:firstLine="438"/>
        <w:spacing w:after="0" w:line="254"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253605" cy="4017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401764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40" w:type="dxa"/>
            <w:vAlign w:val="bottom"/>
            <w:gridSpan w:val="2"/>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0" w:type="dxa"/>
            <w:vAlign w:val="bottom"/>
            <w:vMerge w:val="restart"/>
          </w:tcPr>
          <w:p>
            <w:pPr>
              <w:spacing w:after="0"/>
              <w:rPr>
                <w:sz w:val="23"/>
                <w:szCs w:val="23"/>
                <w:color w:val="auto"/>
              </w:rPr>
            </w:pPr>
          </w:p>
        </w:tc>
        <w:tc>
          <w:tcPr>
            <w:tcW w:w="10580" w:type="dxa"/>
            <w:vAlign w:val="bottom"/>
            <w:gridSpan w:val="13"/>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The Companies</w:t>
              </w:r>
            </w:hyperlink>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8"/>
        </w:trPr>
        <w:tc>
          <w:tcPr>
            <w:tcW w:w="40" w:type="dxa"/>
            <w:vAlign w:val="bottom"/>
            <w:vMerge w:val="continue"/>
          </w:tcPr>
          <w:p>
            <w:pPr>
              <w:spacing w:after="0"/>
              <w:rPr>
                <w:sz w:val="15"/>
                <w:szCs w:val="15"/>
                <w:color w:val="auto"/>
              </w:rPr>
            </w:pPr>
          </w:p>
        </w:tc>
        <w:tc>
          <w:tcPr>
            <w:tcW w:w="10580" w:type="dxa"/>
            <w:vAlign w:val="bottom"/>
            <w:gridSpan w:val="13"/>
            <w:vMerge w:val="continue"/>
          </w:tcPr>
          <w:p>
            <w:pPr>
              <w:spacing w:after="0"/>
              <w:rPr>
                <w:sz w:val="15"/>
                <w:szCs w:val="15"/>
                <w:color w:val="auto"/>
              </w:rPr>
            </w:pPr>
          </w:p>
        </w:tc>
        <w:tc>
          <w:tcPr>
            <w:tcW w:w="800" w:type="dxa"/>
            <w:vAlign w:val="bottom"/>
          </w:tcPr>
          <w:p>
            <w:pPr>
              <w:jc w:val="right"/>
              <w:ind w:right="133"/>
              <w:spacing w:after="0" w:line="178"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40" w:type="dxa"/>
            <w:vAlign w:val="bottom"/>
            <w:tcBorders>
              <w:bottom w:val="single" w:sz="8" w:color="0000EE"/>
            </w:tcBorders>
            <w:gridSpan w:val="9"/>
            <w:shd w:val="clear" w:color="auto" w:fill="CCEEFF"/>
          </w:tcPr>
          <w:p>
            <w:pPr>
              <w:spacing w:after="0" w:line="18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Caution Concerning Forwardlooking Statements</w:t>
              </w:r>
            </w:hyperlink>
          </w:p>
        </w:tc>
        <w:tc>
          <w:tcPr>
            <w:tcW w:w="7140" w:type="dxa"/>
            <w:vAlign w:val="bottom"/>
            <w:tcBorders>
              <w:bottom w:val="single" w:sz="8" w:color="CCEEFF"/>
            </w:tcBorders>
            <w:gridSpan w:val="4"/>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33"/>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120" w:type="dxa"/>
            <w:vAlign w:val="bottom"/>
            <w:tcBorders>
              <w:bottom w:val="single" w:sz="8" w:color="0000EE"/>
            </w:tcBorders>
            <w:gridSpan w:val="3"/>
          </w:tcPr>
          <w:p>
            <w:pPr>
              <w:spacing w:after="0" w:line="172" w:lineRule="exact"/>
              <w:rPr>
                <w:rFonts w:ascii="Arial" w:cs="Arial" w:eastAsia="Arial" w:hAnsi="Arial"/>
                <w:sz w:val="18"/>
                <w:szCs w:val="18"/>
                <w:color w:val="0000EE"/>
                <w:w w:val="81"/>
              </w:rPr>
            </w:pPr>
            <w:hyperlink w:anchor="page22">
              <w:r>
                <w:rPr>
                  <w:rFonts w:ascii="Arial" w:cs="Arial" w:eastAsia="Arial" w:hAnsi="Arial"/>
                  <w:sz w:val="18"/>
                  <w:szCs w:val="18"/>
                  <w:color w:val="0000EE"/>
                  <w:w w:val="81"/>
                </w:rPr>
                <w:t>Use of Proceeds</w:t>
              </w:r>
            </w:hyperlink>
          </w:p>
        </w:tc>
        <w:tc>
          <w:tcPr>
            <w:tcW w:w="9460" w:type="dxa"/>
            <w:vAlign w:val="bottom"/>
            <w:gridSpan w:val="10"/>
          </w:tcPr>
          <w:p>
            <w:pPr>
              <w:spacing w:after="0"/>
              <w:rPr>
                <w:sz w:val="15"/>
                <w:szCs w:val="15"/>
                <w:color w:val="auto"/>
              </w:rPr>
            </w:pPr>
          </w:p>
        </w:tc>
        <w:tc>
          <w:tcPr>
            <w:tcW w:w="800" w:type="dxa"/>
            <w:vAlign w:val="bottom"/>
          </w:tcPr>
          <w:p>
            <w:pPr>
              <w:jc w:val="right"/>
              <w:ind w:right="133"/>
              <w:spacing w:after="0" w:line="17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0580" w:type="dxa"/>
            <w:vAlign w:val="bottom"/>
            <w:gridSpan w:val="13"/>
            <w:shd w:val="clear" w:color="auto" w:fill="CCEEFF"/>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Dividend Policy</w:t>
              </w:r>
            </w:hyperlink>
          </w:p>
        </w:tc>
        <w:tc>
          <w:tcPr>
            <w:tcW w:w="800" w:type="dxa"/>
            <w:vAlign w:val="bottom"/>
            <w:shd w:val="clear" w:color="auto" w:fill="CCEEFF"/>
          </w:tcPr>
          <w:p>
            <w:pPr>
              <w:jc w:val="right"/>
              <w:ind w:right="133"/>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0"/>
        </w:trPr>
        <w:tc>
          <w:tcPr>
            <w:tcW w:w="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5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0580" w:type="dxa"/>
            <w:vAlign w:val="bottom"/>
            <w:gridSpan w:val="13"/>
          </w:tcPr>
          <w:p>
            <w:pPr>
              <w:spacing w:after="0" w:line="172" w:lineRule="exact"/>
              <w:rPr>
                <w:rFonts w:ascii="Arial" w:cs="Arial" w:eastAsia="Arial" w:hAnsi="Arial"/>
                <w:sz w:val="18"/>
                <w:szCs w:val="18"/>
                <w:color w:val="0000EE"/>
              </w:rPr>
            </w:pPr>
            <w:hyperlink w:anchor="page7">
              <w:r>
                <w:rPr>
                  <w:rFonts w:ascii="Arial" w:cs="Arial" w:eastAsia="Arial" w:hAnsi="Arial"/>
                  <w:sz w:val="18"/>
                  <w:szCs w:val="18"/>
                  <w:color w:val="0000EE"/>
                </w:rPr>
                <w:t>Ratios of Earnings to Fixed Charges</w:t>
              </w:r>
            </w:hyperlink>
          </w:p>
        </w:tc>
        <w:tc>
          <w:tcPr>
            <w:tcW w:w="800" w:type="dxa"/>
            <w:vAlign w:val="bottom"/>
          </w:tcPr>
          <w:p>
            <w:pPr>
              <w:jc w:val="right"/>
              <w:ind w:right="133"/>
              <w:spacing w:after="0" w:line="17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10580" w:type="dxa"/>
            <w:vAlign w:val="bottom"/>
            <w:gridSpan w:val="13"/>
            <w:shd w:val="clear" w:color="auto" w:fill="CCEEFF"/>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Ratio of Earnings to Combined Fixed Charges and Preferred Dividends</w:t>
              </w:r>
            </w:hyperlink>
          </w:p>
        </w:tc>
        <w:tc>
          <w:tcPr>
            <w:tcW w:w="800" w:type="dxa"/>
            <w:vAlign w:val="bottom"/>
            <w:shd w:val="clear" w:color="auto" w:fill="CCEEFF"/>
          </w:tcPr>
          <w:p>
            <w:pPr>
              <w:jc w:val="right"/>
              <w:ind w:right="133"/>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2"/>
        </w:trPr>
        <w:tc>
          <w:tcPr>
            <w:tcW w:w="40" w:type="dxa"/>
            <w:vAlign w:val="bottom"/>
            <w:tcBorders>
              <w:top w:val="single" w:sz="8" w:color="CCEEFF"/>
            </w:tcBorders>
          </w:tcPr>
          <w:p>
            <w:pPr>
              <w:spacing w:after="0"/>
              <w:rPr>
                <w:sz w:val="15"/>
                <w:szCs w:val="15"/>
                <w:color w:val="auto"/>
              </w:rPr>
            </w:pPr>
          </w:p>
        </w:tc>
        <w:tc>
          <w:tcPr>
            <w:tcW w:w="5040" w:type="dxa"/>
            <w:vAlign w:val="bottom"/>
            <w:tcBorders>
              <w:top w:val="single" w:sz="8" w:color="0000EE"/>
            </w:tcBorders>
            <w:gridSpan w:val="12"/>
          </w:tcPr>
          <w:p>
            <w:pPr>
              <w:spacing w:after="0" w:line="172"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Debt Securities and Cable Guarantees</w:t>
              </w:r>
            </w:hyperlink>
          </w:p>
        </w:tc>
        <w:tc>
          <w:tcPr>
            <w:tcW w:w="55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jc w:val="right"/>
              <w:ind w:right="133"/>
              <w:spacing w:after="0" w:line="17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3740" w:type="dxa"/>
            <w:vAlign w:val="bottom"/>
            <w:tcBorders>
              <w:top w:val="single" w:sz="8" w:color="0000EE"/>
            </w:tcBorders>
            <w:gridSpan w:val="11"/>
            <w:shd w:val="clear" w:color="auto" w:fill="CCEEFF"/>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Global Securities</w:t>
              </w:r>
            </w:hyperlink>
          </w:p>
        </w:tc>
        <w:tc>
          <w:tcPr>
            <w:tcW w:w="6840" w:type="dxa"/>
            <w:vAlign w:val="bottom"/>
            <w:gridSpan w:val="2"/>
            <w:shd w:val="clear" w:color="auto" w:fill="CCEEFF"/>
          </w:tcPr>
          <w:p>
            <w:pPr>
              <w:spacing w:after="0"/>
              <w:rPr>
                <w:sz w:val="15"/>
                <w:szCs w:val="15"/>
                <w:color w:val="auto"/>
              </w:rPr>
            </w:pPr>
          </w:p>
        </w:tc>
        <w:tc>
          <w:tcPr>
            <w:tcW w:w="800" w:type="dxa"/>
            <w:vAlign w:val="bottom"/>
            <w:shd w:val="clear" w:color="auto" w:fill="CCEEFF"/>
          </w:tcPr>
          <w:p>
            <w:pPr>
              <w:jc w:val="right"/>
              <w:ind w:right="133"/>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0"/>
        </w:trPr>
        <w:tc>
          <w:tcPr>
            <w:tcW w:w="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5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10580" w:type="dxa"/>
            <w:vAlign w:val="bottom"/>
            <w:gridSpan w:val="13"/>
          </w:tcPr>
          <w:p>
            <w:pPr>
              <w:spacing w:after="0" w:line="172"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Capital Stock</w:t>
              </w:r>
            </w:hyperlink>
          </w:p>
        </w:tc>
        <w:tc>
          <w:tcPr>
            <w:tcW w:w="800" w:type="dxa"/>
            <w:vAlign w:val="bottom"/>
          </w:tcPr>
          <w:p>
            <w:pPr>
              <w:jc w:val="right"/>
              <w:ind w:right="133"/>
              <w:spacing w:after="0" w:line="17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top w:val="single" w:sz="8" w:color="0000EE"/>
              <w:bottom w:val="single" w:sz="8" w:color="0000EE"/>
            </w:tcBorders>
            <w:gridSpan w:val="5"/>
            <w:shd w:val="clear" w:color="auto" w:fill="CCEEFF"/>
          </w:tcPr>
          <w:p>
            <w:pPr>
              <w:spacing w:after="0" w:line="182"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Plan of Distribution</w:t>
              </w:r>
            </w:hyperlink>
          </w:p>
        </w:tc>
        <w:tc>
          <w:tcPr>
            <w:tcW w:w="60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8560" w:type="dxa"/>
            <w:vAlign w:val="bottom"/>
            <w:tcBorders>
              <w:bottom w:val="single" w:sz="8" w:color="CCEEFF"/>
            </w:tcBorders>
            <w:gridSpan w:val="6"/>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33"/>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000" w:type="dxa"/>
            <w:vAlign w:val="bottom"/>
            <w:tcBorders>
              <w:bottom w:val="single" w:sz="8" w:color="0000EE"/>
            </w:tcBorders>
            <w:gridSpan w:val="2"/>
          </w:tcPr>
          <w:p>
            <w:pPr>
              <w:spacing w:after="0" w:line="17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Legal Matters</w:t>
              </w:r>
            </w:hyperlink>
          </w:p>
        </w:tc>
        <w:tc>
          <w:tcPr>
            <w:tcW w:w="9580" w:type="dxa"/>
            <w:vAlign w:val="bottom"/>
            <w:gridSpan w:val="11"/>
          </w:tcPr>
          <w:p>
            <w:pPr>
              <w:spacing w:after="0"/>
              <w:rPr>
                <w:sz w:val="15"/>
                <w:szCs w:val="15"/>
                <w:color w:val="auto"/>
              </w:rPr>
            </w:pPr>
          </w:p>
        </w:tc>
        <w:tc>
          <w:tcPr>
            <w:tcW w:w="800" w:type="dxa"/>
            <w:vAlign w:val="bottom"/>
          </w:tcPr>
          <w:p>
            <w:pPr>
              <w:jc w:val="right"/>
              <w:ind w:right="133"/>
              <w:spacing w:after="0" w:line="17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0580" w:type="dxa"/>
            <w:vAlign w:val="bottom"/>
            <w:gridSpan w:val="13"/>
            <w:shd w:val="clear" w:color="auto" w:fill="CCEEFF"/>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800" w:type="dxa"/>
            <w:vAlign w:val="bottom"/>
            <w:shd w:val="clear" w:color="auto" w:fill="CCEEFF"/>
          </w:tcPr>
          <w:p>
            <w:pPr>
              <w:jc w:val="right"/>
              <w:ind w:right="133"/>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0"/>
        </w:trPr>
        <w:tc>
          <w:tcPr>
            <w:tcW w:w="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5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0580" w:type="dxa"/>
            <w:vAlign w:val="bottom"/>
            <w:gridSpan w:val="13"/>
          </w:tcPr>
          <w:p>
            <w:pPr>
              <w:spacing w:after="0" w:line="172" w:lineRule="exact"/>
              <w:rPr>
                <w:rFonts w:ascii="Arial" w:cs="Arial" w:eastAsia="Arial" w:hAnsi="Arial"/>
                <w:sz w:val="18"/>
                <w:szCs w:val="18"/>
                <w:color w:val="0000EE"/>
              </w:rPr>
            </w:pPr>
            <w:hyperlink w:anchor="page45">
              <w:r>
                <w:rPr>
                  <w:rFonts w:ascii="Arial" w:cs="Arial" w:eastAsia="Arial" w:hAnsi="Arial"/>
                  <w:sz w:val="18"/>
                  <w:szCs w:val="18"/>
                  <w:color w:val="0000EE"/>
                </w:rPr>
                <w:t>Available Information</w:t>
              </w:r>
            </w:hyperlink>
          </w:p>
        </w:tc>
        <w:tc>
          <w:tcPr>
            <w:tcW w:w="800" w:type="dxa"/>
            <w:vAlign w:val="bottom"/>
          </w:tcPr>
          <w:p>
            <w:pPr>
              <w:jc w:val="right"/>
              <w:ind w:right="133"/>
              <w:spacing w:after="0" w:line="17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0580" w:type="dxa"/>
            <w:vAlign w:val="bottom"/>
            <w:gridSpan w:val="13"/>
            <w:shd w:val="clear" w:color="auto" w:fill="CCEEFF"/>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Incorporation of Certain Documents by Reference</w:t>
              </w:r>
            </w:hyperlink>
          </w:p>
        </w:tc>
        <w:tc>
          <w:tcPr>
            <w:tcW w:w="800" w:type="dxa"/>
            <w:vAlign w:val="bottom"/>
            <w:shd w:val="clear" w:color="auto" w:fill="CCEEFF"/>
          </w:tcPr>
          <w:p>
            <w:pPr>
              <w:jc w:val="right"/>
              <w:ind w:right="133"/>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0"/>
        </w:trPr>
        <w:tc>
          <w:tcPr>
            <w:tcW w:w="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5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right="340" w:firstLine="258"/>
        <w:spacing w:after="0" w:line="329" w:lineRule="auto"/>
        <w:rPr>
          <w:sz w:val="20"/>
          <w:szCs w:val="20"/>
          <w:color w:val="auto"/>
        </w:rPr>
      </w:pPr>
      <w:r>
        <w:rPr>
          <w:rFonts w:ascii="Arial" w:cs="Arial" w:eastAsia="Arial" w:hAnsi="Arial"/>
          <w:sz w:val="15"/>
          <w:szCs w:val="15"/>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31" w:lineRule="exact"/>
        <w:rPr>
          <w:sz w:val="20"/>
          <w:szCs w:val="20"/>
          <w:color w:val="auto"/>
        </w:rPr>
      </w:pPr>
    </w:p>
    <w:p>
      <w:pPr>
        <w:ind w:right="520" w:firstLine="261"/>
        <w:spacing w:after="0" w:line="254" w:lineRule="auto"/>
        <w:rPr>
          <w:sz w:val="20"/>
          <w:szCs w:val="20"/>
          <w:color w:val="auto"/>
        </w:rPr>
      </w:pPr>
      <w:r>
        <w:rPr>
          <w:rFonts w:ascii="Arial" w:cs="Arial" w:eastAsia="Arial" w:hAnsi="Arial"/>
          <w:sz w:val="18"/>
          <w:szCs w:val="18"/>
          <w:color w:val="auto"/>
        </w:rPr>
        <w:t>We refer to Comcast Corporation in this prospectus as “Comcast” or “we,” “us,” “our” or comparable terms and to Comcast Holdings Corporation as “Comcast Holdings.” We refer to Comcast Cable Communications, LLC, Comcast Cable Communications Holdings, Inc., Comcast Cable Holdings, LLC, Comcast MO Group, Inc. and Comcast MO of Delaware, LLC collectively as the “Cable Guarantors.”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010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3930" cy="601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THE COMPANIES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180" w:firstLine="261"/>
        <w:spacing w:after="0" w:line="251"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As of December 31, 2005, we served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87" w:lineRule="exact"/>
        <w:rPr>
          <w:sz w:val="20"/>
          <w:szCs w:val="20"/>
          <w:color w:val="auto"/>
        </w:rPr>
      </w:pPr>
    </w:p>
    <w:p>
      <w:pPr>
        <w:ind w:left="180" w:right="140" w:firstLine="261"/>
        <w:spacing w:after="0" w:line="264"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Cable segment develops, manages and operates our broadband cable systems, including video, high-speed Internet and phone services.</w:t>
      </w:r>
    </w:p>
    <w:p>
      <w:pPr>
        <w:spacing w:after="0" w:line="122" w:lineRule="exact"/>
        <w:rPr>
          <w:sz w:val="20"/>
          <w:szCs w:val="20"/>
          <w:color w:val="auto"/>
        </w:rPr>
      </w:pPr>
    </w:p>
    <w:p>
      <w:pPr>
        <w:ind w:left="180" w:right="640" w:firstLine="264"/>
        <w:spacing w:after="0" w:line="264"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w:t>
      </w:r>
    </w:p>
    <w:p>
      <w:pPr>
        <w:spacing w:after="0" w:line="74" w:lineRule="exact"/>
        <w:rPr>
          <w:sz w:val="20"/>
          <w:szCs w:val="20"/>
          <w:color w:val="auto"/>
        </w:rPr>
      </w:pPr>
    </w:p>
    <w:p>
      <w:pPr>
        <w:ind w:left="180" w:right="260" w:firstLine="264"/>
        <w:spacing w:after="0" w:line="264"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74" w:lineRule="exact"/>
        <w:rPr>
          <w:sz w:val="20"/>
          <w:szCs w:val="20"/>
          <w:color w:val="auto"/>
        </w:rPr>
      </w:pPr>
    </w:p>
    <w:p>
      <w:pPr>
        <w:ind w:left="180" w:right="40" w:firstLine="264"/>
        <w:spacing w:after="0" w:line="25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 “Available Information” in the accompanying prospectus.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Guarantors</w:t>
      </w:r>
    </w:p>
    <w:p>
      <w:pPr>
        <w:spacing w:after="0" w:line="117" w:lineRule="exact"/>
        <w:rPr>
          <w:sz w:val="20"/>
          <w:szCs w:val="20"/>
          <w:color w:val="auto"/>
        </w:rPr>
      </w:pPr>
    </w:p>
    <w:p>
      <w:pPr>
        <w:ind w:left="180" w:right="80" w:firstLine="264"/>
        <w:spacing w:after="0" w:line="312" w:lineRule="auto"/>
        <w:rPr>
          <w:sz w:val="20"/>
          <w:szCs w:val="20"/>
          <w:color w:val="auto"/>
        </w:rPr>
      </w:pPr>
      <w:r>
        <w:rPr>
          <w:rFonts w:ascii="Arial" w:cs="Arial" w:eastAsia="Arial" w:hAnsi="Arial"/>
          <w:sz w:val="15"/>
          <w:szCs w:val="15"/>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980" w:right="160" w:hanging="458"/>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980" w:hanging="458"/>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11" w:lineRule="exact"/>
        <w:rPr>
          <w:sz w:val="20"/>
          <w:szCs w:val="20"/>
          <w:color w:val="auto"/>
        </w:rPr>
      </w:pPr>
    </w:p>
    <w:p>
      <w:pPr>
        <w:ind w:left="180" w:right="40" w:firstLine="264"/>
        <w:spacing w:after="0" w:line="264"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wholly-owned subsidiary of ours.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11" w:lineRule="exact"/>
        <w:rPr>
          <w:sz w:val="20"/>
          <w:szCs w:val="20"/>
          <w:color w:val="auto"/>
        </w:rPr>
      </w:pPr>
    </w:p>
    <w:p>
      <w:pPr>
        <w:ind w:left="180" w:right="40" w:firstLine="264"/>
        <w:spacing w:after="0" w:line="264"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a wholly-owne subsidiary of ours.</w:t>
      </w: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2936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3930" cy="293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11" w:lineRule="exact"/>
        <w:rPr>
          <w:sz w:val="20"/>
          <w:szCs w:val="20"/>
          <w:color w:val="auto"/>
        </w:rPr>
      </w:pPr>
    </w:p>
    <w:p>
      <w:pPr>
        <w:ind w:left="180" w:firstLine="264"/>
        <w:spacing w:after="0" w:line="264"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11" w:lineRule="exact"/>
        <w:rPr>
          <w:sz w:val="20"/>
          <w:szCs w:val="20"/>
          <w:color w:val="auto"/>
        </w:rPr>
      </w:pPr>
    </w:p>
    <w:p>
      <w:pPr>
        <w:ind w:left="180" w:right="260" w:firstLine="264"/>
        <w:spacing w:after="0" w:line="264"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111" w:lineRule="exact"/>
        <w:rPr>
          <w:sz w:val="20"/>
          <w:szCs w:val="20"/>
          <w:color w:val="auto"/>
        </w:rPr>
      </w:pPr>
    </w:p>
    <w:p>
      <w:pPr>
        <w:ind w:left="180" w:right="80" w:firstLine="264"/>
        <w:spacing w:after="0" w:line="264"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wholly-owned subsidiary of Comcast MO Group.</w:t>
      </w:r>
    </w:p>
    <w:p>
      <w:pPr>
        <w:spacing w:after="0" w:line="200" w:lineRule="exact"/>
        <w:rPr>
          <w:sz w:val="20"/>
          <w:szCs w:val="20"/>
          <w:color w:val="auto"/>
        </w:rPr>
      </w:pPr>
    </w:p>
    <w:p>
      <w:pPr>
        <w:spacing w:after="0" w:line="231" w:lineRule="exact"/>
        <w:rPr>
          <w:sz w:val="20"/>
          <w:szCs w:val="20"/>
          <w:color w:val="auto"/>
        </w:rPr>
      </w:pPr>
    </w:p>
    <w:p>
      <w:pPr>
        <w:ind w:left="180" w:right="40" w:firstLine="264"/>
        <w:spacing w:after="0" w:line="254" w:lineRule="auto"/>
        <w:rPr>
          <w:sz w:val="20"/>
          <w:szCs w:val="20"/>
          <w:color w:val="auto"/>
        </w:rPr>
      </w:pPr>
      <w:r>
        <w:rPr>
          <w:rFonts w:ascii="Arial" w:cs="Arial" w:eastAsia="Arial" w:hAnsi="Arial"/>
          <w:sz w:val="18"/>
          <w:szCs w:val="18"/>
          <w:color w:val="auto"/>
        </w:rPr>
        <w:t>Our principal executive offices are located at 1500 Market Street, Philadelphia, Pennsylvania 19102-2148, and our telephone number is (215) 665-1700. We maintain a website at http://www.comcast.com where general information about us is available. We are not incorporating the contents of the website into this prospectus.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right="3100" w:firstLine="2847"/>
        <w:spacing w:after="0" w:line="371"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1" w:lineRule="exact"/>
        <w:rPr>
          <w:sz w:val="20"/>
          <w:szCs w:val="20"/>
          <w:color w:val="auto"/>
        </w:rPr>
      </w:pPr>
    </w:p>
    <w:p>
      <w:pPr>
        <w:ind w:left="820" w:hanging="470"/>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of the services offered by our cable systems face a wide range of competition that could adversely affect our future results of operations.</w:t>
      </w:r>
    </w:p>
    <w:p>
      <w:pPr>
        <w:spacing w:after="0" w:line="135" w:lineRule="exact"/>
        <w:rPr>
          <w:rFonts w:ascii="Arial" w:cs="Arial" w:eastAsia="Arial" w:hAnsi="Arial"/>
          <w:sz w:val="17"/>
          <w:szCs w:val="17"/>
          <w:color w:val="auto"/>
        </w:rPr>
      </w:pPr>
    </w:p>
    <w:p>
      <w:pPr>
        <w:ind w:left="820" w:hanging="47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change and cause increased costs and restrictions.</w:t>
      </w:r>
    </w:p>
    <w:p>
      <w:pPr>
        <w:spacing w:after="0" w:line="123" w:lineRule="exact"/>
        <w:rPr>
          <w:rFonts w:ascii="Arial" w:cs="Arial" w:eastAsia="Arial" w:hAnsi="Arial"/>
          <w:sz w:val="18"/>
          <w:szCs w:val="18"/>
          <w:color w:val="auto"/>
        </w:rPr>
      </w:pPr>
    </w:p>
    <w:p>
      <w:pPr>
        <w:ind w:left="820" w:right="40" w:hanging="470"/>
        <w:spacing w:after="0" w:line="264"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changing regulatory requirements, which could adversely affect our future results of operations.</w:t>
      </w:r>
    </w:p>
    <w:p>
      <w:pPr>
        <w:spacing w:after="0" w:line="87" w:lineRule="exact"/>
        <w:rPr>
          <w:rFonts w:ascii="Arial" w:cs="Arial" w:eastAsia="Arial" w:hAnsi="Arial"/>
          <w:sz w:val="18"/>
          <w:szCs w:val="18"/>
          <w:color w:val="auto"/>
        </w:rPr>
      </w:pPr>
    </w:p>
    <w:p>
      <w:pPr>
        <w:ind w:left="820" w:right="560" w:hanging="470"/>
        <w:spacing w:after="0" w:line="264"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 including litigation associated with our acquisition of AT&amp;T’s Broadband operations.</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Chairman and CEO has considerable influence over our operations.</w:t>
      </w:r>
    </w:p>
    <w:p>
      <w:pPr>
        <w:spacing w:after="0" w:line="123" w:lineRule="exact"/>
        <w:rPr>
          <w:rFonts w:ascii="Arial" w:cs="Arial" w:eastAsia="Arial" w:hAnsi="Arial"/>
          <w:sz w:val="18"/>
          <w:szCs w:val="18"/>
          <w:color w:val="auto"/>
        </w:rPr>
      </w:pPr>
    </w:p>
    <w:p>
      <w:pPr>
        <w:ind w:left="820" w:hanging="470"/>
        <w:spacing w:after="0" w:line="264"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74" w:lineRule="exact"/>
        <w:rPr>
          <w:sz w:val="20"/>
          <w:szCs w:val="20"/>
          <w:color w:val="auto"/>
        </w:rPr>
      </w:pPr>
    </w:p>
    <w:p>
      <w:pPr>
        <w:ind w:right="40" w:firstLine="264"/>
        <w:spacing w:after="0" w:line="308" w:lineRule="auto"/>
        <w:rPr>
          <w:sz w:val="20"/>
          <w:szCs w:val="20"/>
          <w:color w:val="auto"/>
        </w:rPr>
      </w:pPr>
      <w:r>
        <w:rPr>
          <w:rFonts w:ascii="Arial" w:cs="Arial" w:eastAsia="Arial" w:hAnsi="Arial"/>
          <w:sz w:val="15"/>
          <w:szCs w:val="15"/>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“Item 1A — Risk Factors” in our Annual Report on Form 10-K for the year ended December 31, 2005 incorporated herein by reference. Those factors may cause our actual results to differ materially from any of our forward-looking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jc w:val="both"/>
        <w:ind w:right="440" w:firstLine="261"/>
        <w:spacing w:after="0" w:line="276" w:lineRule="auto"/>
        <w:rPr>
          <w:sz w:val="20"/>
          <w:szCs w:val="20"/>
          <w:color w:val="auto"/>
        </w:rPr>
      </w:pPr>
      <w:r>
        <w:rPr>
          <w:rFonts w:ascii="Arial" w:cs="Arial" w:eastAsia="Arial" w:hAnsi="Arial"/>
          <w:sz w:val="17"/>
          <w:szCs w:val="17"/>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72"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DIVIDEND POLICY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316" w:lineRule="exact"/>
        <w:rPr>
          <w:sz w:val="20"/>
          <w:szCs w:val="20"/>
          <w:color w:val="auto"/>
        </w:rPr>
      </w:pPr>
    </w:p>
    <w:p>
      <w:pPr>
        <w:ind w:left="280" w:right="3840" w:firstLine="3578"/>
        <w:spacing w:after="0" w:line="395" w:lineRule="auto"/>
        <w:rPr>
          <w:sz w:val="20"/>
          <w:szCs w:val="20"/>
          <w:color w:val="auto"/>
        </w:rPr>
      </w:pPr>
      <w:r>
        <w:rPr>
          <w:rFonts w:ascii="Arial" w:cs="Arial" w:eastAsia="Arial" w:hAnsi="Arial"/>
          <w:sz w:val="17"/>
          <w:szCs w:val="17"/>
          <w:b w:val="1"/>
          <w:bCs w:val="1"/>
          <w:color w:val="auto"/>
        </w:rPr>
        <w:t xml:space="preserve">RATIOS OF EARNINGS TO FIXED CHARGES </w:t>
      </w:r>
      <w:r>
        <w:rPr>
          <w:rFonts w:ascii="Arial" w:cs="Arial" w:eastAsia="Arial" w:hAnsi="Arial"/>
          <w:sz w:val="17"/>
          <w:szCs w:val="17"/>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80" w:type="dxa"/>
            <w:vAlign w:val="bottom"/>
            <w:tcBorders>
              <w:top w:val="single" w:sz="8" w:color="auto"/>
            </w:tcBorders>
          </w:tcPr>
          <w:p>
            <w:pPr>
              <w:jc w:val="right"/>
              <w:ind w:right="861"/>
              <w:spacing w:after="0" w:line="152" w:lineRule="exact"/>
              <w:rPr>
                <w:sz w:val="20"/>
                <w:szCs w:val="20"/>
                <w:color w:val="auto"/>
              </w:rPr>
            </w:pPr>
            <w:r>
              <w:rPr>
                <w:rFonts w:ascii="Arial" w:cs="Arial" w:eastAsia="Arial" w:hAnsi="Arial"/>
                <w:sz w:val="14"/>
                <w:szCs w:val="14"/>
                <w:b w:val="1"/>
                <w:bCs w:val="1"/>
                <w:color w:val="auto"/>
              </w:rPr>
              <w:t>2005</w:t>
            </w:r>
          </w:p>
        </w:tc>
        <w:tc>
          <w:tcPr>
            <w:tcW w:w="240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2004</w:t>
            </w:r>
          </w:p>
        </w:tc>
        <w:tc>
          <w:tcPr>
            <w:tcW w:w="2420" w:type="dxa"/>
            <w:vAlign w:val="bottom"/>
            <w:tcBorders>
              <w:top w:val="single" w:sz="8" w:color="auto"/>
            </w:tcBorders>
            <w:gridSpan w:val="2"/>
          </w:tcPr>
          <w:p>
            <w:pPr>
              <w:jc w:val="right"/>
              <w:ind w:right="812"/>
              <w:spacing w:after="0" w:line="152" w:lineRule="exact"/>
              <w:rPr>
                <w:sz w:val="20"/>
                <w:szCs w:val="20"/>
                <w:color w:val="auto"/>
              </w:rPr>
            </w:pPr>
            <w:r>
              <w:rPr>
                <w:rFonts w:ascii="Arial" w:cs="Arial" w:eastAsia="Arial" w:hAnsi="Arial"/>
                <w:sz w:val="14"/>
                <w:szCs w:val="14"/>
                <w:b w:val="1"/>
                <w:bCs w:val="1"/>
                <w:color w:val="auto"/>
              </w:rPr>
              <w:t>2003</w:t>
            </w:r>
          </w:p>
        </w:tc>
        <w:tc>
          <w:tcPr>
            <w:tcW w:w="238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2002</w:t>
            </w:r>
          </w:p>
        </w:tc>
        <w:tc>
          <w:tcPr>
            <w:tcW w:w="2040" w:type="dxa"/>
            <w:vAlign w:val="bottom"/>
            <w:tcBorders>
              <w:top w:val="single" w:sz="8" w:color="auto"/>
            </w:tcBorders>
            <w:gridSpan w:val="2"/>
          </w:tcPr>
          <w:p>
            <w:pPr>
              <w:jc w:val="right"/>
              <w:ind w:right="612"/>
              <w:spacing w:after="0" w:line="152" w:lineRule="exact"/>
              <w:rPr>
                <w:sz w:val="20"/>
                <w:szCs w:val="20"/>
                <w:color w:val="auto"/>
              </w:rPr>
            </w:pPr>
            <w:r>
              <w:rPr>
                <w:rFonts w:ascii="Arial" w:cs="Arial" w:eastAsia="Arial" w:hAnsi="Arial"/>
                <w:sz w:val="14"/>
                <w:szCs w:val="14"/>
                <w:b w:val="1"/>
                <w:bCs w:val="1"/>
                <w:color w:val="auto"/>
              </w:rPr>
              <w:t>2001</w:t>
            </w:r>
          </w:p>
        </w:tc>
      </w:tr>
      <w:tr>
        <w:trPr>
          <w:trHeight w:val="217"/>
        </w:trPr>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2.01x</w:t>
            </w:r>
          </w:p>
        </w:tc>
        <w:tc>
          <w:tcPr>
            <w:tcW w:w="34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1.97x</w:t>
            </w:r>
          </w:p>
        </w:tc>
        <w:tc>
          <w:tcPr>
            <w:tcW w:w="34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4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4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22510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For the years ended December 31, 2003 and 2002, we had a $76 million and $490 million deficiency, respectively, of earnings to fixed charges.</w:t>
      </w:r>
    </w:p>
    <w:p>
      <w:pPr>
        <w:spacing w:after="0" w:line="111" w:lineRule="exact"/>
        <w:rPr>
          <w:sz w:val="20"/>
          <w:szCs w:val="20"/>
          <w:color w:val="auto"/>
        </w:rPr>
      </w:pPr>
    </w:p>
    <w:p>
      <w:pPr>
        <w:ind w:right="320" w:firstLine="264"/>
        <w:spacing w:after="0" w:line="364"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240"/>
        <w:spacing w:after="0" w:line="299" w:lineRule="auto"/>
        <w:rPr>
          <w:sz w:val="20"/>
          <w:szCs w:val="20"/>
          <w:color w:val="auto"/>
        </w:rPr>
      </w:pPr>
      <w:r>
        <w:rPr>
          <w:rFonts w:ascii="Arial" w:cs="Arial" w:eastAsia="Arial" w:hAnsi="Arial"/>
          <w:sz w:val="15"/>
          <w:szCs w:val="15"/>
          <w:color w:val="auto"/>
        </w:rPr>
        <w:t>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2" w:lineRule="exact"/>
        <w:rPr>
          <w:sz w:val="20"/>
          <w:szCs w:val="20"/>
          <w:color w:val="auto"/>
        </w:rPr>
      </w:pPr>
    </w:p>
    <w:p>
      <w:pPr>
        <w:ind w:firstLine="6"/>
        <w:spacing w:after="0" w:line="248" w:lineRule="auto"/>
        <w:tabs>
          <w:tab w:leader="none" w:pos="2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DIVIDENDS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80" w:type="dxa"/>
            <w:vAlign w:val="bottom"/>
            <w:tcBorders>
              <w:top w:val="single" w:sz="8" w:color="auto"/>
            </w:tcBorders>
          </w:tcPr>
          <w:p>
            <w:pPr>
              <w:jc w:val="right"/>
              <w:ind w:right="861"/>
              <w:spacing w:after="0" w:line="152" w:lineRule="exact"/>
              <w:rPr>
                <w:sz w:val="20"/>
                <w:szCs w:val="20"/>
                <w:color w:val="auto"/>
              </w:rPr>
            </w:pPr>
            <w:r>
              <w:rPr>
                <w:rFonts w:ascii="Arial" w:cs="Arial" w:eastAsia="Arial" w:hAnsi="Arial"/>
                <w:sz w:val="14"/>
                <w:szCs w:val="14"/>
                <w:b w:val="1"/>
                <w:bCs w:val="1"/>
                <w:color w:val="auto"/>
              </w:rPr>
              <w:t>2005</w:t>
            </w:r>
          </w:p>
        </w:tc>
        <w:tc>
          <w:tcPr>
            <w:tcW w:w="240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2004</w:t>
            </w:r>
          </w:p>
        </w:tc>
        <w:tc>
          <w:tcPr>
            <w:tcW w:w="2420" w:type="dxa"/>
            <w:vAlign w:val="bottom"/>
            <w:tcBorders>
              <w:top w:val="single" w:sz="8" w:color="auto"/>
            </w:tcBorders>
            <w:gridSpan w:val="2"/>
          </w:tcPr>
          <w:p>
            <w:pPr>
              <w:jc w:val="right"/>
              <w:ind w:right="812"/>
              <w:spacing w:after="0" w:line="152" w:lineRule="exact"/>
              <w:rPr>
                <w:sz w:val="20"/>
                <w:szCs w:val="20"/>
                <w:color w:val="auto"/>
              </w:rPr>
            </w:pPr>
            <w:r>
              <w:rPr>
                <w:rFonts w:ascii="Arial" w:cs="Arial" w:eastAsia="Arial" w:hAnsi="Arial"/>
                <w:sz w:val="14"/>
                <w:szCs w:val="14"/>
                <w:b w:val="1"/>
                <w:bCs w:val="1"/>
                <w:color w:val="auto"/>
              </w:rPr>
              <w:t>2003</w:t>
            </w:r>
          </w:p>
        </w:tc>
        <w:tc>
          <w:tcPr>
            <w:tcW w:w="238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2002</w:t>
            </w:r>
          </w:p>
        </w:tc>
        <w:tc>
          <w:tcPr>
            <w:tcW w:w="2040" w:type="dxa"/>
            <w:vAlign w:val="bottom"/>
            <w:tcBorders>
              <w:top w:val="single" w:sz="8" w:color="auto"/>
            </w:tcBorders>
            <w:gridSpan w:val="2"/>
          </w:tcPr>
          <w:p>
            <w:pPr>
              <w:jc w:val="right"/>
              <w:ind w:right="612"/>
              <w:spacing w:after="0" w:line="152" w:lineRule="exact"/>
              <w:rPr>
                <w:sz w:val="20"/>
                <w:szCs w:val="20"/>
                <w:color w:val="auto"/>
              </w:rPr>
            </w:pPr>
            <w:r>
              <w:rPr>
                <w:rFonts w:ascii="Arial" w:cs="Arial" w:eastAsia="Arial" w:hAnsi="Arial"/>
                <w:sz w:val="14"/>
                <w:szCs w:val="14"/>
                <w:b w:val="1"/>
                <w:bCs w:val="1"/>
                <w:color w:val="auto"/>
              </w:rPr>
              <w:t>2001</w:t>
            </w:r>
          </w:p>
        </w:tc>
      </w:tr>
      <w:tr>
        <w:trPr>
          <w:trHeight w:val="217"/>
        </w:trPr>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2.01x</w:t>
            </w:r>
          </w:p>
        </w:tc>
        <w:tc>
          <w:tcPr>
            <w:tcW w:w="34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1.97x</w:t>
            </w:r>
          </w:p>
        </w:tc>
        <w:tc>
          <w:tcPr>
            <w:tcW w:w="34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4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4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22510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67" w:lineRule="exact"/>
        <w:rPr>
          <w:sz w:val="20"/>
          <w:szCs w:val="20"/>
          <w:color w:val="auto"/>
        </w:rPr>
      </w:pPr>
    </w:p>
    <w:p>
      <w:pPr>
        <w:ind w:left="340" w:right="260" w:hanging="334"/>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combined fixed charges and preferred dividends.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purposes of calculating the ratio of earnings to combined fixed charges and preferred dividends, earnings is the amount resulting from (1) adding</w:t>
      </w:r>
    </w:p>
    <w:p>
      <w:pPr>
        <w:spacing w:after="0" w:line="51" w:lineRule="exact"/>
        <w:rPr>
          <w:sz w:val="20"/>
          <w:szCs w:val="20"/>
          <w:color w:val="auto"/>
        </w:rPr>
      </w:pPr>
    </w:p>
    <w:p>
      <w:pPr>
        <w:ind w:left="240" w:hanging="234"/>
        <w:spacing w:after="0"/>
        <w:tabs>
          <w:tab w:leader="none" w:pos="2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pretax income from continuing operations before adjustment for minority interests in consolidated subsidiaries or income or loss from equity investees,</w:t>
      </w:r>
    </w:p>
    <w:p>
      <w:pPr>
        <w:spacing w:after="0" w:line="39" w:lineRule="exact"/>
        <w:rPr>
          <w:rFonts w:ascii="Arial" w:cs="Arial" w:eastAsia="Arial" w:hAnsi="Arial"/>
          <w:sz w:val="15"/>
          <w:szCs w:val="15"/>
          <w:color w:val="auto"/>
        </w:rPr>
      </w:pPr>
    </w:p>
    <w:p>
      <w:pPr>
        <w:ind w:right="160" w:firstLine="6"/>
        <w:spacing w:after="0" w:line="294" w:lineRule="auto"/>
        <w:tabs>
          <w:tab w:leader="none" w:pos="25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w:t>
      </w:r>
    </w:p>
    <w:p>
      <w:pPr>
        <w:spacing w:after="0" w:line="1" w:lineRule="exact"/>
        <w:rPr>
          <w:rFonts w:ascii="Arial" w:cs="Arial" w:eastAsia="Arial" w:hAnsi="Arial"/>
          <w:sz w:val="15"/>
          <w:szCs w:val="15"/>
          <w:color w:val="auto"/>
        </w:rPr>
      </w:pPr>
    </w:p>
    <w:p>
      <w:pPr>
        <w:jc w:val="both"/>
        <w:ind w:right="160" w:firstLine="6"/>
        <w:spacing w:after="0" w:line="248" w:lineRule="auto"/>
        <w:tabs>
          <w:tab w:leader="none" w:pos="2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debt securities, consisting of notes, debentures or other evidences of indebtedness, may be issued from time to time in one or more series:</w:t>
      </w:r>
    </w:p>
    <w:p>
      <w:pPr>
        <w:spacing w:after="0" w:line="122" w:lineRule="exact"/>
        <w:rPr>
          <w:sz w:val="20"/>
          <w:szCs w:val="20"/>
          <w:color w:val="auto"/>
        </w:rPr>
      </w:pPr>
    </w:p>
    <w:p>
      <w:pPr>
        <w:ind w:left="820" w:right="160" w:hanging="470"/>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by a supplemental indenture dated March 25, 2003, entered into among us, the cable guarantors and The Bank of New York, as trustee; and</w:t>
      </w:r>
    </w:p>
    <w:p>
      <w:pPr>
        <w:spacing w:after="0" w:line="87" w:lineRule="exact"/>
        <w:rPr>
          <w:rFonts w:ascii="Arial" w:cs="Arial" w:eastAsia="Arial" w:hAnsi="Arial"/>
          <w:sz w:val="18"/>
          <w:szCs w:val="18"/>
          <w:color w:val="auto"/>
        </w:rPr>
      </w:pPr>
    </w:p>
    <w:p>
      <w:pPr>
        <w:ind w:left="820" w:right="280" w:hanging="470"/>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74"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74" w:lineRule="exact"/>
        <w:rPr>
          <w:sz w:val="20"/>
          <w:szCs w:val="20"/>
          <w:color w:val="auto"/>
        </w:rPr>
      </w:pPr>
    </w:p>
    <w:p>
      <w:pPr>
        <w:ind w:right="280" w:firstLine="264"/>
        <w:spacing w:after="0" w:line="251"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Common Stock,” the terms “we,” “us” and “our” refer solely to Comcast Corporation and such references do not include any subsidiaries of Comcast Corporation.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40" w:firstLine="261"/>
        <w:spacing w:after="0" w:line="268" w:lineRule="auto"/>
        <w:rPr>
          <w:sz w:val="20"/>
          <w:szCs w:val="20"/>
          <w:color w:val="auto"/>
        </w:rPr>
      </w:pPr>
      <w:r>
        <w:rPr>
          <w:rFonts w:ascii="Arial" w:cs="Arial" w:eastAsia="Arial" w:hAnsi="Arial"/>
          <w:sz w:val="17"/>
          <w:szCs w:val="17"/>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73" w:lineRule="exact"/>
        <w:rPr>
          <w:sz w:val="20"/>
          <w:szCs w:val="20"/>
          <w:color w:val="auto"/>
        </w:rPr>
      </w:pPr>
    </w:p>
    <w:p>
      <w:pPr>
        <w:ind w:firstLine="261"/>
        <w:spacing w:after="0" w:line="306" w:lineRule="auto"/>
        <w:rPr>
          <w:sz w:val="20"/>
          <w:szCs w:val="20"/>
          <w:color w:val="auto"/>
        </w:rPr>
      </w:pPr>
      <w:r>
        <w:rPr>
          <w:rFonts w:ascii="Arial" w:cs="Arial" w:eastAsia="Arial" w:hAnsi="Arial"/>
          <w:sz w:val="15"/>
          <w:szCs w:val="15"/>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11" w:lineRule="exact"/>
        <w:rPr>
          <w:sz w:val="20"/>
          <w:szCs w:val="20"/>
          <w:color w:val="auto"/>
        </w:rPr>
      </w:pPr>
    </w:p>
    <w:p>
      <w:pPr>
        <w:ind w:left="820" w:hanging="47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580" w:hanging="470"/>
        <w:spacing w:after="0" w:line="25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96"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23" w:lineRule="exact"/>
        <w:rPr>
          <w:rFonts w:ascii="Arial" w:cs="Arial" w:eastAsia="Arial" w:hAnsi="Arial"/>
          <w:sz w:val="18"/>
          <w:szCs w:val="18"/>
          <w:color w:val="auto"/>
        </w:rPr>
      </w:pPr>
    </w:p>
    <w:p>
      <w:pPr>
        <w:ind w:left="820" w:right="700" w:hanging="470"/>
        <w:spacing w:after="0" w:line="26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23" w:lineRule="exact"/>
        <w:rPr>
          <w:rFonts w:ascii="Arial" w:cs="Arial" w:eastAsia="Arial" w:hAnsi="Arial"/>
          <w:sz w:val="18"/>
          <w:szCs w:val="18"/>
          <w:color w:val="auto"/>
        </w:rPr>
      </w:pPr>
    </w:p>
    <w:p>
      <w:pPr>
        <w:ind w:left="820" w:right="160" w:hanging="470"/>
        <w:spacing w:after="0" w:line="26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87" w:lineRule="exact"/>
        <w:rPr>
          <w:rFonts w:ascii="Arial" w:cs="Arial" w:eastAsia="Arial" w:hAnsi="Arial"/>
          <w:sz w:val="18"/>
          <w:szCs w:val="18"/>
          <w:color w:val="auto"/>
        </w:rPr>
      </w:pPr>
    </w:p>
    <w:p>
      <w:pPr>
        <w:ind w:left="820" w:right="180" w:hanging="470"/>
        <w:spacing w:after="0" w:line="26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87" w:lineRule="exact"/>
        <w:rPr>
          <w:rFonts w:ascii="Arial" w:cs="Arial" w:eastAsia="Arial" w:hAnsi="Arial"/>
          <w:sz w:val="18"/>
          <w:szCs w:val="18"/>
          <w:color w:val="auto"/>
        </w:rPr>
      </w:pPr>
    </w:p>
    <w:p>
      <w:pPr>
        <w:ind w:left="820" w:right="340" w:hanging="470"/>
        <w:spacing w:after="0" w:line="26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87" w:lineRule="exact"/>
        <w:rPr>
          <w:rFonts w:ascii="Arial" w:cs="Arial" w:eastAsia="Arial" w:hAnsi="Arial"/>
          <w:sz w:val="18"/>
          <w:szCs w:val="18"/>
          <w:color w:val="auto"/>
        </w:rPr>
      </w:pPr>
    </w:p>
    <w:p>
      <w:pPr>
        <w:ind w:left="820" w:right="80" w:hanging="470"/>
        <w:spacing w:after="0" w:line="26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123" w:lineRule="exact"/>
        <w:rPr>
          <w:rFonts w:ascii="Arial" w:cs="Arial" w:eastAsia="Arial" w:hAnsi="Arial"/>
          <w:sz w:val="18"/>
          <w:szCs w:val="18"/>
          <w:color w:val="auto"/>
        </w:rPr>
      </w:pPr>
    </w:p>
    <w:p>
      <w:pPr>
        <w:ind w:left="820" w:right="20" w:hanging="470"/>
        <w:spacing w:after="0" w:line="26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74" w:lineRule="exact"/>
        <w:rPr>
          <w:sz w:val="20"/>
          <w:szCs w:val="20"/>
          <w:color w:val="auto"/>
        </w:rPr>
      </w:pPr>
    </w:p>
    <w:p>
      <w:pPr>
        <w:ind w:firstLine="258"/>
        <w:spacing w:after="0" w:line="254"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84" w:lineRule="exact"/>
        <w:rPr>
          <w:sz w:val="20"/>
          <w:szCs w:val="20"/>
          <w:color w:val="auto"/>
        </w:rPr>
      </w:pPr>
    </w:p>
    <w:p>
      <w:pPr>
        <w:ind w:right="160" w:firstLine="264"/>
        <w:spacing w:after="0" w:line="251"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87" w:lineRule="exact"/>
        <w:rPr>
          <w:sz w:val="20"/>
          <w:szCs w:val="20"/>
          <w:color w:val="auto"/>
        </w:rPr>
      </w:pPr>
    </w:p>
    <w:p>
      <w:pPr>
        <w:ind w:right="100" w:firstLine="261"/>
        <w:spacing w:after="0" w:line="248"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111" w:lineRule="exact"/>
        <w:rPr>
          <w:sz w:val="20"/>
          <w:szCs w:val="20"/>
          <w:color w:val="auto"/>
        </w:rPr>
      </w:pPr>
    </w:p>
    <w:p>
      <w:pPr>
        <w:ind w:right="140" w:firstLine="264"/>
        <w:spacing w:after="0" w:line="254"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820" w:right="20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1" w:lineRule="exact"/>
        <w:rPr>
          <w:sz w:val="20"/>
          <w:szCs w:val="20"/>
          <w:color w:val="auto"/>
        </w:rPr>
      </w:pPr>
    </w:p>
    <w:p>
      <w:pPr>
        <w:ind w:right="80" w:firstLine="261"/>
        <w:spacing w:after="0" w:line="254"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84" w:lineRule="exact"/>
        <w:rPr>
          <w:sz w:val="20"/>
          <w:szCs w:val="20"/>
          <w:color w:val="auto"/>
        </w:rPr>
      </w:pPr>
    </w:p>
    <w:p>
      <w:pPr>
        <w:ind w:right="280" w:firstLine="261"/>
        <w:spacing w:after="0" w:line="254"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84" w:lineRule="exact"/>
        <w:rPr>
          <w:sz w:val="20"/>
          <w:szCs w:val="20"/>
          <w:color w:val="auto"/>
        </w:rPr>
      </w:pPr>
    </w:p>
    <w:p>
      <w:pPr>
        <w:jc w:val="both"/>
        <w:ind w:right="280" w:firstLine="264"/>
        <w:spacing w:after="0" w:line="251"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87" w:lineRule="exact"/>
        <w:rPr>
          <w:sz w:val="20"/>
          <w:szCs w:val="20"/>
          <w:color w:val="auto"/>
        </w:rPr>
      </w:pPr>
    </w:p>
    <w:p>
      <w:pPr>
        <w:jc w:val="both"/>
        <w:ind w:right="300" w:firstLine="264"/>
        <w:spacing w:after="0" w:line="264"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111" w:lineRule="exact"/>
        <w:rPr>
          <w:sz w:val="20"/>
          <w:szCs w:val="20"/>
          <w:color w:val="auto"/>
        </w:rPr>
      </w:pPr>
    </w:p>
    <w:p>
      <w:pPr>
        <w:ind w:left="820" w:hanging="47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123" w:lineRule="exact"/>
        <w:rPr>
          <w:rFonts w:ascii="Arial" w:cs="Arial" w:eastAsia="Arial" w:hAnsi="Arial"/>
          <w:sz w:val="18"/>
          <w:szCs w:val="18"/>
          <w:color w:val="auto"/>
        </w:rPr>
      </w:pPr>
    </w:p>
    <w:p>
      <w:pPr>
        <w:ind w:left="820" w:hanging="470"/>
        <w:spacing w:after="0" w:line="25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84" w:lineRule="exact"/>
        <w:rPr>
          <w:sz w:val="20"/>
          <w:szCs w:val="20"/>
          <w:color w:val="auto"/>
        </w:rPr>
      </w:pPr>
    </w:p>
    <w:p>
      <w:pPr>
        <w:ind w:left="1040" w:hanging="452"/>
        <w:spacing w:after="0" w:line="232" w:lineRule="auto"/>
        <w:tabs>
          <w:tab w:leader="none" w:pos="1040" w:val="left"/>
        </w:tabs>
        <w:numPr>
          <w:ilvl w:val="0"/>
          <w:numId w:val="24"/>
        </w:numPr>
        <w:rPr>
          <w:rFonts w:ascii="Arial" w:cs="Arial" w:eastAsia="Arial" w:hAnsi="Arial"/>
          <w:sz w:val="21"/>
          <w:szCs w:val="21"/>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108" w:lineRule="exact"/>
        <w:rPr>
          <w:rFonts w:ascii="Arial" w:cs="Arial" w:eastAsia="Arial" w:hAnsi="Arial"/>
          <w:sz w:val="21"/>
          <w:szCs w:val="21"/>
          <w:color w:val="auto"/>
        </w:rPr>
      </w:pPr>
    </w:p>
    <w:p>
      <w:pPr>
        <w:ind w:left="1040" w:right="440" w:hanging="452"/>
        <w:spacing w:after="0" w:line="232" w:lineRule="auto"/>
        <w:tabs>
          <w:tab w:leader="none" w:pos="1040" w:val="left"/>
        </w:tabs>
        <w:numPr>
          <w:ilvl w:val="0"/>
          <w:numId w:val="24"/>
        </w:numPr>
        <w:rPr>
          <w:rFonts w:ascii="Arial" w:cs="Arial" w:eastAsia="Arial" w:hAnsi="Arial"/>
          <w:sz w:val="21"/>
          <w:szCs w:val="21"/>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firstLine="261"/>
        <w:spacing w:after="0" w:line="264"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68" w:lineRule="exact"/>
        <w:rPr>
          <w:sz w:val="20"/>
          <w:szCs w:val="20"/>
          <w:color w:val="auto"/>
        </w:rPr>
      </w:pPr>
    </w:p>
    <w:p>
      <w:pPr>
        <w:ind w:right="40" w:firstLine="264"/>
        <w:spacing w:after="0" w:line="258" w:lineRule="auto"/>
        <w:rPr>
          <w:sz w:val="20"/>
          <w:szCs w:val="20"/>
          <w:color w:val="auto"/>
        </w:rPr>
      </w:pPr>
      <w:r>
        <w:rPr>
          <w:rFonts w:ascii="Arial" w:cs="Arial" w:eastAsia="Arial" w:hAnsi="Arial"/>
          <w:sz w:val="18"/>
          <w:szCs w:val="18"/>
          <w:b w:val="1"/>
          <w:bCs w:val="1"/>
          <w:color w:val="auto"/>
        </w:rPr>
        <w:t xml:space="preserve">“Capitalized Lease” </w:t>
      </w:r>
      <w:r>
        <w:rPr>
          <w:rFonts w:ascii="Arial" w:cs="Arial" w:eastAsia="Arial" w:hAnsi="Arial"/>
          <w:sz w:val="18"/>
          <w:szCs w:val="18"/>
          <w:color w:val="auto"/>
        </w:rPr>
        <w:t>means, as applied to any person, any lease of any property (whether real, personal, or mixed) of which the discounted present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73" w:lineRule="exact"/>
        <w:rPr>
          <w:sz w:val="20"/>
          <w:szCs w:val="20"/>
          <w:color w:val="auto"/>
        </w:rPr>
      </w:pPr>
    </w:p>
    <w:p>
      <w:pPr>
        <w:ind w:firstLine="264"/>
        <w:spacing w:after="0" w:line="258"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means, with respect to any person, any and all shares, interests, participations, or other equivalents (however designated, whether voting or</w:t>
      </w:r>
      <w:r>
        <w:rPr>
          <w:rFonts w:ascii="Arial" w:cs="Arial" w:eastAsia="Arial" w:hAnsi="Arial"/>
          <w:sz w:val="18"/>
          <w:szCs w:val="18"/>
          <w:b w:val="1"/>
          <w:bCs w:val="1"/>
          <w:color w:val="auto"/>
        </w:rPr>
        <w:t xml:space="preserve"> </w:t>
      </w:r>
      <w:r>
        <w:rPr>
          <w:rFonts w:ascii="Arial" w:cs="Arial" w:eastAsia="Arial" w:hAnsi="Arial"/>
          <w:sz w:val="18"/>
          <w:szCs w:val="18"/>
          <w:color w:val="auto"/>
        </w:rPr>
        <w:t>nonvoting) of such person’s capital stock or other ownership interests, whether outstanding as of, or issued after, the date of the senior indenture, including, without limitation, all common stock and preferred stock.</w:t>
      </w:r>
    </w:p>
    <w:p>
      <w:pPr>
        <w:spacing w:after="0" w:line="73" w:lineRule="exact"/>
        <w:rPr>
          <w:sz w:val="20"/>
          <w:szCs w:val="20"/>
          <w:color w:val="auto"/>
        </w:rPr>
      </w:pPr>
    </w:p>
    <w:p>
      <w:pPr>
        <w:ind w:right="260" w:firstLine="264"/>
        <w:spacing w:after="0" w:line="271"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or other similar agreement or arrangement designed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fluctuation in currency values.</w:t>
      </w:r>
    </w:p>
    <w:p>
      <w:pPr>
        <w:spacing w:after="0" w:line="62" w:lineRule="exact"/>
        <w:rPr>
          <w:sz w:val="20"/>
          <w:szCs w:val="20"/>
          <w:color w:val="auto"/>
        </w:rPr>
      </w:pPr>
    </w:p>
    <w:p>
      <w:pPr>
        <w:ind w:right="20" w:firstLine="264"/>
        <w:spacing w:after="0" w:line="251"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generally accepted accounting principles in the United States of America as in effect as of the date of determination,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82" w:lineRule="exact"/>
        <w:rPr>
          <w:sz w:val="20"/>
          <w:szCs w:val="20"/>
          <w:color w:val="auto"/>
        </w:rPr>
      </w:pPr>
    </w:p>
    <w:p>
      <w:pPr>
        <w:ind w:right="160" w:firstLine="264"/>
        <w:spacing w:after="0" w:line="372" w:lineRule="auto"/>
        <w:rPr>
          <w:sz w:val="20"/>
          <w:szCs w:val="20"/>
          <w:color w:val="auto"/>
        </w:rPr>
      </w:pPr>
      <w:r>
        <w:rPr>
          <w:rFonts w:ascii="Arial" w:cs="Arial" w:eastAsia="Arial" w:hAnsi="Arial"/>
          <w:sz w:val="15"/>
          <w:szCs w:val="15"/>
          <w:b w:val="1"/>
          <w:bCs w:val="1"/>
          <w:color w:val="auto"/>
        </w:rPr>
        <w:t xml:space="preserve">“Guarantee” </w:t>
      </w:r>
      <w:r>
        <w:rPr>
          <w:rFonts w:ascii="Arial" w:cs="Arial" w:eastAsia="Arial" w:hAnsi="Arial"/>
          <w:sz w:val="15"/>
          <w:szCs w:val="15"/>
          <w:color w:val="auto"/>
        </w:rPr>
        <w:t>means any obligation, contingent or otherwise, of any person directly or indirectly guaranteeing any Indebtedness or other obligation of any</w:t>
      </w:r>
      <w:r>
        <w:rPr>
          <w:rFonts w:ascii="Arial" w:cs="Arial" w:eastAsia="Arial" w:hAnsi="Arial"/>
          <w:sz w:val="15"/>
          <w:szCs w:val="15"/>
          <w:b w:val="1"/>
          <w:bCs w:val="1"/>
          <w:color w:val="auto"/>
        </w:rPr>
        <w:t xml:space="preserve"> </w:t>
      </w:r>
      <w:r>
        <w:rPr>
          <w:rFonts w:ascii="Arial" w:cs="Arial" w:eastAsia="Arial" w:hAnsi="Arial"/>
          <w:sz w:val="15"/>
          <w:szCs w:val="15"/>
          <w:color w:val="auto"/>
        </w:rPr>
        <w:t>other person and, without limiting the generality of the foregoing, any obligation, direct or indirect, contingent or otherwise, of such person:</w:t>
      </w:r>
    </w:p>
    <w:p>
      <w:pPr>
        <w:ind w:left="820" w:right="80" w:hanging="470"/>
        <w:spacing w:after="0" w:line="254"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96" w:lineRule="exact"/>
        <w:rPr>
          <w:rFonts w:ascii="Arial" w:cs="Arial" w:eastAsia="Arial" w:hAnsi="Arial"/>
          <w:sz w:val="18"/>
          <w:szCs w:val="18"/>
          <w:color w:val="auto"/>
        </w:rPr>
      </w:pPr>
    </w:p>
    <w:p>
      <w:pPr>
        <w:ind w:left="820" w:right="220" w:hanging="470"/>
        <w:spacing w:after="0" w:line="264"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with respect to any person at any date of determination (without duplication):</w:t>
      </w:r>
    </w:p>
    <w:p>
      <w:pPr>
        <w:spacing w:after="0" w:line="117" w:lineRule="exact"/>
        <w:rPr>
          <w:sz w:val="20"/>
          <w:szCs w:val="20"/>
          <w:color w:val="auto"/>
        </w:rPr>
      </w:pPr>
    </w:p>
    <w:p>
      <w:pPr>
        <w:ind w:left="820" w:hanging="47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all obligations of such person in respect of letters of credit or other similar instruments (including reimbursement obligations with respect thereto);</w:t>
      </w:r>
    </w:p>
    <w:p>
      <w:pPr>
        <w:spacing w:after="0" w:line="158" w:lineRule="exact"/>
        <w:rPr>
          <w:rFonts w:ascii="Arial" w:cs="Arial" w:eastAsia="Arial" w:hAnsi="Arial"/>
          <w:sz w:val="15"/>
          <w:szCs w:val="15"/>
          <w:color w:val="auto"/>
        </w:rPr>
      </w:pPr>
    </w:p>
    <w:p>
      <w:pPr>
        <w:ind w:left="820" w:right="40" w:hanging="470"/>
        <w:spacing w:after="0" w:line="264"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560" w:hanging="470"/>
        <w:spacing w:after="0" w:line="264"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5" w:lineRule="exact"/>
        <w:rPr>
          <w:sz w:val="20"/>
          <w:szCs w:val="20"/>
          <w:color w:val="auto"/>
        </w:rPr>
      </w:pPr>
    </w:p>
    <w:p>
      <w:pPr>
        <w:ind w:left="1040" w:hanging="452"/>
        <w:spacing w:after="0"/>
        <w:tabs>
          <w:tab w:leader="none" w:pos="1040" w:val="left"/>
        </w:tabs>
        <w:numPr>
          <w:ilvl w:val="1"/>
          <w:numId w:val="28"/>
        </w:numPr>
        <w:rPr>
          <w:rFonts w:ascii="Arial" w:cs="Arial" w:eastAsia="Arial" w:hAnsi="Arial"/>
          <w:sz w:val="21"/>
          <w:szCs w:val="21"/>
          <w:color w:val="auto"/>
        </w:rPr>
      </w:pPr>
      <w:r>
        <w:rPr>
          <w:rFonts w:ascii="Arial" w:cs="Arial" w:eastAsia="Arial" w:hAnsi="Arial"/>
          <w:sz w:val="18"/>
          <w:szCs w:val="18"/>
          <w:color w:val="auto"/>
        </w:rPr>
        <w:t>the fair market value of such asset at such date of determination; and</w:t>
      </w:r>
    </w:p>
    <w:p>
      <w:pPr>
        <w:spacing w:after="0" w:line="115" w:lineRule="exact"/>
        <w:rPr>
          <w:rFonts w:ascii="Arial" w:cs="Arial" w:eastAsia="Arial" w:hAnsi="Arial"/>
          <w:sz w:val="21"/>
          <w:szCs w:val="21"/>
          <w:color w:val="auto"/>
        </w:rPr>
      </w:pPr>
    </w:p>
    <w:p>
      <w:pPr>
        <w:ind w:left="1040" w:hanging="452"/>
        <w:spacing w:after="0"/>
        <w:tabs>
          <w:tab w:leader="none" w:pos="1040" w:val="left"/>
        </w:tabs>
        <w:numPr>
          <w:ilvl w:val="1"/>
          <w:numId w:val="28"/>
        </w:numPr>
        <w:rPr>
          <w:rFonts w:ascii="Arial" w:cs="Arial" w:eastAsia="Arial" w:hAnsi="Arial"/>
          <w:sz w:val="21"/>
          <w:szCs w:val="21"/>
          <w:color w:val="auto"/>
        </w:rPr>
      </w:pPr>
      <w:r>
        <w:rPr>
          <w:rFonts w:ascii="Arial" w:cs="Arial" w:eastAsia="Arial" w:hAnsi="Arial"/>
          <w:sz w:val="18"/>
          <w:szCs w:val="18"/>
          <w:color w:val="auto"/>
        </w:rPr>
        <w:t>the amount of such Indebtedness;</w:t>
      </w:r>
    </w:p>
    <w:p>
      <w:pPr>
        <w:spacing w:after="0" w:line="120" w:lineRule="exact"/>
        <w:rPr>
          <w:rFonts w:ascii="Arial" w:cs="Arial" w:eastAsia="Arial" w:hAnsi="Arial"/>
          <w:sz w:val="21"/>
          <w:szCs w:val="21"/>
          <w:color w:val="auto"/>
        </w:rPr>
      </w:pPr>
    </w:p>
    <w:p>
      <w:pPr>
        <w:ind w:left="820" w:hanging="47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11" w:lineRule="exact"/>
        <w:rPr>
          <w:sz w:val="20"/>
          <w:szCs w:val="20"/>
          <w:color w:val="auto"/>
        </w:rPr>
      </w:pPr>
    </w:p>
    <w:p>
      <w:pPr>
        <w:ind w:right="280" w:firstLine="264"/>
        <w:spacing w:after="0" w:line="264"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74" w:lineRule="exact"/>
        <w:rPr>
          <w:sz w:val="20"/>
          <w:szCs w:val="20"/>
          <w:color w:val="auto"/>
        </w:rPr>
      </w:pPr>
    </w:p>
    <w:p>
      <w:pPr>
        <w:ind w:right="160" w:firstLine="261"/>
        <w:spacing w:after="0" w:line="364" w:lineRule="auto"/>
        <w:rPr>
          <w:sz w:val="20"/>
          <w:szCs w:val="20"/>
          <w:color w:val="auto"/>
        </w:rPr>
      </w:pPr>
      <w:r>
        <w:rPr>
          <w:rFonts w:ascii="Arial" w:cs="Arial" w:eastAsia="Arial" w:hAnsi="Arial"/>
          <w:sz w:val="15"/>
          <w:szCs w:val="15"/>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6" w:lineRule="exact"/>
        <w:rPr>
          <w:sz w:val="20"/>
          <w:szCs w:val="20"/>
          <w:color w:val="auto"/>
        </w:rPr>
      </w:pPr>
    </w:p>
    <w:p>
      <w:pPr>
        <w:ind w:left="820" w:right="420" w:hanging="470"/>
        <w:spacing w:after="0" w:line="364" w:lineRule="auto"/>
        <w:tabs>
          <w:tab w:leader="none" w:pos="8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9" w:lineRule="exact"/>
        <w:rPr>
          <w:rFonts w:ascii="Arial" w:cs="Arial" w:eastAsia="Arial" w:hAnsi="Arial"/>
          <w:sz w:val="15"/>
          <w:szCs w:val="15"/>
          <w:color w:val="auto"/>
        </w:rPr>
      </w:pPr>
    </w:p>
    <w:p>
      <w:pPr>
        <w:ind w:left="820" w:hanging="47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05" w:lineRule="exact"/>
        <w:rPr>
          <w:sz w:val="20"/>
          <w:szCs w:val="20"/>
          <w:color w:val="auto"/>
        </w:rPr>
      </w:pPr>
    </w:p>
    <w:p>
      <w:pPr>
        <w:ind w:firstLine="264"/>
        <w:spacing w:after="0" w:line="310" w:lineRule="auto"/>
        <w:rPr>
          <w:sz w:val="20"/>
          <w:szCs w:val="20"/>
          <w:color w:val="auto"/>
        </w:rPr>
      </w:pPr>
      <w:r>
        <w:rPr>
          <w:rFonts w:ascii="Arial" w:cs="Arial" w:eastAsia="Arial" w:hAnsi="Arial"/>
          <w:sz w:val="15"/>
          <w:szCs w:val="15"/>
          <w:b w:val="1"/>
          <w:bCs w:val="1"/>
          <w:color w:val="auto"/>
        </w:rPr>
        <w:t xml:space="preserve">“Interest Rate Agreements” </w:t>
      </w:r>
      <w:r>
        <w:rPr>
          <w:rFonts w:ascii="Arial" w:cs="Arial" w:eastAsia="Arial" w:hAnsi="Arial"/>
          <w:sz w:val="15"/>
          <w:szCs w:val="15"/>
          <w:color w:val="auto"/>
        </w:rPr>
        <w:t>means any obligations of any person pursuant to any interest rate swaps, caps, collars, and similar arrangements providing</w:t>
      </w:r>
      <w:r>
        <w:rPr>
          <w:rFonts w:ascii="Arial" w:cs="Arial" w:eastAsia="Arial" w:hAnsi="Arial"/>
          <w:sz w:val="15"/>
          <w:szCs w:val="15"/>
          <w:b w:val="1"/>
          <w:bCs w:val="1"/>
          <w:color w:val="auto"/>
        </w:rPr>
        <w:t xml:space="preserve"> </w:t>
      </w:r>
      <w:r>
        <w:rPr>
          <w:rFonts w:ascii="Arial" w:cs="Arial" w:eastAsia="Arial" w:hAnsi="Arial"/>
          <w:sz w:val="15"/>
          <w:szCs w:val="15"/>
          <w:color w:val="auto"/>
        </w:rPr>
        <w:t>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39" w:lineRule="exact"/>
        <w:rPr>
          <w:sz w:val="20"/>
          <w:szCs w:val="20"/>
          <w:color w:val="auto"/>
        </w:rPr>
      </w:pPr>
    </w:p>
    <w:p>
      <w:pPr>
        <w:ind w:right="140" w:firstLine="264"/>
        <w:spacing w:after="0" w:line="253"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with respect to any asset, any mortgage, lien, pledge, charge, security interest or encumbrance of any kind, or any other type of preferential</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means:</w:t>
      </w:r>
    </w:p>
    <w:p>
      <w:pPr>
        <w:spacing w:after="0" w:line="117" w:lineRule="exact"/>
        <w:rPr>
          <w:sz w:val="20"/>
          <w:szCs w:val="20"/>
          <w:color w:val="auto"/>
        </w:rPr>
      </w:pPr>
    </w:p>
    <w:p>
      <w:pPr>
        <w:ind w:left="820" w:hanging="47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123" w:lineRule="exact"/>
        <w:rPr>
          <w:rFonts w:ascii="Arial" w:cs="Arial" w:eastAsia="Arial" w:hAnsi="Arial"/>
          <w:sz w:val="18"/>
          <w:szCs w:val="18"/>
          <w:color w:val="auto"/>
        </w:rPr>
      </w:pPr>
    </w:p>
    <w:p>
      <w:pPr>
        <w:ind w:left="820" w:right="120" w:hanging="470"/>
        <w:spacing w:after="0" w:line="250"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99" w:lineRule="exact"/>
        <w:rPr>
          <w:rFonts w:ascii="Arial" w:cs="Arial" w:eastAsia="Arial" w:hAnsi="Arial"/>
          <w:sz w:val="18"/>
          <w:szCs w:val="18"/>
          <w:color w:val="auto"/>
        </w:rPr>
      </w:pPr>
    </w:p>
    <w:p>
      <w:pPr>
        <w:ind w:left="820" w:hanging="47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123" w:lineRule="exact"/>
        <w:rPr>
          <w:rFonts w:ascii="Arial" w:cs="Arial" w:eastAsia="Arial" w:hAnsi="Arial"/>
          <w:sz w:val="18"/>
          <w:szCs w:val="18"/>
          <w:color w:val="auto"/>
        </w:rPr>
      </w:pPr>
    </w:p>
    <w:p>
      <w:pPr>
        <w:ind w:left="820" w:right="40" w:hanging="470"/>
        <w:spacing w:after="0" w:line="264"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100" w:hanging="470"/>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87" w:lineRule="exact"/>
        <w:rPr>
          <w:rFonts w:ascii="Arial" w:cs="Arial" w:eastAsia="Arial" w:hAnsi="Arial"/>
          <w:sz w:val="18"/>
          <w:szCs w:val="18"/>
          <w:color w:val="auto"/>
        </w:rPr>
      </w:pPr>
    </w:p>
    <w:p>
      <w:pPr>
        <w:ind w:left="820" w:right="200" w:hanging="470"/>
        <w:spacing w:after="0" w:line="25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78" w:lineRule="exact"/>
        <w:rPr>
          <w:sz w:val="20"/>
          <w:szCs w:val="20"/>
          <w:color w:val="auto"/>
        </w:rPr>
      </w:pPr>
    </w:p>
    <w:p>
      <w:pPr>
        <w:ind w:right="20" w:firstLine="264"/>
        <w:spacing w:after="0" w:line="253" w:lineRule="auto"/>
        <w:rPr>
          <w:sz w:val="20"/>
          <w:szCs w:val="20"/>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means any direct or indirect arrangement with any person or to which any such person is a party, providing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86" w:lineRule="exact"/>
        <w:rPr>
          <w:sz w:val="20"/>
          <w:szCs w:val="20"/>
          <w:color w:val="auto"/>
        </w:rPr>
      </w:pPr>
    </w:p>
    <w:p>
      <w:pPr>
        <w:ind w:firstLine="264"/>
        <w:spacing w:after="0" w:line="251" w:lineRule="auto"/>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We will file, whether or not required to do so under applicable law, with the trustee, within 15 days after being required to file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87" w:lineRule="exact"/>
        <w:rPr>
          <w:sz w:val="20"/>
          <w:szCs w:val="20"/>
          <w:color w:val="auto"/>
        </w:rPr>
      </w:pPr>
    </w:p>
    <w:p>
      <w:pPr>
        <w:ind w:right="40" w:firstLine="264"/>
        <w:spacing w:after="0" w:line="317" w:lineRule="auto"/>
        <w:rPr>
          <w:sz w:val="20"/>
          <w:szCs w:val="20"/>
          <w:color w:val="auto"/>
        </w:rPr>
      </w:pPr>
      <w:r>
        <w:rPr>
          <w:rFonts w:ascii="Arial" w:cs="Arial" w:eastAsia="Arial" w:hAnsi="Arial"/>
          <w:sz w:val="15"/>
          <w:szCs w:val="15"/>
          <w:i w:val="1"/>
          <w:iCs w:val="1"/>
          <w:color w:val="auto"/>
        </w:rPr>
        <w:t xml:space="preserve">Consolidation, Merger and Sale of Assets. </w:t>
      </w:r>
      <w:r>
        <w:rPr>
          <w:rFonts w:ascii="Arial" w:cs="Arial" w:eastAsia="Arial" w:hAnsi="Arial"/>
          <w:sz w:val="15"/>
          <w:szCs w:val="15"/>
          <w:color w:val="auto"/>
        </w:rPr>
        <w:t>The senior indenture restricts our ability to consolidate with, merge with or into, or sell, convey, transfer, lease,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dispose of all or substantially all of our property and assets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unless:</w:t>
      </w:r>
    </w:p>
    <w:p>
      <w:pPr>
        <w:spacing w:after="0" w:line="41" w:lineRule="exact"/>
        <w:rPr>
          <w:sz w:val="20"/>
          <w:szCs w:val="20"/>
          <w:color w:val="auto"/>
        </w:rPr>
      </w:pPr>
    </w:p>
    <w:p>
      <w:pPr>
        <w:ind w:left="820" w:right="80" w:hanging="470"/>
        <w:spacing w:after="0" w:line="251"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99" w:lineRule="exact"/>
        <w:rPr>
          <w:rFonts w:ascii="Arial" w:cs="Arial" w:eastAsia="Arial" w:hAnsi="Arial"/>
          <w:sz w:val="18"/>
          <w:szCs w:val="18"/>
          <w:color w:val="auto"/>
        </w:rPr>
      </w:pPr>
    </w:p>
    <w:p>
      <w:pPr>
        <w:ind w:left="820" w:hanging="47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23" w:lineRule="exact"/>
        <w:rPr>
          <w:rFonts w:ascii="Arial" w:cs="Arial" w:eastAsia="Arial" w:hAnsi="Arial"/>
          <w:sz w:val="18"/>
          <w:szCs w:val="18"/>
          <w:color w:val="auto"/>
        </w:rPr>
      </w:pPr>
    </w:p>
    <w:p>
      <w:pPr>
        <w:ind w:left="820" w:right="160" w:hanging="470"/>
        <w:spacing w:after="0" w:line="25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8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84" w:lineRule="exact"/>
        <w:rPr>
          <w:sz w:val="20"/>
          <w:szCs w:val="20"/>
          <w:color w:val="auto"/>
        </w:rPr>
      </w:pPr>
    </w:p>
    <w:p>
      <w:pPr>
        <w:ind w:right="140" w:firstLine="264"/>
        <w:spacing w:after="0" w:line="264"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74" w:lineRule="exact"/>
        <w:rPr>
          <w:sz w:val="20"/>
          <w:szCs w:val="20"/>
          <w:color w:val="auto"/>
        </w:rPr>
      </w:pPr>
    </w:p>
    <w:p>
      <w:pPr>
        <w:ind w:right="20" w:firstLine="261"/>
        <w:spacing w:after="0" w:line="329" w:lineRule="auto"/>
        <w:rPr>
          <w:sz w:val="20"/>
          <w:szCs w:val="20"/>
          <w:color w:val="auto"/>
        </w:rPr>
      </w:pPr>
      <w:r>
        <w:rPr>
          <w:rFonts w:ascii="Arial" w:cs="Arial" w:eastAsia="Arial" w:hAnsi="Arial"/>
          <w:sz w:val="15"/>
          <w:szCs w:val="15"/>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1" w:lineRule="exact"/>
        <w:rPr>
          <w:sz w:val="20"/>
          <w:szCs w:val="20"/>
          <w:color w:val="auto"/>
        </w:rPr>
      </w:pPr>
    </w:p>
    <w:p>
      <w:pPr>
        <w:ind w:right="40" w:firstLine="264"/>
        <w:spacing w:after="0" w:line="264" w:lineRule="auto"/>
        <w:rPr>
          <w:sz w:val="20"/>
          <w:szCs w:val="20"/>
          <w:color w:val="auto"/>
        </w:rPr>
      </w:pPr>
      <w:r>
        <w:rPr>
          <w:rFonts w:ascii="Arial" w:cs="Arial" w:eastAsia="Arial" w:hAnsi="Arial"/>
          <w:sz w:val="18"/>
          <w:szCs w:val="18"/>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11" w:lineRule="exact"/>
        <w:rPr>
          <w:sz w:val="20"/>
          <w:szCs w:val="20"/>
          <w:color w:val="auto"/>
        </w:rPr>
      </w:pPr>
    </w:p>
    <w:p>
      <w:pPr>
        <w:ind w:right="440" w:firstLine="270"/>
        <w:spacing w:after="0" w:line="264" w:lineRule="auto"/>
        <w:tabs>
          <w:tab w:leader="none" w:pos="5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73" w:lineRule="exact"/>
        <w:rPr>
          <w:rFonts w:ascii="Arial" w:cs="Arial" w:eastAsia="Arial" w:hAnsi="Arial"/>
          <w:sz w:val="18"/>
          <w:szCs w:val="18"/>
          <w:color w:val="auto"/>
        </w:rPr>
      </w:pPr>
    </w:p>
    <w:p>
      <w:pPr>
        <w:ind w:right="320" w:firstLine="270"/>
        <w:spacing w:after="0" w:line="264" w:lineRule="auto"/>
        <w:tabs>
          <w:tab w:leader="none" w:pos="5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73" w:lineRule="exact"/>
        <w:rPr>
          <w:rFonts w:ascii="Arial" w:cs="Arial" w:eastAsia="Arial" w:hAnsi="Arial"/>
          <w:sz w:val="18"/>
          <w:szCs w:val="18"/>
          <w:color w:val="auto"/>
        </w:rPr>
      </w:pPr>
    </w:p>
    <w:p>
      <w:pPr>
        <w:ind w:right="20" w:firstLine="270"/>
        <w:spacing w:after="0" w:line="276" w:lineRule="auto"/>
        <w:tabs>
          <w:tab w:leader="none" w:pos="514"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66" w:lineRule="exact"/>
        <w:rPr>
          <w:rFonts w:ascii="Arial" w:cs="Arial" w:eastAsia="Arial" w:hAnsi="Arial"/>
          <w:sz w:val="17"/>
          <w:szCs w:val="17"/>
          <w:color w:val="auto"/>
        </w:rPr>
      </w:pPr>
    </w:p>
    <w:p>
      <w:pPr>
        <w:ind w:left="520" w:hanging="25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10" w:lineRule="exact"/>
        <w:rPr>
          <w:rFonts w:ascii="Arial" w:cs="Arial" w:eastAsia="Arial" w:hAnsi="Arial"/>
          <w:sz w:val="18"/>
          <w:szCs w:val="18"/>
          <w:color w:val="auto"/>
        </w:rPr>
      </w:pPr>
    </w:p>
    <w:p>
      <w:pPr>
        <w:ind w:left="520" w:hanging="25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10" w:lineRule="exact"/>
        <w:rPr>
          <w:rFonts w:ascii="Arial" w:cs="Arial" w:eastAsia="Arial" w:hAnsi="Arial"/>
          <w:sz w:val="18"/>
          <w:szCs w:val="18"/>
          <w:color w:val="auto"/>
        </w:rPr>
      </w:pPr>
    </w:p>
    <w:p>
      <w:pPr>
        <w:ind w:left="1160" w:right="420" w:hanging="466"/>
        <w:spacing w:after="0" w:line="264" w:lineRule="auto"/>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relief in respect of any Obligor in an involuntary case under any applicable bankruptcy, insolvency, or other similar law now or hereafter in effect;</w:t>
      </w:r>
    </w:p>
    <w:p>
      <w:pPr>
        <w:spacing w:after="0" w:line="87" w:lineRule="exact"/>
        <w:rPr>
          <w:rFonts w:ascii="Arial" w:cs="Arial" w:eastAsia="Arial" w:hAnsi="Arial"/>
          <w:sz w:val="18"/>
          <w:szCs w:val="18"/>
          <w:color w:val="auto"/>
        </w:rPr>
      </w:pPr>
    </w:p>
    <w:p>
      <w:pPr>
        <w:ind w:left="1160" w:right="260" w:hanging="466"/>
        <w:spacing w:after="0" w:line="264" w:lineRule="auto"/>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87" w:lineRule="exact"/>
        <w:rPr>
          <w:rFonts w:ascii="Arial" w:cs="Arial" w:eastAsia="Arial" w:hAnsi="Arial"/>
          <w:sz w:val="18"/>
          <w:szCs w:val="18"/>
          <w:color w:val="auto"/>
        </w:rPr>
      </w:pPr>
    </w:p>
    <w:p>
      <w:pPr>
        <w:ind w:left="1160" w:right="840" w:hanging="466"/>
        <w:spacing w:after="0" w:line="264" w:lineRule="auto"/>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73" w:lineRule="exact"/>
        <w:rPr>
          <w:rFonts w:ascii="Arial" w:cs="Arial" w:eastAsia="Arial" w:hAnsi="Arial"/>
          <w:sz w:val="18"/>
          <w:szCs w:val="18"/>
          <w:color w:val="auto"/>
        </w:rPr>
      </w:pPr>
    </w:p>
    <w:p>
      <w:pPr>
        <w:ind w:left="520" w:hanging="25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110" w:lineRule="exact"/>
        <w:rPr>
          <w:rFonts w:ascii="Arial" w:cs="Arial" w:eastAsia="Arial" w:hAnsi="Arial"/>
          <w:sz w:val="18"/>
          <w:szCs w:val="18"/>
          <w:color w:val="auto"/>
        </w:rPr>
      </w:pPr>
    </w:p>
    <w:p>
      <w:pPr>
        <w:ind w:left="1160" w:hanging="466"/>
        <w:spacing w:after="0" w:line="264" w:lineRule="auto"/>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87" w:lineRule="exact"/>
        <w:rPr>
          <w:rFonts w:ascii="Arial" w:cs="Arial" w:eastAsia="Arial" w:hAnsi="Arial"/>
          <w:sz w:val="18"/>
          <w:szCs w:val="18"/>
          <w:color w:val="auto"/>
        </w:rPr>
      </w:pPr>
    </w:p>
    <w:p>
      <w:pPr>
        <w:ind w:left="1160" w:right="80" w:hanging="466"/>
        <w:spacing w:after="0" w:line="264" w:lineRule="auto"/>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87" w:lineRule="exact"/>
        <w:rPr>
          <w:rFonts w:ascii="Arial" w:cs="Arial" w:eastAsia="Arial" w:hAnsi="Arial"/>
          <w:sz w:val="18"/>
          <w:szCs w:val="18"/>
          <w:color w:val="auto"/>
        </w:rPr>
      </w:pPr>
    </w:p>
    <w:p>
      <w:pPr>
        <w:ind w:left="1160" w:hanging="466"/>
        <w:spacing w:after="0"/>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11" w:lineRule="exact"/>
        <w:rPr>
          <w:sz w:val="20"/>
          <w:szCs w:val="20"/>
          <w:color w:val="auto"/>
        </w:rPr>
      </w:pPr>
    </w:p>
    <w:p>
      <w:pPr>
        <w:ind w:right="100" w:firstLine="264"/>
        <w:spacing w:after="0" w:line="266" w:lineRule="auto"/>
        <w:rPr>
          <w:sz w:val="20"/>
          <w:szCs w:val="20"/>
          <w:color w:val="auto"/>
        </w:rPr>
      </w:pPr>
      <w:r>
        <w:rPr>
          <w:rFonts w:ascii="Arial" w:cs="Arial" w:eastAsia="Arial" w:hAnsi="Arial"/>
          <w:sz w:val="17"/>
          <w:szCs w:val="17"/>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76" w:lineRule="exact"/>
        <w:rPr>
          <w:sz w:val="20"/>
          <w:szCs w:val="20"/>
          <w:color w:val="auto"/>
        </w:rPr>
      </w:pPr>
    </w:p>
    <w:p>
      <w:pPr>
        <w:ind w:right="200" w:firstLine="264"/>
        <w:spacing w:after="0" w:line="264"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76" w:lineRule="exact"/>
        <w:rPr>
          <w:sz w:val="20"/>
          <w:szCs w:val="20"/>
          <w:color w:val="auto"/>
        </w:rPr>
      </w:pPr>
    </w:p>
    <w:p>
      <w:pPr>
        <w:ind w:right="40" w:firstLine="261"/>
        <w:spacing w:after="0" w:line="308" w:lineRule="auto"/>
        <w:rPr>
          <w:sz w:val="20"/>
          <w:szCs w:val="20"/>
          <w:color w:val="auto"/>
        </w:rPr>
      </w:pPr>
      <w:r>
        <w:rPr>
          <w:rFonts w:ascii="Arial" w:cs="Arial" w:eastAsia="Arial" w:hAnsi="Arial"/>
          <w:sz w:val="15"/>
          <w:szCs w:val="15"/>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48" w:lineRule="exact"/>
        <w:rPr>
          <w:sz w:val="20"/>
          <w:szCs w:val="20"/>
          <w:color w:val="auto"/>
        </w:rPr>
      </w:pPr>
    </w:p>
    <w:p>
      <w:pPr>
        <w:ind w:left="820" w:hanging="47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23" w:lineRule="exact"/>
        <w:rPr>
          <w:rFonts w:ascii="Arial" w:cs="Arial" w:eastAsia="Arial" w:hAnsi="Arial"/>
          <w:sz w:val="18"/>
          <w:szCs w:val="18"/>
          <w:color w:val="auto"/>
        </w:rPr>
      </w:pPr>
    </w:p>
    <w:p>
      <w:pPr>
        <w:ind w:left="820" w:right="300" w:hanging="470"/>
        <w:spacing w:after="0" w:line="264"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11" w:lineRule="exact"/>
        <w:rPr>
          <w:sz w:val="20"/>
          <w:szCs w:val="20"/>
          <w:color w:val="auto"/>
        </w:rPr>
      </w:pPr>
    </w:p>
    <w:p>
      <w:pPr>
        <w:jc w:val="both"/>
        <w:ind w:right="40" w:firstLine="261"/>
        <w:spacing w:after="0" w:line="299" w:lineRule="auto"/>
        <w:rPr>
          <w:sz w:val="20"/>
          <w:szCs w:val="20"/>
          <w:color w:val="auto"/>
        </w:rPr>
      </w:pPr>
      <w:r>
        <w:rPr>
          <w:rFonts w:ascii="Arial" w:cs="Arial" w:eastAsia="Arial" w:hAnsi="Arial"/>
          <w:sz w:val="15"/>
          <w:szCs w:val="15"/>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w:t>
      </w:r>
    </w:p>
    <w:p>
      <w:pPr>
        <w:spacing w:after="0" w:line="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1" w:lineRule="exact"/>
        <w:rPr>
          <w:sz w:val="20"/>
          <w:szCs w:val="20"/>
          <w:color w:val="auto"/>
        </w:rPr>
      </w:pPr>
    </w:p>
    <w:p>
      <w:pPr>
        <w:ind w:right="200" w:firstLine="261"/>
        <w:spacing w:after="0" w:line="264"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74" w:lineRule="exact"/>
        <w:rPr>
          <w:sz w:val="20"/>
          <w:szCs w:val="20"/>
          <w:color w:val="auto"/>
        </w:rPr>
      </w:pPr>
    </w:p>
    <w:p>
      <w:pPr>
        <w:ind w:left="820" w:right="200" w:hanging="470"/>
        <w:spacing w:after="0" w:line="264"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880" w:hanging="470"/>
        <w:spacing w:after="0" w:line="264"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74" w:lineRule="exact"/>
        <w:rPr>
          <w:sz w:val="20"/>
          <w:szCs w:val="20"/>
          <w:color w:val="auto"/>
        </w:rPr>
      </w:pPr>
    </w:p>
    <w:p>
      <w:pPr>
        <w:ind w:left="1040" w:hanging="452"/>
        <w:spacing w:after="0" w:line="257" w:lineRule="auto"/>
        <w:tabs>
          <w:tab w:leader="none" w:pos="1040" w:val="left"/>
        </w:tabs>
        <w:numPr>
          <w:ilvl w:val="0"/>
          <w:numId w:val="37"/>
        </w:numPr>
        <w:rPr>
          <w:rFonts w:ascii="Arial" w:cs="Arial" w:eastAsia="Arial" w:hAnsi="Arial"/>
          <w:sz w:val="20"/>
          <w:szCs w:val="20"/>
          <w:color w:val="auto"/>
        </w:rPr>
      </w:pPr>
      <w:r>
        <w:rPr>
          <w:rFonts w:ascii="Arial" w:cs="Arial" w:eastAsia="Arial" w:hAnsi="Arial"/>
          <w:sz w:val="17"/>
          <w:szCs w:val="17"/>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96" w:lineRule="exact"/>
        <w:rPr>
          <w:rFonts w:ascii="Arial" w:cs="Arial" w:eastAsia="Arial" w:hAnsi="Arial"/>
          <w:sz w:val="20"/>
          <w:szCs w:val="20"/>
          <w:color w:val="auto"/>
        </w:rPr>
      </w:pPr>
    </w:p>
    <w:p>
      <w:pPr>
        <w:jc w:val="both"/>
        <w:ind w:left="1040" w:right="340" w:hanging="452"/>
        <w:spacing w:after="0" w:line="236" w:lineRule="auto"/>
        <w:tabs>
          <w:tab w:leader="none" w:pos="1040" w:val="left"/>
        </w:tabs>
        <w:numPr>
          <w:ilvl w:val="0"/>
          <w:numId w:val="37"/>
        </w:numPr>
        <w:rPr>
          <w:rFonts w:ascii="Arial" w:cs="Arial" w:eastAsia="Arial" w:hAnsi="Arial"/>
          <w:sz w:val="21"/>
          <w:szCs w:val="21"/>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96" w:lineRule="exact"/>
        <w:rPr>
          <w:sz w:val="20"/>
          <w:szCs w:val="20"/>
          <w:color w:val="auto"/>
        </w:rPr>
      </w:pPr>
    </w:p>
    <w:p>
      <w:pPr>
        <w:ind w:right="100" w:firstLine="261"/>
        <w:spacing w:after="0" w:line="264" w:lineRule="auto"/>
        <w:rPr>
          <w:sz w:val="20"/>
          <w:szCs w:val="20"/>
          <w:color w:val="auto"/>
        </w:rPr>
      </w:pPr>
      <w:r>
        <w:rPr>
          <w:rFonts w:ascii="Arial" w:cs="Arial" w:eastAsia="Arial" w:hAnsi="Arial"/>
          <w:sz w:val="17"/>
          <w:szCs w:val="17"/>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111" w:lineRule="exact"/>
        <w:rPr>
          <w:sz w:val="20"/>
          <w:szCs w:val="20"/>
          <w:color w:val="auto"/>
        </w:rPr>
      </w:pPr>
    </w:p>
    <w:p>
      <w:pPr>
        <w:ind w:left="820" w:right="180" w:hanging="470"/>
        <w:spacing w:after="0" w:line="364" w:lineRule="auto"/>
        <w:tabs>
          <w:tab w:leader="none" w:pos="8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19" w:lineRule="exact"/>
        <w:rPr>
          <w:rFonts w:ascii="Arial" w:cs="Arial" w:eastAsia="Arial" w:hAnsi="Arial"/>
          <w:sz w:val="15"/>
          <w:szCs w:val="15"/>
          <w:color w:val="auto"/>
        </w:rPr>
      </w:pPr>
    </w:p>
    <w:p>
      <w:pPr>
        <w:ind w:left="820" w:right="40" w:hanging="470"/>
        <w:spacing w:after="0" w:line="254"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111" w:lineRule="exact"/>
        <w:rPr>
          <w:sz w:val="20"/>
          <w:szCs w:val="20"/>
          <w:color w:val="auto"/>
        </w:rPr>
      </w:pPr>
    </w:p>
    <w:p>
      <w:pPr>
        <w:ind w:left="820" w:hanging="470"/>
        <w:spacing w:after="0" w:line="308" w:lineRule="auto"/>
        <w:tabs>
          <w:tab w:leader="none" w:pos="8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200" w:hanging="470"/>
        <w:spacing w:after="0" w:line="264"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87" w:lineRule="exact"/>
        <w:rPr>
          <w:rFonts w:ascii="Arial" w:cs="Arial" w:eastAsia="Arial" w:hAnsi="Arial"/>
          <w:sz w:val="18"/>
          <w:szCs w:val="18"/>
          <w:color w:val="auto"/>
        </w:rPr>
      </w:pPr>
    </w:p>
    <w:p>
      <w:pPr>
        <w:ind w:left="820" w:right="520" w:hanging="470"/>
        <w:spacing w:after="0" w:line="264"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111" w:lineRule="exact"/>
        <w:rPr>
          <w:sz w:val="20"/>
          <w:szCs w:val="20"/>
          <w:color w:val="auto"/>
        </w:rPr>
      </w:pPr>
    </w:p>
    <w:p>
      <w:pPr>
        <w:ind w:left="1040" w:right="100" w:hanging="452"/>
        <w:spacing w:after="0"/>
        <w:tabs>
          <w:tab w:leader="none" w:pos="1040" w:val="left"/>
        </w:tabs>
        <w:numPr>
          <w:ilvl w:val="1"/>
          <w:numId w:val="41"/>
        </w:numPr>
        <w:rPr>
          <w:rFonts w:ascii="Arial" w:cs="Arial" w:eastAsia="Arial" w:hAnsi="Arial"/>
          <w:sz w:val="21"/>
          <w:szCs w:val="21"/>
          <w:color w:val="auto"/>
        </w:rPr>
      </w:pPr>
      <w:r>
        <w:rPr>
          <w:rFonts w:ascii="Arial" w:cs="Arial" w:eastAsia="Arial" w:hAnsi="Arial"/>
          <w:sz w:val="18"/>
          <w:szCs w:val="18"/>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07" w:lineRule="exact"/>
        <w:rPr>
          <w:rFonts w:ascii="Arial" w:cs="Arial" w:eastAsia="Arial" w:hAnsi="Arial"/>
          <w:sz w:val="21"/>
          <w:szCs w:val="21"/>
          <w:color w:val="auto"/>
        </w:rPr>
      </w:pPr>
    </w:p>
    <w:p>
      <w:pPr>
        <w:ind w:left="1040" w:right="60" w:hanging="452"/>
        <w:spacing w:after="0" w:line="232" w:lineRule="auto"/>
        <w:tabs>
          <w:tab w:leader="none" w:pos="1040" w:val="left"/>
        </w:tabs>
        <w:numPr>
          <w:ilvl w:val="1"/>
          <w:numId w:val="41"/>
        </w:numPr>
        <w:rPr>
          <w:rFonts w:ascii="Arial" w:cs="Arial" w:eastAsia="Arial" w:hAnsi="Arial"/>
          <w:sz w:val="21"/>
          <w:szCs w:val="21"/>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95" w:lineRule="exact"/>
        <w:rPr>
          <w:rFonts w:ascii="Arial" w:cs="Arial" w:eastAsia="Arial" w:hAnsi="Arial"/>
          <w:sz w:val="21"/>
          <w:szCs w:val="21"/>
          <w:color w:val="auto"/>
        </w:rPr>
      </w:pPr>
    </w:p>
    <w:p>
      <w:pPr>
        <w:ind w:left="820" w:hanging="470"/>
        <w:spacing w:after="0" w:line="293" w:lineRule="auto"/>
        <w:tabs>
          <w:tab w:leader="none" w:pos="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52" w:lineRule="exact"/>
        <w:rPr>
          <w:sz w:val="20"/>
          <w:szCs w:val="20"/>
          <w:color w:val="auto"/>
        </w:rPr>
      </w:pPr>
    </w:p>
    <w:p>
      <w:pPr>
        <w:ind w:right="40" w:firstLine="264"/>
        <w:spacing w:after="0" w:line="265" w:lineRule="auto"/>
        <w:rPr>
          <w:sz w:val="20"/>
          <w:szCs w:val="20"/>
          <w:color w:val="auto"/>
        </w:rPr>
      </w:pPr>
      <w:r>
        <w:rPr>
          <w:rFonts w:ascii="Arial" w:cs="Arial" w:eastAsia="Arial" w:hAnsi="Arial"/>
          <w:sz w:val="17"/>
          <w:szCs w:val="17"/>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and the trustee may amend or supplement the senior indenture or the senior debt securities without notice to or the consent of any holder:</w:t>
      </w:r>
    </w:p>
    <w:p>
      <w:pPr>
        <w:spacing w:after="0" w:line="122" w:lineRule="exact"/>
        <w:rPr>
          <w:sz w:val="20"/>
          <w:szCs w:val="20"/>
          <w:color w:val="auto"/>
        </w:rPr>
      </w:pPr>
    </w:p>
    <w:p>
      <w:pPr>
        <w:ind w:left="820" w:right="120" w:hanging="470"/>
        <w:spacing w:after="0" w:line="264"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the senior indenture under the Trust Indenture Act;</w:t>
      </w:r>
    </w:p>
    <w:p>
      <w:pPr>
        <w:spacing w:after="0" w:line="135" w:lineRule="exact"/>
        <w:rPr>
          <w:rFonts w:ascii="Arial" w:cs="Arial" w:eastAsia="Arial" w:hAnsi="Arial"/>
          <w:sz w:val="17"/>
          <w:szCs w:val="17"/>
          <w:color w:val="auto"/>
        </w:rPr>
      </w:pPr>
    </w:p>
    <w:p>
      <w:pPr>
        <w:ind w:left="820" w:hanging="470"/>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60" w:hanging="470"/>
        <w:spacing w:after="0" w:line="364" w:lineRule="auto"/>
        <w:tabs>
          <w:tab w:leader="none" w:pos="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9" w:lineRule="exact"/>
        <w:rPr>
          <w:rFonts w:ascii="Arial" w:cs="Arial" w:eastAsia="Arial" w:hAnsi="Arial"/>
          <w:sz w:val="15"/>
          <w:szCs w:val="15"/>
          <w:color w:val="auto"/>
        </w:rPr>
      </w:pPr>
    </w:p>
    <w:p>
      <w:pPr>
        <w:ind w:left="820" w:hanging="47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11"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73" w:lineRule="exact"/>
        <w:rPr>
          <w:sz w:val="20"/>
          <w:szCs w:val="20"/>
          <w:color w:val="auto"/>
        </w:rPr>
      </w:pPr>
    </w:p>
    <w:p>
      <w:pPr>
        <w:ind w:left="820" w:right="520" w:hanging="470"/>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the place or currency of payment of principal of, or premium, if any, or interest on, the senior debt securities of the affected series;</w:t>
      </w:r>
    </w:p>
    <w:p>
      <w:pPr>
        <w:spacing w:after="0" w:line="135" w:lineRule="exact"/>
        <w:rPr>
          <w:rFonts w:ascii="Arial" w:cs="Arial" w:eastAsia="Arial" w:hAnsi="Arial"/>
          <w:sz w:val="17"/>
          <w:szCs w:val="17"/>
          <w:color w:val="auto"/>
        </w:rPr>
      </w:pPr>
    </w:p>
    <w:p>
      <w:pPr>
        <w:ind w:left="820" w:hanging="470"/>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123" w:lineRule="exact"/>
        <w:rPr>
          <w:rFonts w:ascii="Arial" w:cs="Arial" w:eastAsia="Arial" w:hAnsi="Arial"/>
          <w:sz w:val="18"/>
          <w:szCs w:val="18"/>
          <w:color w:val="auto"/>
        </w:rPr>
      </w:pPr>
    </w:p>
    <w:p>
      <w:pPr>
        <w:ind w:left="820" w:right="160" w:hanging="470"/>
        <w:spacing w:after="0" w:line="293" w:lineRule="auto"/>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65" w:lineRule="exact"/>
        <w:rPr>
          <w:rFonts w:ascii="Arial" w:cs="Arial" w:eastAsia="Arial" w:hAnsi="Arial"/>
          <w:sz w:val="17"/>
          <w:szCs w:val="17"/>
          <w:color w:val="auto"/>
        </w:rPr>
      </w:pPr>
    </w:p>
    <w:p>
      <w:pPr>
        <w:ind w:left="820" w:right="20" w:hanging="470"/>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87" w:lineRule="exact"/>
        <w:rPr>
          <w:rFonts w:ascii="Arial" w:cs="Arial" w:eastAsia="Arial" w:hAnsi="Arial"/>
          <w:sz w:val="18"/>
          <w:szCs w:val="18"/>
          <w:color w:val="auto"/>
        </w:rPr>
      </w:pPr>
    </w:p>
    <w:p>
      <w:pPr>
        <w:ind w:left="820" w:right="260" w:hanging="470"/>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123" w:lineRule="exact"/>
        <w:rPr>
          <w:rFonts w:ascii="Arial" w:cs="Arial" w:eastAsia="Arial" w:hAnsi="Arial"/>
          <w:sz w:val="18"/>
          <w:szCs w:val="18"/>
          <w:color w:val="auto"/>
        </w:rPr>
      </w:pPr>
    </w:p>
    <w:p>
      <w:pPr>
        <w:ind w:left="820" w:right="320" w:hanging="470"/>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87" w:lineRule="exact"/>
        <w:rPr>
          <w:rFonts w:ascii="Arial" w:cs="Arial" w:eastAsia="Arial" w:hAnsi="Arial"/>
          <w:sz w:val="18"/>
          <w:szCs w:val="18"/>
          <w:color w:val="auto"/>
        </w:rPr>
      </w:pPr>
    </w:p>
    <w:p>
      <w:pPr>
        <w:ind w:left="820" w:right="400" w:hanging="470"/>
        <w:spacing w:after="0" w:line="364" w:lineRule="auto"/>
        <w:tabs>
          <w:tab w:leader="none" w:pos="8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19" w:lineRule="exact"/>
        <w:rPr>
          <w:rFonts w:ascii="Arial" w:cs="Arial" w:eastAsia="Arial" w:hAnsi="Arial"/>
          <w:sz w:val="15"/>
          <w:szCs w:val="15"/>
          <w:color w:val="auto"/>
        </w:rPr>
      </w:pPr>
    </w:p>
    <w:p>
      <w:pPr>
        <w:ind w:left="820" w:hanging="470"/>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74"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11" w:lineRule="exact"/>
        <w:rPr>
          <w:sz w:val="20"/>
          <w:szCs w:val="20"/>
          <w:color w:val="auto"/>
        </w:rPr>
      </w:pPr>
    </w:p>
    <w:p>
      <w:pPr>
        <w:ind w:firstLine="261"/>
        <w:spacing w:after="0" w:line="250"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1" w:lineRule="exact"/>
        <w:rPr>
          <w:sz w:val="20"/>
          <w:szCs w:val="20"/>
          <w:color w:val="auto"/>
        </w:rPr>
      </w:pPr>
    </w:p>
    <w:p>
      <w:pPr>
        <w:ind w:right="120" w:firstLine="261"/>
        <w:spacing w:after="0" w:line="251"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senior indenture and the debt securities will be governed by, and construed in accordance with, the internal laws of the State of New York.</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Trustees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11" w:lineRule="exact"/>
        <w:rPr>
          <w:sz w:val="20"/>
          <w:szCs w:val="20"/>
          <w:color w:val="auto"/>
        </w:rPr>
      </w:pPr>
    </w:p>
    <w:p>
      <w:pPr>
        <w:ind w:right="540" w:firstLine="264"/>
        <w:spacing w:after="0" w:line="264" w:lineRule="auto"/>
        <w:rPr>
          <w:sz w:val="20"/>
          <w:szCs w:val="20"/>
          <w:color w:val="auto"/>
        </w:rPr>
      </w:pPr>
      <w:r>
        <w:rPr>
          <w:rFonts w:ascii="Arial" w:cs="Arial" w:eastAsia="Arial" w:hAnsi="Arial"/>
          <w:sz w:val="18"/>
          <w:szCs w:val="18"/>
          <w:color w:val="auto"/>
        </w:rPr>
        <w:t>Brian L. Roberts, our director, President and Chief Executive Officer and a director of Comcast Holdings, is a member of the board of directors of the Trustee.</w:t>
      </w:r>
    </w:p>
    <w:p>
      <w:pPr>
        <w:spacing w:after="0" w:line="74"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John R. Alchin, our Executive Vice President, Co-Chief Financial Officer and Treasurer, is a member of the board of directors of BNY Hamilton Funds, Inc., an affiliate of the Trustee.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17" w:lineRule="exact"/>
        <w:rPr>
          <w:sz w:val="20"/>
          <w:szCs w:val="20"/>
          <w:color w:val="auto"/>
        </w:rPr>
      </w:pPr>
    </w:p>
    <w:p>
      <w:pPr>
        <w:ind w:right="40" w:firstLine="264"/>
        <w:spacing w:after="0" w:line="254"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Subordination</w:t>
      </w:r>
    </w:p>
    <w:p>
      <w:pPr>
        <w:spacing w:after="0" w:line="111" w:lineRule="exact"/>
        <w:rPr>
          <w:sz w:val="20"/>
          <w:szCs w:val="20"/>
          <w:color w:val="auto"/>
        </w:rPr>
      </w:pPr>
    </w:p>
    <w:p>
      <w:pPr>
        <w:ind w:right="20" w:firstLine="261"/>
        <w:spacing w:after="0" w:line="264" w:lineRule="auto"/>
        <w:rPr>
          <w:sz w:val="20"/>
          <w:szCs w:val="20"/>
          <w:color w:val="auto"/>
        </w:rPr>
      </w:pPr>
      <w:r>
        <w:rPr>
          <w:rFonts w:ascii="Arial" w:cs="Arial" w:eastAsia="Arial" w:hAnsi="Arial"/>
          <w:sz w:val="17"/>
          <w:szCs w:val="17"/>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subordination provisions also apply in the same way to each cable guarantor with respect to the Senior Indebtedness of such cable guarantor.</w:t>
      </w:r>
    </w:p>
    <w:p>
      <w:pPr>
        <w:spacing w:after="0" w:line="122" w:lineRule="exact"/>
        <w:rPr>
          <w:sz w:val="20"/>
          <w:szCs w:val="20"/>
          <w:color w:val="auto"/>
        </w:rPr>
      </w:pPr>
    </w:p>
    <w:p>
      <w:pPr>
        <w:ind w:right="440" w:firstLine="261"/>
        <w:spacing w:after="0" w:line="364" w:lineRule="auto"/>
        <w:rPr>
          <w:sz w:val="20"/>
          <w:szCs w:val="20"/>
          <w:color w:val="auto"/>
        </w:rPr>
      </w:pPr>
      <w:r>
        <w:rPr>
          <w:rFonts w:ascii="Arial" w:cs="Arial" w:eastAsia="Arial" w:hAnsi="Arial"/>
          <w:sz w:val="15"/>
          <w:szCs w:val="15"/>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 w:lineRule="exact"/>
        <w:rPr>
          <w:sz w:val="20"/>
          <w:szCs w:val="20"/>
          <w:color w:val="auto"/>
        </w:rPr>
      </w:pPr>
    </w:p>
    <w:p>
      <w:pPr>
        <w:ind w:left="820" w:right="20" w:hanging="470"/>
        <w:spacing w:after="0" w:line="302" w:lineRule="auto"/>
        <w:tabs>
          <w:tab w:leader="none" w:pos="8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w:t>
      </w:r>
    </w:p>
    <w:p>
      <w:pPr>
        <w:ind w:left="820"/>
        <w:spacing w:after="0"/>
        <w:rPr>
          <w:rFonts w:ascii="Arial" w:cs="Arial" w:eastAsia="Arial" w:hAnsi="Arial"/>
          <w:sz w:val="15"/>
          <w:szCs w:val="15"/>
          <w:color w:val="auto"/>
        </w:rPr>
      </w:pPr>
      <w:r>
        <w:rPr>
          <w:rFonts w:ascii="Arial" w:cs="Arial" w:eastAsia="Arial" w:hAnsi="Arial"/>
          <w:sz w:val="18"/>
          <w:szCs w:val="18"/>
          <w:color w:val="auto"/>
        </w:rPr>
        <w:t>(2) existing on property at the time that person acquires it;</w:t>
      </w:r>
    </w:p>
    <w:p>
      <w:pPr>
        <w:spacing w:after="0" w:line="112" w:lineRule="exact"/>
        <w:rPr>
          <w:rFonts w:ascii="Arial" w:cs="Arial" w:eastAsia="Arial" w:hAnsi="Arial"/>
          <w:sz w:val="15"/>
          <w:szCs w:val="15"/>
          <w:color w:val="auto"/>
        </w:rPr>
      </w:pPr>
    </w:p>
    <w:p>
      <w:pPr>
        <w:ind w:left="820" w:hanging="470"/>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of the lease obligations which are capitalized on the books of that person in accordance with generally accepted accounting principles;</w:t>
      </w:r>
    </w:p>
    <w:p>
      <w:pPr>
        <w:spacing w:after="0" w:line="135" w:lineRule="exact"/>
        <w:rPr>
          <w:rFonts w:ascii="Arial" w:cs="Arial" w:eastAsia="Arial" w:hAnsi="Arial"/>
          <w:sz w:val="17"/>
          <w:szCs w:val="17"/>
          <w:color w:val="auto"/>
        </w:rPr>
      </w:pPr>
    </w:p>
    <w:p>
      <w:pPr>
        <w:ind w:left="820" w:right="380" w:hanging="470"/>
        <w:spacing w:after="0" w:line="25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96" w:lineRule="exact"/>
        <w:rPr>
          <w:rFonts w:ascii="Arial" w:cs="Arial" w:eastAsia="Arial" w:hAnsi="Arial"/>
          <w:sz w:val="18"/>
          <w:szCs w:val="18"/>
          <w:color w:val="auto"/>
        </w:rPr>
      </w:pPr>
    </w:p>
    <w:p>
      <w:pPr>
        <w:ind w:left="820" w:right="480" w:hanging="470"/>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7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117" w:lineRule="exact"/>
        <w:rPr>
          <w:sz w:val="20"/>
          <w:szCs w:val="20"/>
          <w:color w:val="auto"/>
        </w:rPr>
      </w:pPr>
    </w:p>
    <w:p>
      <w:pPr>
        <w:ind w:right="260" w:firstLine="261"/>
        <w:spacing w:after="0" w:line="251"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87" w:lineRule="exact"/>
        <w:rPr>
          <w:sz w:val="20"/>
          <w:szCs w:val="20"/>
          <w:color w:val="auto"/>
        </w:rPr>
      </w:pPr>
    </w:p>
    <w:p>
      <w:pPr>
        <w:ind w:right="260" w:firstLine="264"/>
        <w:spacing w:after="0" w:line="264"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74" w:lineRule="exact"/>
        <w:rPr>
          <w:sz w:val="20"/>
          <w:szCs w:val="20"/>
          <w:color w:val="auto"/>
        </w:rPr>
      </w:pPr>
    </w:p>
    <w:p>
      <w:pPr>
        <w:ind w:right="40" w:firstLine="261"/>
        <w:spacing w:after="0" w:line="251"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87" w:lineRule="exact"/>
        <w:rPr>
          <w:sz w:val="20"/>
          <w:szCs w:val="20"/>
          <w:color w:val="auto"/>
        </w:rPr>
      </w:pPr>
    </w:p>
    <w:p>
      <w:pPr>
        <w:ind w:firstLine="261"/>
        <w:spacing w:after="0" w:line="254"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security holder, if applicable, such right will terminate upon receipt of written notice of the exercise of such option.</w:t>
      </w:r>
    </w:p>
    <w:p>
      <w:pPr>
        <w:spacing w:after="0" w:line="111"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74" w:lineRule="exact"/>
        <w:rPr>
          <w:sz w:val="20"/>
          <w:szCs w:val="20"/>
          <w:color w:val="auto"/>
        </w:rPr>
      </w:pPr>
    </w:p>
    <w:p>
      <w:pPr>
        <w:ind w:left="820" w:right="200" w:hanging="470"/>
        <w:spacing w:after="0" w:line="264"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123" w:lineRule="exact"/>
        <w:rPr>
          <w:rFonts w:ascii="Arial" w:cs="Arial" w:eastAsia="Arial" w:hAnsi="Arial"/>
          <w:sz w:val="18"/>
          <w:szCs w:val="18"/>
          <w:color w:val="auto"/>
        </w:rPr>
      </w:pPr>
    </w:p>
    <w:p>
      <w:pPr>
        <w:ind w:left="820" w:right="40" w:hanging="470"/>
        <w:spacing w:after="0" w:line="254"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96" w:lineRule="exact"/>
        <w:rPr>
          <w:rFonts w:ascii="Arial" w:cs="Arial" w:eastAsia="Arial" w:hAnsi="Arial"/>
          <w:sz w:val="18"/>
          <w:szCs w:val="18"/>
          <w:color w:val="auto"/>
        </w:rPr>
      </w:pPr>
    </w:p>
    <w:p>
      <w:pPr>
        <w:ind w:left="820" w:right="40" w:hanging="470"/>
        <w:spacing w:after="0" w:line="264"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11" w:lineRule="exact"/>
        <w:rPr>
          <w:sz w:val="20"/>
          <w:szCs w:val="20"/>
          <w:color w:val="auto"/>
        </w:rPr>
      </w:pPr>
    </w:p>
    <w:p>
      <w:pPr>
        <w:ind w:right="840" w:firstLine="264"/>
        <w:spacing w:after="0" w:line="364" w:lineRule="auto"/>
        <w:rPr>
          <w:sz w:val="20"/>
          <w:szCs w:val="20"/>
          <w:color w:val="auto"/>
        </w:rPr>
      </w:pPr>
      <w:r>
        <w:rPr>
          <w:rFonts w:ascii="Arial" w:cs="Arial" w:eastAsia="Arial" w:hAnsi="Arial"/>
          <w:sz w:val="15"/>
          <w:szCs w:val="15"/>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6" w:lineRule="exact"/>
        <w:rPr>
          <w:sz w:val="20"/>
          <w:szCs w:val="20"/>
          <w:color w:val="auto"/>
        </w:rPr>
      </w:pPr>
    </w:p>
    <w:p>
      <w:pPr>
        <w:ind w:firstLine="264"/>
        <w:spacing w:after="0" w:line="317" w:lineRule="auto"/>
        <w:rPr>
          <w:sz w:val="20"/>
          <w:szCs w:val="20"/>
          <w:color w:val="auto"/>
        </w:rPr>
      </w:pPr>
      <w:r>
        <w:rPr>
          <w:rFonts w:ascii="Arial" w:cs="Arial" w:eastAsia="Arial" w:hAnsi="Arial"/>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117" w:lineRule="exact"/>
        <w:rPr>
          <w:sz w:val="20"/>
          <w:szCs w:val="20"/>
          <w:color w:val="auto"/>
        </w:rPr>
      </w:pPr>
    </w:p>
    <w:p>
      <w:pPr>
        <w:ind w:right="80" w:firstLine="261"/>
        <w:spacing w:after="0" w:line="265" w:lineRule="auto"/>
        <w:rPr>
          <w:sz w:val="20"/>
          <w:szCs w:val="20"/>
          <w:color w:val="auto"/>
        </w:rPr>
      </w:pPr>
      <w:r>
        <w:rPr>
          <w:rFonts w:ascii="Arial" w:cs="Arial" w:eastAsia="Arial" w:hAnsi="Arial"/>
          <w:sz w:val="17"/>
          <w:szCs w:val="17"/>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77" w:lineRule="exact"/>
        <w:rPr>
          <w:sz w:val="20"/>
          <w:szCs w:val="20"/>
          <w:color w:val="auto"/>
        </w:rPr>
      </w:pPr>
    </w:p>
    <w:p>
      <w:pPr>
        <w:ind w:right="180" w:firstLine="261"/>
        <w:spacing w:after="0" w:line="293" w:lineRule="auto"/>
        <w:rPr>
          <w:sz w:val="20"/>
          <w:szCs w:val="20"/>
          <w:color w:val="auto"/>
        </w:rPr>
      </w:pPr>
      <w:r>
        <w:rPr>
          <w:rFonts w:ascii="Arial" w:cs="Arial" w:eastAsia="Arial" w:hAnsi="Arial"/>
          <w:sz w:val="17"/>
          <w:szCs w:val="17"/>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52"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51" w:lineRule="exact"/>
        <w:rPr>
          <w:sz w:val="20"/>
          <w:szCs w:val="20"/>
          <w:color w:val="auto"/>
        </w:rPr>
      </w:pPr>
    </w:p>
    <w:p>
      <w:pPr>
        <w:ind w:right="120" w:firstLine="264"/>
        <w:spacing w:after="0" w:line="301" w:lineRule="auto"/>
        <w:rPr>
          <w:sz w:val="20"/>
          <w:szCs w:val="20"/>
          <w:color w:val="auto"/>
        </w:rPr>
      </w:pPr>
      <w:r>
        <w:rPr>
          <w:rFonts w:ascii="Arial" w:cs="Arial" w:eastAsia="Arial" w:hAnsi="Arial"/>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66" w:lineRule="exact"/>
        <w:rPr>
          <w:sz w:val="20"/>
          <w:szCs w:val="20"/>
          <w:color w:val="auto"/>
        </w:rPr>
      </w:pPr>
    </w:p>
    <w:p>
      <w:pPr>
        <w:ind w:right="180" w:firstLine="264"/>
        <w:spacing w:after="0" w:line="251"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74" w:lineRule="exact"/>
        <w:rPr>
          <w:sz w:val="20"/>
          <w:szCs w:val="20"/>
          <w:color w:val="auto"/>
        </w:rPr>
      </w:pPr>
    </w:p>
    <w:p>
      <w:pPr>
        <w:ind w:right="440" w:firstLine="261"/>
        <w:spacing w:after="0" w:line="249"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87" w:lineRule="exact"/>
        <w:rPr>
          <w:sz w:val="20"/>
          <w:szCs w:val="20"/>
          <w:color w:val="auto"/>
        </w:rPr>
      </w:pPr>
    </w:p>
    <w:p>
      <w:pPr>
        <w:ind w:right="20" w:firstLine="264"/>
        <w:spacing w:after="0" w:line="306" w:lineRule="auto"/>
        <w:rPr>
          <w:sz w:val="20"/>
          <w:szCs w:val="20"/>
          <w:color w:val="auto"/>
        </w:rPr>
      </w:pPr>
      <w:r>
        <w:rPr>
          <w:rFonts w:ascii="Arial" w:cs="Arial" w:eastAsia="Arial" w:hAnsi="Arial"/>
          <w:sz w:val="15"/>
          <w:szCs w:val="15"/>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17" w:lineRule="exact"/>
        <w:rPr>
          <w:sz w:val="20"/>
          <w:szCs w:val="20"/>
          <w:color w:val="auto"/>
        </w:rPr>
      </w:pPr>
    </w:p>
    <w:p>
      <w:pPr>
        <w:ind w:right="120" w:firstLine="261"/>
        <w:spacing w:after="0" w:line="264"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74"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87" w:lineRule="exact"/>
        <w:rPr>
          <w:sz w:val="20"/>
          <w:szCs w:val="20"/>
          <w:color w:val="auto"/>
        </w:rPr>
      </w:pPr>
    </w:p>
    <w:p>
      <w:pPr>
        <w:ind w:right="20" w:firstLine="264"/>
        <w:spacing w:after="0" w:line="268" w:lineRule="auto"/>
        <w:rPr>
          <w:sz w:val="20"/>
          <w:szCs w:val="20"/>
          <w:color w:val="auto"/>
        </w:rPr>
      </w:pPr>
      <w:r>
        <w:rPr>
          <w:rFonts w:ascii="Arial" w:cs="Arial" w:eastAsia="Arial" w:hAnsi="Arial"/>
          <w:sz w:val="17"/>
          <w:szCs w:val="17"/>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17" w:lineRule="exact"/>
        <w:rPr>
          <w:sz w:val="20"/>
          <w:szCs w:val="20"/>
          <w:color w:val="auto"/>
        </w:rPr>
      </w:pPr>
    </w:p>
    <w:p>
      <w:pPr>
        <w:ind w:right="100" w:firstLine="264"/>
        <w:spacing w:after="0" w:line="364"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 w:lineRule="exact"/>
        <w:rPr>
          <w:sz w:val="20"/>
          <w:szCs w:val="20"/>
          <w:color w:val="auto"/>
        </w:rPr>
      </w:pPr>
    </w:p>
    <w:p>
      <w:pPr>
        <w:ind w:right="260" w:firstLine="264"/>
        <w:spacing w:after="0" w:line="264"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 of the aggregate voting power of our capital stock as of February 28, 2006.</w:t>
      </w:r>
    </w:p>
    <w:p>
      <w:pPr>
        <w:spacing w:after="0" w:line="74" w:lineRule="exact"/>
        <w:rPr>
          <w:sz w:val="20"/>
          <w:szCs w:val="20"/>
          <w:color w:val="auto"/>
        </w:rPr>
      </w:pPr>
    </w:p>
    <w:p>
      <w:pPr>
        <w:ind w:firstLine="264"/>
        <w:spacing w:after="0" w:line="297" w:lineRule="auto"/>
        <w:rPr>
          <w:sz w:val="20"/>
          <w:szCs w:val="20"/>
          <w:color w:val="auto"/>
        </w:rPr>
      </w:pPr>
      <w:r>
        <w:rPr>
          <w:rFonts w:ascii="Arial" w:cs="Arial" w:eastAsia="Arial" w:hAnsi="Arial"/>
          <w:sz w:val="15"/>
          <w:szCs w:val="15"/>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3" w:lineRule="exact"/>
        <w:rPr>
          <w:sz w:val="20"/>
          <w:szCs w:val="20"/>
          <w:color w:val="auto"/>
        </w:rPr>
      </w:pPr>
    </w:p>
    <w:p>
      <w:pPr>
        <w:ind w:right="20" w:firstLine="6"/>
        <w:spacing w:after="0" w:line="246" w:lineRule="auto"/>
        <w:tabs>
          <w:tab w:leader="none" w:pos="2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 subject to reduction as described below.</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firstLine="264"/>
        <w:spacing w:after="0" w:line="271" w:lineRule="auto"/>
        <w:rPr>
          <w:sz w:val="20"/>
          <w:szCs w:val="20"/>
          <w:color w:val="auto"/>
        </w:rPr>
      </w:pPr>
      <w:r>
        <w:rPr>
          <w:rFonts w:ascii="Arial" w:cs="Arial" w:eastAsia="Arial" w:hAnsi="Arial"/>
          <w:sz w:val="17"/>
          <w:szCs w:val="17"/>
          <w:color w:val="auto"/>
        </w:rPr>
        <w:t>Subject to the next sentence, on all matters submitted for a vote of holders of one or more classes of our voting stock, holders of our Class B Common Stock in the aggregate will hold 33</w:t>
      </w:r>
      <w:r>
        <w:rPr>
          <w:rFonts w:ascii="Arial" w:cs="Arial" w:eastAsia="Arial" w:hAnsi="Arial"/>
          <w:sz w:val="9"/>
          <w:szCs w:val="9"/>
          <w:color w:val="auto"/>
        </w:rPr>
        <w:t>1</w:t>
      </w:r>
      <w:r>
        <w:rPr>
          <w:rFonts w:ascii="Arial" w:cs="Arial" w:eastAsia="Arial" w:hAnsi="Arial"/>
          <w:sz w:val="17"/>
          <w:szCs w:val="17"/>
          <w:color w:val="auto"/>
        </w:rPr>
        <w:t>/</w:t>
      </w:r>
      <w:r>
        <w:rPr>
          <w:rFonts w:ascii="Arial" w:cs="Arial" w:eastAsia="Arial" w:hAnsi="Arial"/>
          <w:sz w:val="9"/>
          <w:szCs w:val="9"/>
          <w:color w:val="auto"/>
        </w:rPr>
        <w:t>3</w:t>
      </w:r>
      <w:r>
        <w:rPr>
          <w:rFonts w:ascii="Arial" w:cs="Arial" w:eastAsia="Arial" w:hAnsi="Arial"/>
          <w:sz w:val="17"/>
          <w:szCs w:val="17"/>
          <w:color w:val="auto"/>
        </w:rPr>
        <w:t>% of the aggregate voting power of our capital stock, regardless of the number of shares of our Class A Common Stock or any other class of our capital stock outstanding at any time. If the number of shares of our Class B Common Stock outstanding is reduced for any reason (</w:t>
      </w:r>
      <w:r>
        <w:rPr>
          <w:rFonts w:ascii="Arial" w:cs="Arial" w:eastAsia="Arial" w:hAnsi="Arial"/>
          <w:sz w:val="17"/>
          <w:szCs w:val="17"/>
          <w:i w:val="1"/>
          <w:iCs w:val="1"/>
          <w:color w:val="auto"/>
        </w:rPr>
        <w:t>e.g.</w:t>
      </w:r>
      <w:r>
        <w:rPr>
          <w:rFonts w:ascii="Arial" w:cs="Arial" w:eastAsia="Arial" w:hAnsi="Arial"/>
          <w:sz w:val="17"/>
          <w:szCs w:val="17"/>
          <w:color w:val="auto"/>
        </w:rPr>
        <w:t>, by repurchase or conversion), the aggregate voting power of our Class B Common Stock will be proportionately reduced.</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share of our Class B Common Stock has 15 votes.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17"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117" w:lineRule="exact"/>
        <w:rPr>
          <w:sz w:val="20"/>
          <w:szCs w:val="20"/>
          <w:color w:val="auto"/>
        </w:rPr>
      </w:pPr>
    </w:p>
    <w:p>
      <w:pPr>
        <w:ind w:right="120" w:firstLine="264"/>
        <w:spacing w:after="0" w:line="308" w:lineRule="auto"/>
        <w:rPr>
          <w:sz w:val="20"/>
          <w:szCs w:val="20"/>
          <w:color w:val="auto"/>
        </w:rPr>
      </w:pPr>
      <w:r>
        <w:rPr>
          <w:rFonts w:ascii="Arial" w:cs="Arial" w:eastAsia="Arial" w:hAnsi="Arial"/>
          <w:sz w:val="15"/>
          <w:szCs w:val="15"/>
          <w:color w:val="auto"/>
        </w:rPr>
        <w:t>Brian L. Roberts, our President and CEO, through his control of BRCC Holdings LLC and certain trusts, which own all outstanding shares of our Class B Common Stock, holds a nondilutable 33</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3</w:t>
      </w:r>
      <w:r>
        <w:rPr>
          <w:rFonts w:ascii="Arial" w:cs="Arial" w:eastAsia="Arial" w:hAnsi="Arial"/>
          <w:sz w:val="15"/>
          <w:szCs w:val="15"/>
          <w:color w:val="auto"/>
        </w:rPr>
        <w:t xml:space="preserve"> %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February 28, 2006, if BRCC Holdings LLC, the trusts and Mr. Roberts were to convert the Class B Common Stock which they are deemed to beneficially own into Class A Common Stock, Mr. Roberts would beneficially own 10,170,995 shares of Class A Common Stock, which is less than 1% of the Class A Common Stock that would be outstanding after the conversion.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117" w:lineRule="exact"/>
        <w:rPr>
          <w:sz w:val="20"/>
          <w:szCs w:val="20"/>
          <w:color w:val="auto"/>
        </w:rPr>
      </w:pPr>
    </w:p>
    <w:p>
      <w:pPr>
        <w:jc w:val="both"/>
        <w:ind w:right="180" w:firstLine="264"/>
        <w:spacing w:after="0" w:line="254"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117" w:lineRule="exact"/>
        <w:rPr>
          <w:sz w:val="20"/>
          <w:szCs w:val="20"/>
          <w:color w:val="auto"/>
        </w:rPr>
      </w:pPr>
    </w:p>
    <w:p>
      <w:pPr>
        <w:ind w:right="200" w:firstLine="264"/>
        <w:spacing w:after="0" w:line="251"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8"/>
          <w:szCs w:val="18"/>
          <w:i w:val="1"/>
          <w:iCs w:val="1"/>
          <w:color w:val="auto"/>
        </w:rPr>
        <w:t>i.e.</w:t>
      </w:r>
      <w:r>
        <w:rPr>
          <w:rFonts w:ascii="Arial" w:cs="Arial" w:eastAsia="Arial" w:hAnsi="Arial"/>
          <w:sz w:val="18"/>
          <w:szCs w:val="18"/>
          <w:color w:val="auto"/>
        </w:rPr>
        <w:t>, the same amount of cash or the same number of shares of each class of stock issued in the transaction in proportion to the number of shares of our common stock held by them, respectively, without regard to class), holders of each such class of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common stock will receive “mirror” securities (</w:t>
      </w:r>
      <w:r>
        <w:rPr>
          <w:rFonts w:ascii="Arial" w:cs="Arial" w:eastAsia="Arial" w:hAnsi="Arial"/>
          <w:sz w:val="15"/>
          <w:szCs w:val="15"/>
          <w:i w:val="1"/>
          <w:iCs w:val="1"/>
          <w:color w:val="auto"/>
        </w:rPr>
        <w:t>i.e.</w:t>
      </w:r>
      <w:r>
        <w:rPr>
          <w:rFonts w:ascii="Arial" w:cs="Arial" w:eastAsia="Arial" w:hAnsi="Arial"/>
          <w:sz w:val="15"/>
          <w:szCs w:val="15"/>
          <w:color w:val="auto"/>
        </w:rPr>
        <w:t>, shares of a class of stock having substantially equivalent rights as the applicable class of our common stock).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holders of Class A Common Stock, Class A Special Common Stock and Class B Common Stock do not have any preemptive rights. All shares of</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Class A Common Stock, Class A Special Common Stock and Class B Common Stock presently outstanding are, and all shares of the Class A Common Stock and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Class A Special Common Stock offered hereby, or issuable upon conversion, exchange or exercise of securities offered hereby, will, when issued, be, fully paid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non-assessable. We have been advised that the Class A Common Stock and Class A Special Common Stock are exempt from existing Pennsylvania personal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property tax.</w:t>
      </w:r>
    </w:p>
    <w:p>
      <w:pPr>
        <w:spacing w:after="0" w:line="99" w:lineRule="exact"/>
        <w:rPr>
          <w:sz w:val="20"/>
          <w:szCs w:val="20"/>
          <w:color w:val="auto"/>
        </w:rPr>
      </w:pPr>
    </w:p>
    <w:p>
      <w:pPr>
        <w:ind w:right="820" w:firstLine="261"/>
        <w:spacing w:after="0" w:line="264"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117" w:lineRule="exact"/>
        <w:rPr>
          <w:sz w:val="20"/>
          <w:szCs w:val="20"/>
          <w:color w:val="auto"/>
        </w:rPr>
      </w:pPr>
    </w:p>
    <w:p>
      <w:pPr>
        <w:ind w:right="320" w:firstLine="261"/>
        <w:spacing w:after="0" w:line="264"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74" w:lineRule="exact"/>
        <w:rPr>
          <w:sz w:val="20"/>
          <w:szCs w:val="20"/>
          <w:color w:val="auto"/>
        </w:rPr>
      </w:pPr>
    </w:p>
    <w:p>
      <w:pPr>
        <w:ind w:right="160" w:firstLine="264"/>
        <w:spacing w:after="0" w:line="250"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11" w:lineRule="exact"/>
        <w:rPr>
          <w:sz w:val="20"/>
          <w:szCs w:val="20"/>
          <w:color w:val="auto"/>
        </w:rPr>
      </w:pPr>
    </w:p>
    <w:p>
      <w:pPr>
        <w:ind w:right="40" w:firstLine="261"/>
        <w:spacing w:after="0" w:line="266" w:lineRule="auto"/>
        <w:rPr>
          <w:sz w:val="20"/>
          <w:szCs w:val="20"/>
          <w:color w:val="auto"/>
        </w:rPr>
      </w:pPr>
      <w:r>
        <w:rPr>
          <w:rFonts w:ascii="Arial" w:cs="Arial" w:eastAsia="Arial" w:hAnsi="Arial"/>
          <w:sz w:val="17"/>
          <w:szCs w:val="17"/>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76"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86" w:lineRule="exact"/>
        <w:rPr>
          <w:sz w:val="20"/>
          <w:szCs w:val="20"/>
          <w:color w:val="auto"/>
        </w:rPr>
      </w:pPr>
    </w:p>
    <w:p>
      <w:pPr>
        <w:ind w:right="40" w:firstLine="264"/>
        <w:spacing w:after="0" w:line="264"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under “—‘Flip In’ Feature” or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“—‘Flip Over’ Feature,” each Right will be exercisable to purchase for $125 one one-thousandth of a share of our Series A Participating Cumulative Preferred Stock.</w:t>
      </w:r>
    </w:p>
    <w:p>
      <w:pPr>
        <w:spacing w:after="0" w:line="74" w:lineRule="exact"/>
        <w:rPr>
          <w:sz w:val="20"/>
          <w:szCs w:val="20"/>
          <w:color w:val="auto"/>
        </w:rPr>
      </w:pPr>
    </w:p>
    <w:p>
      <w:pPr>
        <w:ind w:right="140" w:firstLine="264"/>
        <w:spacing w:after="0" w:line="312" w:lineRule="auto"/>
        <w:rPr>
          <w:sz w:val="20"/>
          <w:szCs w:val="20"/>
          <w:color w:val="auto"/>
        </w:rPr>
      </w:pPr>
      <w:r>
        <w:rPr>
          <w:rFonts w:ascii="Arial" w:cs="Arial" w:eastAsia="Arial" w:hAnsi="Arial"/>
          <w:sz w:val="15"/>
          <w:szCs w:val="15"/>
          <w:b w:val="1"/>
          <w:bCs w:val="1"/>
          <w:i w:val="1"/>
          <w:iCs w:val="1"/>
          <w:color w:val="auto"/>
        </w:rPr>
        <w:t xml:space="preserve">“Flip In” Feature. </w:t>
      </w:r>
      <w:r>
        <w:rPr>
          <w:rFonts w:ascii="Arial" w:cs="Arial" w:eastAsia="Arial" w:hAnsi="Arial"/>
          <w:sz w:val="15"/>
          <w:szCs w:val="15"/>
          <w:color w:val="auto"/>
        </w:rPr>
        <w:t>If any person becomes an Acquiring Person, each holder of a Right, except for the Acquiring Person or certain affiliated persons,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43"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b w:val="1"/>
          <w:bCs w:val="1"/>
          <w:i w:val="1"/>
          <w:iCs w:val="1"/>
          <w:color w:val="auto"/>
        </w:rPr>
        <w:t xml:space="preserve">“Exchange” Feature. </w:t>
      </w:r>
      <w:r>
        <w:rPr>
          <w:rFonts w:ascii="Arial" w:cs="Arial" w:eastAsia="Arial" w:hAnsi="Arial"/>
          <w:sz w:val="17"/>
          <w:szCs w:val="17"/>
          <w:color w:val="auto"/>
        </w:rPr>
        <w:t>At any time after a person becomes an Acquiring Person (but before any person becomes the beneficial owner of our voting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73"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86" w:lineRule="exact"/>
        <w:rPr>
          <w:sz w:val="20"/>
          <w:szCs w:val="20"/>
          <w:color w:val="auto"/>
        </w:rPr>
      </w:pPr>
    </w:p>
    <w:p>
      <w:pPr>
        <w:ind w:right="20" w:firstLine="264"/>
        <w:spacing w:after="0" w:line="254"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84" w:lineRule="exact"/>
        <w:rPr>
          <w:sz w:val="20"/>
          <w:szCs w:val="20"/>
          <w:color w:val="auto"/>
        </w:rPr>
      </w:pPr>
    </w:p>
    <w:p>
      <w:pPr>
        <w:ind w:right="60" w:firstLine="264"/>
        <w:spacing w:after="0" w:line="329"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11" w:lineRule="exact"/>
        <w:rPr>
          <w:sz w:val="20"/>
          <w:szCs w:val="20"/>
          <w:color w:val="auto"/>
        </w:rPr>
      </w:pPr>
    </w:p>
    <w:p>
      <w:pPr>
        <w:ind w:firstLine="264"/>
        <w:spacing w:after="0" w:line="329" w:lineRule="auto"/>
        <w:rPr>
          <w:sz w:val="20"/>
          <w:szCs w:val="20"/>
          <w:color w:val="auto"/>
        </w:rPr>
      </w:pPr>
      <w:r>
        <w:rPr>
          <w:rFonts w:ascii="Arial" w:cs="Arial" w:eastAsia="Arial" w:hAnsi="Arial"/>
          <w:sz w:val="15"/>
          <w:szCs w:val="15"/>
          <w:b w:val="1"/>
          <w:bCs w:val="1"/>
          <w:i w:val="1"/>
          <w:iCs w:val="1"/>
          <w:color w:val="auto"/>
        </w:rPr>
        <w:t xml:space="preserve">Anti-Takeover Effects. </w:t>
      </w:r>
      <w:r>
        <w:rPr>
          <w:rFonts w:ascii="Arial" w:cs="Arial" w:eastAsia="Arial" w:hAnsi="Arial"/>
          <w:sz w:val="15"/>
          <w:szCs w:val="15"/>
          <w:color w:val="auto"/>
        </w:rPr>
        <w:t>The Rights have certain anti-takeover effects. The Rights may cause substantial dilution to a person that attempts to acquire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31" w:lineRule="exact"/>
        <w:rPr>
          <w:sz w:val="20"/>
          <w:szCs w:val="20"/>
          <w:color w:val="auto"/>
        </w:rPr>
      </w:pPr>
    </w:p>
    <w:p>
      <w:pPr>
        <w:ind w:right="180" w:firstLine="264"/>
        <w:spacing w:after="0" w:line="264"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74" w:lineRule="exact"/>
        <w:rPr>
          <w:sz w:val="20"/>
          <w:szCs w:val="20"/>
          <w:color w:val="auto"/>
        </w:rPr>
      </w:pPr>
    </w:p>
    <w:p>
      <w:pPr>
        <w:jc w:val="both"/>
        <w:ind w:right="40" w:firstLine="264"/>
        <w:spacing w:after="0" w:line="251" w:lineRule="auto"/>
        <w:rPr>
          <w:sz w:val="20"/>
          <w:szCs w:val="20"/>
          <w:color w:val="auto"/>
        </w:rPr>
      </w:pPr>
      <w:r>
        <w:rPr>
          <w:rFonts w:ascii="Arial" w:cs="Arial" w:eastAsia="Arial" w:hAnsi="Arial"/>
          <w:sz w:val="18"/>
          <w:szCs w:val="18"/>
          <w:b w:val="1"/>
          <w:bCs w:val="1"/>
          <w:i w:val="1"/>
          <w:iCs w:val="1"/>
          <w:color w:val="auto"/>
        </w:rPr>
        <w:t xml:space="preserve">Series A Preferred Stock. </w:t>
      </w:r>
      <w:r>
        <w:rPr>
          <w:rFonts w:ascii="Arial" w:cs="Arial" w:eastAsia="Arial" w:hAnsi="Arial"/>
          <w:sz w:val="18"/>
          <w:szCs w:val="18"/>
          <w:color w:val="auto"/>
        </w:rPr>
        <w:t>In connection with the creation of the Rights, our Board authorized the issuance of shares of our preferred stock designated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111" w:lineRule="exact"/>
        <w:rPr>
          <w:sz w:val="20"/>
          <w:szCs w:val="20"/>
          <w:color w:val="auto"/>
        </w:rPr>
      </w:pPr>
    </w:p>
    <w:p>
      <w:pPr>
        <w:ind w:left="820" w:hanging="470"/>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11" w:lineRule="exact"/>
        <w:rPr>
          <w:sz w:val="20"/>
          <w:szCs w:val="20"/>
          <w:color w:val="auto"/>
        </w:rPr>
      </w:pPr>
    </w:p>
    <w:p>
      <w:pPr>
        <w:ind w:right="20" w:firstLine="261"/>
        <w:spacing w:after="0" w:line="250"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(hereinafter, the “Securities Act”)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86"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84" w:lineRule="exact"/>
        <w:rPr>
          <w:sz w:val="20"/>
          <w:szCs w:val="20"/>
          <w:color w:val="auto"/>
        </w:rPr>
      </w:pPr>
    </w:p>
    <w:p>
      <w:pPr>
        <w:ind w:right="260" w:firstLine="264"/>
        <w:spacing w:after="0" w:line="264"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74" w:lineRule="exact"/>
        <w:rPr>
          <w:sz w:val="20"/>
          <w:szCs w:val="20"/>
          <w:color w:val="auto"/>
        </w:rPr>
      </w:pPr>
    </w:p>
    <w:p>
      <w:pPr>
        <w:ind w:right="220" w:firstLine="264"/>
        <w:spacing w:after="0" w:line="25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84"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51" w:lineRule="exact"/>
        <w:rPr>
          <w:sz w:val="20"/>
          <w:szCs w:val="20"/>
          <w:color w:val="auto"/>
        </w:rPr>
      </w:pPr>
    </w:p>
    <w:p>
      <w:pPr>
        <w:ind w:right="100" w:firstLine="255"/>
        <w:spacing w:after="0" w:line="264"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100" w:firstLine="255"/>
        <w:spacing w:after="0" w:line="251" w:lineRule="auto"/>
        <w:rPr>
          <w:sz w:val="20"/>
          <w:szCs w:val="20"/>
          <w:color w:val="auto"/>
        </w:rPr>
      </w:pPr>
      <w:r>
        <w:rPr>
          <w:rFonts w:ascii="Arial" w:cs="Arial" w:eastAsia="Arial" w:hAnsi="Arial"/>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right="140" w:firstLine="261"/>
        <w:spacing w:after="0" w:line="271" w:lineRule="auto"/>
        <w:rPr>
          <w:sz w:val="20"/>
          <w:szCs w:val="20"/>
          <w:color w:val="auto"/>
        </w:rPr>
      </w:pPr>
      <w:r>
        <w:rPr>
          <w:rFonts w:ascii="Arial" w:cs="Arial" w:eastAsia="Arial" w:hAnsi="Arial"/>
          <w:sz w:val="17"/>
          <w:szCs w:val="17"/>
          <w:color w:val="auto"/>
        </w:rPr>
        <w:t>The financial statements, the related financial statement schedule, and management’s report on the effectiveness of internal control over financial reporting, incorporated in this prospectus by reference from Comcast Corporation’s Annual Report on Form 10-K, have been audited by Deloitte &amp; Touche LLP, an independent registered public accounting firm, as stated in their reports, which are incorporated herein by reference, and have been so incorporated in reliance upon the reports of such firm given upon their authority as experts in accounting and auditing.</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right="40" w:firstLine="261"/>
        <w:spacing w:after="0" w:line="304" w:lineRule="auto"/>
        <w:rPr>
          <w:sz w:val="20"/>
          <w:szCs w:val="20"/>
          <w:color w:val="auto"/>
        </w:rPr>
      </w:pPr>
      <w:r>
        <w:rPr>
          <w:rFonts w:ascii="Arial" w:cs="Arial" w:eastAsia="Arial" w:hAnsi="Arial"/>
          <w:sz w:val="15"/>
          <w:szCs w:val="15"/>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51" w:lineRule="exact"/>
        <w:rPr>
          <w:sz w:val="20"/>
          <w:szCs w:val="20"/>
          <w:color w:val="auto"/>
        </w:rPr>
      </w:pPr>
    </w:p>
    <w:p>
      <w:pPr>
        <w:ind w:right="20" w:firstLine="261"/>
        <w:spacing w:after="0" w:line="308" w:lineRule="auto"/>
        <w:rPr>
          <w:sz w:val="20"/>
          <w:szCs w:val="20"/>
          <w:color w:val="auto"/>
        </w:rPr>
      </w:pPr>
      <w:r>
        <w:rPr>
          <w:rFonts w:ascii="Arial" w:cs="Arial" w:eastAsia="Arial" w:hAnsi="Arial"/>
          <w:sz w:val="15"/>
          <w:szCs w:val="15"/>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5"/>
          <w:szCs w:val="15"/>
          <w:i w:val="1"/>
          <w:iCs w:val="1"/>
          <w:color w:val="auto"/>
        </w:rPr>
        <w:t>http://www.sec.gov</w:t>
      </w:r>
      <w:r>
        <w:rPr>
          <w:rFonts w:ascii="Arial" w:cs="Arial" w:eastAsia="Arial" w:hAnsi="Arial"/>
          <w:sz w:val="15"/>
          <w:szCs w:val="15"/>
          <w:color w:val="auto"/>
        </w:rPr>
        <w:t>.</w:t>
      </w:r>
    </w:p>
    <w:p>
      <w:pPr>
        <w:spacing w:after="0" w:line="48" w:lineRule="exact"/>
        <w:rPr>
          <w:sz w:val="20"/>
          <w:szCs w:val="20"/>
          <w:color w:val="auto"/>
        </w:rPr>
      </w:pPr>
    </w:p>
    <w:p>
      <w:pPr>
        <w:ind w:firstLine="258"/>
        <w:spacing w:after="0" w:line="250" w:lineRule="auto"/>
        <w:rPr>
          <w:sz w:val="20"/>
          <w:szCs w:val="20"/>
          <w:color w:val="auto"/>
        </w:rPr>
      </w:pPr>
      <w:r>
        <w:rPr>
          <w:rFonts w:ascii="Arial" w:cs="Arial" w:eastAsia="Arial" w:hAnsi="Arial"/>
          <w:sz w:val="18"/>
          <w:szCs w:val="18"/>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17" w:lineRule="exact"/>
        <w:rPr>
          <w:sz w:val="20"/>
          <w:szCs w:val="20"/>
          <w:color w:val="auto"/>
        </w:rPr>
      </w:pPr>
    </w:p>
    <w:p>
      <w:pPr>
        <w:ind w:right="120" w:firstLine="261"/>
        <w:spacing w:after="0" w:line="329" w:lineRule="auto"/>
        <w:rPr>
          <w:sz w:val="20"/>
          <w:szCs w:val="20"/>
          <w:color w:val="auto"/>
        </w:rPr>
      </w:pPr>
      <w:r>
        <w:rPr>
          <w:rFonts w:ascii="Arial" w:cs="Arial" w:eastAsia="Arial" w:hAnsi="Arial"/>
          <w:sz w:val="15"/>
          <w:szCs w:val="15"/>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11" w:lineRule="exact"/>
        <w:rPr>
          <w:sz w:val="20"/>
          <w:szCs w:val="20"/>
          <w:color w:val="auto"/>
        </w:rPr>
      </w:pPr>
    </w:p>
    <w:p>
      <w:pPr>
        <w:ind w:left="820" w:hanging="470"/>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2005, filed on February 22, 2006.</w:t>
      </w:r>
    </w:p>
    <w:p>
      <w:pPr>
        <w:spacing w:after="0" w:line="123" w:lineRule="exact"/>
        <w:rPr>
          <w:rFonts w:ascii="Arial" w:cs="Arial" w:eastAsia="Arial" w:hAnsi="Arial"/>
          <w:sz w:val="18"/>
          <w:szCs w:val="18"/>
          <w:color w:val="auto"/>
        </w:rPr>
      </w:pPr>
    </w:p>
    <w:p>
      <w:pPr>
        <w:ind w:left="820" w:right="80" w:hanging="470"/>
        <w:spacing w:after="0" w:line="264"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2006 annual meeting of stockholders incorporated by reference in the Annual Report on Form 10-K for the year ended December 31, 2005.</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Current Reports on Form 8-K filed on January 26, 2006, February 28, 2006 and March 6, 2006.</w:t>
      </w:r>
    </w:p>
    <w:p>
      <w:pPr>
        <w:spacing w:after="0" w:line="123" w:lineRule="exact"/>
        <w:rPr>
          <w:rFonts w:ascii="Arial" w:cs="Arial" w:eastAsia="Arial" w:hAnsi="Arial"/>
          <w:sz w:val="18"/>
          <w:szCs w:val="18"/>
          <w:color w:val="auto"/>
        </w:rPr>
      </w:pPr>
    </w:p>
    <w:p>
      <w:pPr>
        <w:ind w:left="820" w:hanging="470"/>
        <w:spacing w:after="0" w:line="264"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74" w:lineRule="exact"/>
        <w:rPr>
          <w:sz w:val="20"/>
          <w:szCs w:val="20"/>
          <w:color w:val="auto"/>
        </w:rPr>
      </w:pPr>
    </w:p>
    <w:p>
      <w:pPr>
        <w:ind w:firstLine="261"/>
        <w:spacing w:after="0" w:line="268"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1500 Market Street, Philadelphia, Pennsylvania 19102-2148, (215) 665-1700.</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232410</wp:posOffset>
            </wp:positionV>
            <wp:extent cx="7249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367030</wp:posOffset>
            </wp:positionV>
            <wp:extent cx="1402715" cy="3613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$1,250,000,000 Floating Rate Notes due 2009</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$1,000,000,000 6.50% Notes due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570230</wp:posOffset>
            </wp:positionV>
            <wp:extent cx="30492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14605</wp:posOffset>
            </wp:positionV>
            <wp:extent cx="30492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Pr>
          <w:p>
            <w:pPr>
              <w:spacing w:after="0"/>
              <w:rPr>
                <w:sz w:val="19"/>
                <w:szCs w:val="19"/>
                <w:color w:val="auto"/>
              </w:rPr>
            </w:pPr>
          </w:p>
        </w:tc>
        <w:tc>
          <w:tcPr>
            <w:tcW w:w="3320" w:type="dxa"/>
            <w:vAlign w:val="bottom"/>
          </w:tcPr>
          <w:p>
            <w:pPr>
              <w:jc w:val="center"/>
              <w:ind w:right="532"/>
              <w:spacing w:after="0"/>
              <w:rPr>
                <w:sz w:val="20"/>
                <w:szCs w:val="20"/>
                <w:color w:val="auto"/>
              </w:rPr>
            </w:pPr>
            <w:r>
              <w:rPr>
                <w:rFonts w:ascii="Arial" w:cs="Arial" w:eastAsia="Arial" w:hAnsi="Arial"/>
                <w:sz w:val="18"/>
                <w:szCs w:val="18"/>
                <w:i w:val="1"/>
                <w:iCs w:val="1"/>
                <w:color w:val="auto"/>
                <w:w w:val="90"/>
              </w:rPr>
              <w:t>Joint Book-Running Managers</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43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Lehman Brothers</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9"/>
              </w:rPr>
              <w:t>Morgan Stanley</w:t>
            </w:r>
          </w:p>
        </w:tc>
        <w:tc>
          <w:tcPr>
            <w:tcW w:w="3740" w:type="dxa"/>
            <w:vAlign w:val="bottom"/>
            <w:vMerge w:val="restart"/>
          </w:tcPr>
          <w:p>
            <w:pPr>
              <w:ind w:left="1940"/>
              <w:spacing w:after="0"/>
              <w:rPr>
                <w:sz w:val="20"/>
                <w:szCs w:val="20"/>
                <w:color w:val="auto"/>
              </w:rPr>
            </w:pPr>
            <w:r>
              <w:rPr>
                <w:rFonts w:ascii="Arial" w:cs="Arial" w:eastAsia="Arial" w:hAnsi="Arial"/>
                <w:sz w:val="18"/>
                <w:szCs w:val="18"/>
                <w:b w:val="1"/>
                <w:bCs w:val="1"/>
                <w:color w:val="auto"/>
                <w:w w:val="88"/>
              </w:rPr>
              <w:t>RBS Greenwich Capital</w:t>
            </w:r>
          </w:p>
        </w:tc>
        <w:tc>
          <w:tcPr>
            <w:tcW w:w="0" w:type="dxa"/>
            <w:vAlign w:val="bottom"/>
          </w:tcPr>
          <w:p>
            <w:pPr>
              <w:spacing w:after="0"/>
              <w:rPr>
                <w:sz w:val="1"/>
                <w:szCs w:val="1"/>
                <w:color w:val="auto"/>
              </w:rPr>
            </w:pPr>
          </w:p>
        </w:tc>
      </w:tr>
      <w:tr>
        <w:trPr>
          <w:trHeight w:val="212"/>
        </w:trPr>
        <w:tc>
          <w:tcPr>
            <w:tcW w:w="4360" w:type="dxa"/>
            <w:vAlign w:val="bottom"/>
            <w:vMerge w:val="continue"/>
          </w:tcPr>
          <w:p>
            <w:pPr>
              <w:spacing w:after="0"/>
              <w:rPr>
                <w:sz w:val="18"/>
                <w:szCs w:val="18"/>
                <w:color w:val="auto"/>
              </w:rPr>
            </w:pPr>
          </w:p>
        </w:tc>
        <w:tc>
          <w:tcPr>
            <w:tcW w:w="332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4360" w:type="dxa"/>
            <w:vAlign w:val="bottom"/>
          </w:tcPr>
          <w:p>
            <w:pPr>
              <w:jc w:val="center"/>
              <w:ind w:right="252"/>
              <w:spacing w:after="0"/>
              <w:rPr>
                <w:sz w:val="20"/>
                <w:szCs w:val="20"/>
                <w:color w:val="auto"/>
              </w:rPr>
            </w:pPr>
            <w:r>
              <w:rPr>
                <w:rFonts w:ascii="Arial" w:cs="Arial" w:eastAsia="Arial" w:hAnsi="Arial"/>
                <w:sz w:val="18"/>
                <w:szCs w:val="18"/>
                <w:b w:val="1"/>
                <w:bCs w:val="1"/>
                <w:color w:val="auto"/>
                <w:w w:val="88"/>
              </w:rPr>
              <w:t>Banc of America Securities</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8"/>
              </w:rPr>
              <w:t>Barclays Capital</w:t>
            </w:r>
          </w:p>
        </w:tc>
        <w:tc>
          <w:tcPr>
            <w:tcW w:w="3740" w:type="dxa"/>
            <w:vAlign w:val="bottom"/>
          </w:tcPr>
          <w:p>
            <w:pPr>
              <w:jc w:val="center"/>
              <w:ind w:left="252"/>
              <w:spacing w:after="0"/>
              <w:rPr>
                <w:sz w:val="20"/>
                <w:szCs w:val="20"/>
                <w:color w:val="auto"/>
              </w:rPr>
            </w:pPr>
            <w:r>
              <w:rPr>
                <w:rFonts w:ascii="Arial" w:cs="Arial" w:eastAsia="Arial" w:hAnsi="Arial"/>
                <w:sz w:val="18"/>
                <w:szCs w:val="18"/>
                <w:b w:val="1"/>
                <w:bCs w:val="1"/>
                <w:color w:val="auto"/>
                <w:w w:val="93"/>
              </w:rPr>
              <w:t>BNP PARIBAS</w:t>
            </w:r>
          </w:p>
        </w:tc>
        <w:tc>
          <w:tcPr>
            <w:tcW w:w="0" w:type="dxa"/>
            <w:vAlign w:val="bottom"/>
          </w:tcPr>
          <w:p>
            <w:pPr>
              <w:spacing w:after="0"/>
              <w:rPr>
                <w:sz w:val="1"/>
                <w:szCs w:val="1"/>
                <w:color w:val="auto"/>
              </w:rPr>
            </w:pPr>
          </w:p>
        </w:tc>
      </w:tr>
      <w:tr>
        <w:trPr>
          <w:trHeight w:val="212"/>
        </w:trPr>
        <w:tc>
          <w:tcPr>
            <w:tcW w:w="4360" w:type="dxa"/>
            <w:vAlign w:val="bottom"/>
          </w:tcPr>
          <w:p>
            <w:pPr>
              <w:jc w:val="center"/>
              <w:ind w:right="252"/>
              <w:spacing w:after="0"/>
              <w:rPr>
                <w:sz w:val="20"/>
                <w:szCs w:val="20"/>
                <w:color w:val="auto"/>
              </w:rPr>
            </w:pPr>
            <w:r>
              <w:rPr>
                <w:rFonts w:ascii="Arial" w:cs="Arial" w:eastAsia="Arial" w:hAnsi="Arial"/>
                <w:sz w:val="18"/>
                <w:szCs w:val="18"/>
                <w:b w:val="1"/>
                <w:bCs w:val="1"/>
                <w:color w:val="auto"/>
                <w:w w:val="92"/>
              </w:rPr>
              <w:t>Citigroup</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9"/>
              </w:rPr>
              <w:t>Daiwa Securities America Inc.</w:t>
            </w:r>
          </w:p>
        </w:tc>
        <w:tc>
          <w:tcPr>
            <w:tcW w:w="3740" w:type="dxa"/>
            <w:vAlign w:val="bottom"/>
          </w:tcPr>
          <w:p>
            <w:pPr>
              <w:jc w:val="center"/>
              <w:ind w:left="252"/>
              <w:spacing w:after="0"/>
              <w:rPr>
                <w:sz w:val="20"/>
                <w:szCs w:val="20"/>
                <w:color w:val="auto"/>
              </w:rPr>
            </w:pPr>
            <w:r>
              <w:rPr>
                <w:rFonts w:ascii="Arial" w:cs="Arial" w:eastAsia="Arial" w:hAnsi="Arial"/>
                <w:sz w:val="18"/>
                <w:szCs w:val="18"/>
                <w:b w:val="1"/>
                <w:bCs w:val="1"/>
                <w:color w:val="auto"/>
                <w:w w:val="86"/>
              </w:rPr>
              <w:t>Deutsche Bank Securities</w:t>
            </w:r>
          </w:p>
        </w:tc>
        <w:tc>
          <w:tcPr>
            <w:tcW w:w="0" w:type="dxa"/>
            <w:vAlign w:val="bottom"/>
          </w:tcPr>
          <w:p>
            <w:pPr>
              <w:spacing w:after="0"/>
              <w:rPr>
                <w:sz w:val="1"/>
                <w:szCs w:val="1"/>
                <w:color w:val="auto"/>
              </w:rPr>
            </w:pPr>
          </w:p>
        </w:tc>
      </w:tr>
      <w:tr>
        <w:trPr>
          <w:trHeight w:val="212"/>
        </w:trPr>
        <w:tc>
          <w:tcPr>
            <w:tcW w:w="4360" w:type="dxa"/>
            <w:vAlign w:val="bottom"/>
          </w:tcPr>
          <w:p>
            <w:pPr>
              <w:jc w:val="center"/>
              <w:ind w:right="252"/>
              <w:spacing w:after="0"/>
              <w:rPr>
                <w:sz w:val="20"/>
                <w:szCs w:val="20"/>
                <w:color w:val="auto"/>
              </w:rPr>
            </w:pPr>
            <w:r>
              <w:rPr>
                <w:rFonts w:ascii="Arial" w:cs="Arial" w:eastAsia="Arial" w:hAnsi="Arial"/>
                <w:sz w:val="18"/>
                <w:szCs w:val="18"/>
                <w:b w:val="1"/>
                <w:bCs w:val="1"/>
                <w:color w:val="auto"/>
                <w:w w:val="88"/>
              </w:rPr>
              <w:t>Goldman, Sachs &amp; Co.</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1"/>
              </w:rPr>
              <w:t>JPMorgan</w:t>
            </w:r>
          </w:p>
        </w:tc>
        <w:tc>
          <w:tcPr>
            <w:tcW w:w="3740" w:type="dxa"/>
            <w:vAlign w:val="bottom"/>
          </w:tcPr>
          <w:p>
            <w:pPr>
              <w:jc w:val="center"/>
              <w:ind w:left="252"/>
              <w:spacing w:after="0"/>
              <w:rPr>
                <w:sz w:val="20"/>
                <w:szCs w:val="20"/>
                <w:color w:val="auto"/>
              </w:rPr>
            </w:pPr>
            <w:r>
              <w:rPr>
                <w:rFonts w:ascii="Arial" w:cs="Arial" w:eastAsia="Arial" w:hAnsi="Arial"/>
                <w:sz w:val="18"/>
                <w:szCs w:val="18"/>
                <w:b w:val="1"/>
                <w:bCs w:val="1"/>
                <w:color w:val="auto"/>
                <w:w w:val="91"/>
              </w:rPr>
              <w:t>LaSalle Capital Markets</w:t>
            </w:r>
          </w:p>
        </w:tc>
        <w:tc>
          <w:tcPr>
            <w:tcW w:w="0" w:type="dxa"/>
            <w:vAlign w:val="bottom"/>
          </w:tcPr>
          <w:p>
            <w:pPr>
              <w:spacing w:after="0"/>
              <w:rPr>
                <w:sz w:val="1"/>
                <w:szCs w:val="1"/>
                <w:color w:val="auto"/>
              </w:rPr>
            </w:pPr>
          </w:p>
        </w:tc>
      </w:tr>
      <w:tr>
        <w:trPr>
          <w:trHeight w:val="212"/>
        </w:trPr>
        <w:tc>
          <w:tcPr>
            <w:tcW w:w="4360" w:type="dxa"/>
            <w:vAlign w:val="bottom"/>
          </w:tcPr>
          <w:p>
            <w:pPr>
              <w:jc w:val="center"/>
              <w:ind w:right="252"/>
              <w:spacing w:after="0"/>
              <w:rPr>
                <w:sz w:val="20"/>
                <w:szCs w:val="20"/>
                <w:color w:val="auto"/>
              </w:rPr>
            </w:pPr>
            <w:r>
              <w:rPr>
                <w:rFonts w:ascii="Arial" w:cs="Arial" w:eastAsia="Arial" w:hAnsi="Arial"/>
                <w:sz w:val="18"/>
                <w:szCs w:val="18"/>
                <w:b w:val="1"/>
                <w:bCs w:val="1"/>
                <w:color w:val="auto"/>
                <w:w w:val="92"/>
              </w:rPr>
              <w:t>Lazard Capital Markets</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5"/>
              </w:rPr>
              <w:t>Merrill Lynch &amp; Co.</w:t>
            </w:r>
          </w:p>
        </w:tc>
        <w:tc>
          <w:tcPr>
            <w:tcW w:w="3740" w:type="dxa"/>
            <w:vAlign w:val="bottom"/>
          </w:tcPr>
          <w:p>
            <w:pPr>
              <w:jc w:val="center"/>
              <w:ind w:left="252"/>
              <w:spacing w:after="0"/>
              <w:rPr>
                <w:sz w:val="20"/>
                <w:szCs w:val="20"/>
                <w:color w:val="auto"/>
              </w:rPr>
            </w:pPr>
            <w:r>
              <w:rPr>
                <w:rFonts w:ascii="Arial" w:cs="Arial" w:eastAsia="Arial" w:hAnsi="Arial"/>
                <w:sz w:val="18"/>
                <w:szCs w:val="18"/>
                <w:b w:val="1"/>
                <w:bCs w:val="1"/>
                <w:color w:val="auto"/>
                <w:w w:val="89"/>
              </w:rPr>
              <w:t>UBS Investment Bank</w:t>
            </w:r>
          </w:p>
        </w:tc>
        <w:tc>
          <w:tcPr>
            <w:tcW w:w="0" w:type="dxa"/>
            <w:vAlign w:val="bottom"/>
          </w:tcPr>
          <w:p>
            <w:pPr>
              <w:spacing w:after="0"/>
              <w:rPr>
                <w:sz w:val="1"/>
                <w:szCs w:val="1"/>
                <w:color w:val="auto"/>
              </w:rPr>
            </w:pPr>
          </w:p>
        </w:tc>
      </w:tr>
      <w:tr>
        <w:trPr>
          <w:trHeight w:val="229"/>
        </w:trPr>
        <w:tc>
          <w:tcPr>
            <w:tcW w:w="4360" w:type="dxa"/>
            <w:vAlign w:val="bottom"/>
          </w:tcPr>
          <w:p>
            <w:pPr>
              <w:jc w:val="center"/>
              <w:ind w:right="252"/>
              <w:spacing w:after="0"/>
              <w:rPr>
                <w:sz w:val="20"/>
                <w:szCs w:val="20"/>
                <w:color w:val="auto"/>
              </w:rPr>
            </w:pPr>
            <w:r>
              <w:rPr>
                <w:rFonts w:ascii="Arial" w:cs="Arial" w:eastAsia="Arial" w:hAnsi="Arial"/>
                <w:sz w:val="18"/>
                <w:szCs w:val="18"/>
                <w:b w:val="1"/>
                <w:bCs w:val="1"/>
                <w:color w:val="auto"/>
                <w:w w:val="87"/>
              </w:rPr>
              <w:t>Wachovia Securities</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3"/>
              </w:rPr>
              <w:t>BNY Capital Markets, Inc.</w:t>
            </w:r>
          </w:p>
        </w:tc>
        <w:tc>
          <w:tcPr>
            <w:tcW w:w="3740" w:type="dxa"/>
            <w:vAlign w:val="bottom"/>
          </w:tcPr>
          <w:p>
            <w:pPr>
              <w:jc w:val="center"/>
              <w:ind w:left="252"/>
              <w:spacing w:after="0"/>
              <w:rPr>
                <w:sz w:val="20"/>
                <w:szCs w:val="20"/>
                <w:color w:val="auto"/>
              </w:rPr>
            </w:pPr>
            <w:r>
              <w:rPr>
                <w:rFonts w:ascii="Arial" w:cs="Arial" w:eastAsia="Arial" w:hAnsi="Arial"/>
                <w:sz w:val="18"/>
                <w:szCs w:val="18"/>
                <w:b w:val="1"/>
                <w:bCs w:val="1"/>
                <w:color w:val="auto"/>
                <w:w w:val="88"/>
              </w:rPr>
              <w:t>SunTrust Robinson Humphrey</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4360" w:type="dxa"/>
            <w:vAlign w:val="bottom"/>
          </w:tcPr>
          <w:p>
            <w:pPr>
              <w:jc w:val="center"/>
              <w:ind w:right="252"/>
              <w:spacing w:after="0"/>
              <w:rPr>
                <w:sz w:val="20"/>
                <w:szCs w:val="20"/>
                <w:color w:val="auto"/>
              </w:rPr>
            </w:pPr>
            <w:r>
              <w:rPr>
                <w:rFonts w:ascii="Arial" w:cs="Arial" w:eastAsia="Arial" w:hAnsi="Arial"/>
                <w:sz w:val="18"/>
                <w:szCs w:val="18"/>
                <w:b w:val="1"/>
                <w:bCs w:val="1"/>
                <w:color w:val="auto"/>
                <w:w w:val="92"/>
              </w:rPr>
              <w:t>Guzman &amp; Company</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3"/>
              </w:rPr>
              <w:t>Ramirez &amp; Co., Inc.</w:t>
            </w:r>
          </w:p>
        </w:tc>
        <w:tc>
          <w:tcPr>
            <w:tcW w:w="3740" w:type="dxa"/>
            <w:vAlign w:val="bottom"/>
          </w:tcPr>
          <w:p>
            <w:pPr>
              <w:jc w:val="center"/>
              <w:ind w:left="232"/>
              <w:spacing w:after="0"/>
              <w:rPr>
                <w:sz w:val="20"/>
                <w:szCs w:val="20"/>
                <w:color w:val="auto"/>
              </w:rPr>
            </w:pPr>
            <w:r>
              <w:rPr>
                <w:rFonts w:ascii="Arial" w:cs="Arial" w:eastAsia="Arial" w:hAnsi="Arial"/>
                <w:sz w:val="18"/>
                <w:szCs w:val="18"/>
                <w:b w:val="1"/>
                <w:bCs w:val="1"/>
                <w:color w:val="auto"/>
                <w:w w:val="91"/>
              </w:rPr>
              <w:t>The Williams Capital Group, L.P.</w:t>
            </w:r>
          </w:p>
        </w:tc>
        <w:tc>
          <w:tcPr>
            <w:tcW w:w="0" w:type="dxa"/>
            <w:vAlign w:val="bottom"/>
          </w:tcPr>
          <w:p>
            <w:pPr>
              <w:spacing w:after="0"/>
              <w:rPr>
                <w:sz w:val="1"/>
                <w:szCs w:val="1"/>
                <w:color w:val="auto"/>
              </w:rPr>
            </w:pPr>
          </w:p>
        </w:tc>
      </w:tr>
      <w:tr>
        <w:trPr>
          <w:trHeight w:val="229"/>
        </w:trPr>
        <w:tc>
          <w:tcPr>
            <w:tcW w:w="4360" w:type="dxa"/>
            <w:vAlign w:val="bottom"/>
          </w:tcPr>
          <w:p>
            <w:pPr>
              <w:jc w:val="center"/>
              <w:ind w:right="252"/>
              <w:spacing w:after="0"/>
              <w:rPr>
                <w:sz w:val="20"/>
                <w:szCs w:val="20"/>
                <w:color w:val="auto"/>
              </w:rPr>
            </w:pPr>
            <w:r>
              <w:rPr>
                <w:rFonts w:ascii="Arial" w:cs="Arial" w:eastAsia="Arial" w:hAnsi="Arial"/>
                <w:sz w:val="18"/>
                <w:szCs w:val="18"/>
                <w:b w:val="1"/>
                <w:bCs w:val="1"/>
                <w:color w:val="auto"/>
                <w:w w:val="93"/>
              </w:rPr>
              <w:t>Cabrera Capital Markets, Inc.</w:t>
            </w:r>
          </w:p>
        </w:tc>
        <w:tc>
          <w:tcPr>
            <w:tcW w:w="3320" w:type="dxa"/>
            <w:vAlign w:val="bottom"/>
          </w:tcPr>
          <w:p>
            <w:pPr>
              <w:spacing w:after="0"/>
              <w:rPr>
                <w:sz w:val="19"/>
                <w:szCs w:val="19"/>
                <w:color w:val="auto"/>
              </w:rPr>
            </w:pPr>
          </w:p>
        </w:tc>
        <w:tc>
          <w:tcPr>
            <w:tcW w:w="3740" w:type="dxa"/>
            <w:vAlign w:val="bottom"/>
          </w:tcPr>
          <w:p>
            <w:pPr>
              <w:jc w:val="center"/>
              <w:ind w:left="252"/>
              <w:spacing w:after="0"/>
              <w:rPr>
                <w:sz w:val="20"/>
                <w:szCs w:val="20"/>
                <w:color w:val="auto"/>
              </w:rPr>
            </w:pPr>
            <w:r>
              <w:rPr>
                <w:rFonts w:ascii="Arial" w:cs="Arial" w:eastAsia="Arial" w:hAnsi="Arial"/>
                <w:sz w:val="18"/>
                <w:szCs w:val="18"/>
                <w:b w:val="1"/>
                <w:bCs w:val="1"/>
                <w:color w:val="auto"/>
                <w:w w:val="93"/>
              </w:rPr>
              <w:t>Loop Capital Markets, LLC</w:t>
            </w:r>
          </w:p>
        </w:tc>
        <w:tc>
          <w:tcPr>
            <w:tcW w:w="0" w:type="dxa"/>
            <w:vAlign w:val="bottom"/>
          </w:tcPr>
          <w:p>
            <w:pPr>
              <w:spacing w:after="0"/>
              <w:rPr>
                <w:sz w:val="1"/>
                <w:szCs w:val="1"/>
                <w:color w:val="auto"/>
              </w:rPr>
            </w:pPr>
          </w:p>
        </w:tc>
      </w:tr>
      <w:tr>
        <w:trPr>
          <w:trHeight w:val="265"/>
        </w:trPr>
        <w:tc>
          <w:tcPr>
            <w:tcW w:w="4360" w:type="dxa"/>
            <w:vAlign w:val="bottom"/>
          </w:tcPr>
          <w:p>
            <w:pPr>
              <w:spacing w:after="0"/>
              <w:rPr>
                <w:sz w:val="23"/>
                <w:szCs w:val="23"/>
                <w:color w:val="auto"/>
              </w:rPr>
            </w:pPr>
          </w:p>
        </w:tc>
        <w:tc>
          <w:tcPr>
            <w:tcW w:w="3320" w:type="dxa"/>
            <w:vAlign w:val="bottom"/>
          </w:tcPr>
          <w:p>
            <w:pPr>
              <w:jc w:val="center"/>
              <w:ind w:right="532"/>
              <w:spacing w:after="0"/>
              <w:rPr>
                <w:sz w:val="20"/>
                <w:szCs w:val="20"/>
                <w:color w:val="auto"/>
              </w:rPr>
            </w:pPr>
            <w:r>
              <w:rPr>
                <w:rFonts w:ascii="Arial" w:cs="Arial" w:eastAsia="Arial" w:hAnsi="Arial"/>
                <w:sz w:val="18"/>
                <w:szCs w:val="18"/>
                <w:color w:val="auto"/>
                <w:w w:val="87"/>
              </w:rPr>
              <w:t>July 11, 2006</w:t>
            </w:r>
          </w:p>
        </w:tc>
        <w:tc>
          <w:tcPr>
            <w:tcW w:w="3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436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3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lowerRoman"/>
      <w:start w:val="10"/>
    </w:lvl>
  </w:abstractNum>
  <w:abstractNum w:abstractNumId="4">
    <w:nsid w:val="54E49EB4"/>
    <w:multiLevelType w:val="hybridMultilevel"/>
    <w:lvl w:ilvl="0">
      <w:lvlJc w:val="left"/>
      <w:lvlText w:val="•"/>
      <w:numFmt w:val="bullet"/>
      <w:start w:val="1"/>
    </w:lvl>
    <w:lvl w:ilvl="1">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3"/>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1)"/>
      <w:numFmt w:val="lowerLetter"/>
      <w:start w:val="2"/>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lowerRoman"/>
      <w:start w:val="10"/>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23"/>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o"/>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lvl w:ilvl="1">
      <w:lvlJc w:val="left"/>
      <w:lvlText w:val="o"/>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lvl w:ilvl="1">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o"/>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lvl w:ilvl="1">
      <w:lvlJc w:val="left"/>
      <w:lvlText w:val="o"/>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2"/>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2019-12-12T04:25:40Z</dcterms:created>
  <dcterms:modified xsi:type="dcterms:W3CDTF">2019-12-12T04:25:40Z</dcterms:modified>
</cp:coreProperties>
</file>