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Jason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93,142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93,142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93,142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subject to the achievement of performance conditions, which were attained on the transaction date. The restricted stock units vest 100% on the 3rd anniversary of the grant date.</w:t>
      </w:r>
    </w:p>
    <w:p>
      <w:pPr>
        <w:ind w:left="6600"/>
        <w:spacing w:after="0" w:line="231" w:lineRule="auto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06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890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2026-02-26T15:59:05Z</dcterms:created>
  <dcterms:modified xsi:type="dcterms:W3CDTF">2026-02-26T15:59:05Z</dcterms:modified>
</cp:coreProperties>
</file>