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ind w:left="4960"/>
        <w:spacing w:after="0"/>
        <w:rPr>
          <w:sz w:val="20"/>
          <w:szCs w:val="20"/>
          <w:color w:val="auto"/>
        </w:rPr>
      </w:pPr>
      <w:r>
        <w:rPr>
          <w:rFonts w:ascii="Arial" w:cs="Arial" w:eastAsia="Arial" w:hAnsi="Arial"/>
          <w:sz w:val="32"/>
          <w:szCs w:val="32"/>
          <w:b w:val="1"/>
          <w:bCs w:val="1"/>
          <w:color w:val="auto"/>
        </w:rPr>
        <w:t>Form 11-K</w:t>
      </w:r>
    </w:p>
    <w:p>
      <w:pPr>
        <w:spacing w:after="0" w:line="186"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ANNUAL REPORT</w:t>
      </w:r>
    </w:p>
    <w:p>
      <w:pPr>
        <w:spacing w:after="0" w:line="17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Pursuant to Section 15(d)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33065"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151130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1"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19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98"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09" w:lineRule="exact"/>
        <w:rPr>
          <w:sz w:val="24"/>
          <w:szCs w:val="24"/>
          <w:color w:val="auto"/>
        </w:rPr>
      </w:pPr>
    </w:p>
    <w:p>
      <w:pPr>
        <w:ind w:left="5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7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 SPECTACOR 401(k) PLAN</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Philadelphia, PA 19102-2148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Financial Statements and 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Spectacor 401(k)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and 2005</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4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56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Statements of Net Assets Available for Benefits at December 31, 2006 and 2005</w:t>
              </w:r>
            </w:hyperlink>
          </w:p>
        </w:tc>
        <w:tc>
          <w:tcPr>
            <w:tcW w:w="50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Statement of Changes in Net Assets Available for Benefits for the Year ended December 31, 2006</w:t>
              </w:r>
            </w:hyperlink>
          </w:p>
        </w:tc>
        <w:tc>
          <w:tcPr>
            <w:tcW w:w="38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61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Schedule H - Line 4i - Schedule of Assets (Held at End of Year) at December 31, 2006</w:t>
              </w:r>
            </w:hyperlink>
          </w:p>
        </w:tc>
        <w:tc>
          <w:tcPr>
            <w:tcW w:w="46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CONSENT OF INDEPENDENT REGISTERED PUBLIC ACCOUNTING FIRM</w:t>
              </w:r>
            </w:hyperlink>
          </w:p>
        </w:tc>
        <w:tc>
          <w:tcPr>
            <w:tcW w:w="532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114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SIGNATURE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the Comcast Spectacor 401(k) Plan (the “Plan”) as of December 31, 2006 and 2005, and the related statement of changes in net assets available for benefits for the year ended December 31, 2006.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and evaluating the overall financial statement presentation. We believe our audits provide a reasonable basis for our opinion.</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2006 and 2005, and the changes in net assets available for benefits for the year ended December 31, 2006 in conformity with accounting principles generally accepted in the United States of America.</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audits were conducted for the purpose of forming an opinion on the Plan’s financial statements taken as a whole. The accompanying supplemental schedule of assets (held at end of year) as of December 31, 2006 (Schedule H - Line 4i)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financial statements and, in our opinion, is fairly stated in all material respects, in relation to the financial statements taken as a whole.</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26,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Investments at fair value</w:t>
            </w:r>
          </w:p>
        </w:tc>
        <w:tc>
          <w:tcPr>
            <w:tcW w:w="3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32,271,359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23,949,635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 loans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502,595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Contribution receivable</w:t>
            </w:r>
          </w:p>
        </w:tc>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83,457</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32,857,411</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24,338,095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Dividends and interest</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Employer</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2,067,607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5,559,057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3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10,682,282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280" w:type="dxa"/>
            <w:vAlign w:val="bottom"/>
            <w:gridSpan w:val="2"/>
          </w:tcPr>
          <w:p>
            <w:pPr>
              <w:spacing w:after="0"/>
              <w:rPr>
                <w:sz w:val="20"/>
                <w:szCs w:val="20"/>
                <w:color w:val="auto"/>
              </w:rPr>
            </w:pPr>
            <w:r>
              <w:rPr>
                <w:rFonts w:ascii="Arial" w:cs="Arial" w:eastAsia="Arial" w:hAnsi="Arial"/>
                <w:sz w:val="18"/>
                <w:szCs w:val="18"/>
                <w:color w:val="auto"/>
              </w:rPr>
              <w:t>DEDUCTIONS FROM NET ASSETS ATTRIBUTED TO:</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159,694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2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2,162,966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28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8,519,316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24,338,095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THE PLAN</w:t>
      </w:r>
    </w:p>
    <w:p>
      <w:pPr>
        <w:spacing w:after="0" w:line="17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following description of the Comcast Spectacor 401(k) Plan (the Plan) provides only general information. Participants should refer to the official Plan document for a complete description of the Plan’s provisions.</w:t>
      </w:r>
    </w:p>
    <w:p>
      <w:pPr>
        <w:spacing w:after="0" w:line="17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The Plan covers “eligible employees,” who have completed the requisite hours of service, as defined in the Plan document, and have attained age 21. The following entities participate in the Plan, referred to collectively as “the Company”:</w:t>
      </w:r>
    </w:p>
    <w:p>
      <w:pPr>
        <w:spacing w:after="0" w:line="14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Spectacor, L.P. (Plan Sponsor)</w:t>
      </w:r>
    </w:p>
    <w:p>
      <w:pPr>
        <w:spacing w:after="0" w:line="15"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CSLP Baysox Club LLC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CSLP Keys Club LLC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CSLP Shorebirds Club LLC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Philadelphia 76ers, L.P.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Philadelphia Phantoms, L.P.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Spectacor, Inc.</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FPS Rink, L.P.</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Disson Skating, LLC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and Record-keeper for the Plan is Citigroup Institutional Trust Company (the Trustee) and CitiStreet LLC, respectively.</w:t>
      </w:r>
    </w:p>
    <w:p>
      <w:pPr>
        <w:spacing w:after="0" w:line="21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Contributions and Related Party Transactions</w:t>
      </w:r>
    </w:p>
    <w:p>
      <w:pPr>
        <w:spacing w:after="0" w:line="171"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w:t>
      </w:r>
    </w:p>
    <w:p>
      <w:pPr>
        <w:spacing w:after="0" w:line="132"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also provides for discretionary profit sharing contributions.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 AND 2005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Participant Accounts</w:t>
      </w:r>
    </w:p>
    <w:p>
      <w:pPr>
        <w:spacing w:after="0" w:line="171" w:lineRule="exact"/>
        <w:rPr>
          <w:sz w:val="20"/>
          <w:szCs w:val="20"/>
          <w:color w:val="auto"/>
        </w:rPr>
      </w:pPr>
    </w:p>
    <w:p>
      <w:pPr>
        <w:jc w:val="both"/>
        <w:ind w:left="460" w:right="360"/>
        <w:spacing w:after="0" w:line="256"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The benefit to which a participant is entitled is the benefit that can be provided from the participant’s account.</w:t>
      </w:r>
    </w:p>
    <w:p>
      <w:pPr>
        <w:spacing w:after="0" w:line="18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Vesting</w:t>
      </w:r>
    </w:p>
    <w:p>
      <w:pPr>
        <w:spacing w:after="0" w:line="171"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Participants are immediately vested in their elective deferral contributions plus actual earnings thereon. Participants shall have a fully (100%) vested and nonforfeitable interest in Company matching contributions for Plan years beginning on or after January 1, 2005. Matching contributions attributable to periods prior to January 1, 2005 will continue to vest according to their original schedule based on years of service. A participant is 100% vested after five years of credited service. Vesting can be accelerated under certain other conditions defined in the Plan document. All forfeited amounts may be applied to Plan expenses including legal, consulting, education materials, etc. or to reduce Company contributions.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whole or partial termination of the Plan, there will be full and immediate vesting of each affected employee’s account balance.</w:t>
      </w:r>
    </w:p>
    <w:p>
      <w:pPr>
        <w:spacing w:after="0" w:line="23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21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Loans to Participants</w:t>
      </w:r>
    </w:p>
    <w:p>
      <w:pPr>
        <w:spacing w:after="0" w:line="17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Trustee may make loans from the Plan to participants in accordance with the Plan document. All loans to participants are considered investments of the participant’s account and accrue interest at the prime rate plus 2%. All loans are to be repaid within five years unless the loan is used to acquire a principal residence, in which case the term may be longer.</w:t>
      </w:r>
    </w:p>
    <w:p>
      <w:pPr>
        <w:spacing w:after="0" w:line="18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 Status</w:t>
      </w:r>
    </w:p>
    <w:p>
      <w:pPr>
        <w:spacing w:after="0" w:line="171"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IRS issued a determination letter to the Plan, dated April 29, 2003, stating that the Plan was qualified under Section 401(a) of the Internal Revenue Code (the Code) and, therefore, is exempt from federal income tax under Section 501(a) of the Code. The Plan has been amended since receiving the determination letter. The Plan Administrator and the Plan’s tax counsel believe that the Plan is designed and is currently being operated in compliance with the applicable requirements of the Code. Therefore, no provision for income taxes has been included in the Plan’s financial statements.</w:t>
      </w:r>
    </w:p>
    <w:p>
      <w:pPr>
        <w:spacing w:after="0" w:line="15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Forfeited Accounts</w:t>
      </w:r>
    </w:p>
    <w:p>
      <w:pPr>
        <w:spacing w:after="0" w:line="171" w:lineRule="exact"/>
        <w:rPr>
          <w:sz w:val="20"/>
          <w:szCs w:val="20"/>
          <w:color w:val="auto"/>
        </w:rPr>
      </w:pPr>
    </w:p>
    <w:p>
      <w:pPr>
        <w:jc w:val="both"/>
        <w:ind w:left="460" w:right="240"/>
        <w:spacing w:after="0" w:line="323" w:lineRule="auto"/>
        <w:rPr>
          <w:sz w:val="20"/>
          <w:szCs w:val="20"/>
          <w:color w:val="auto"/>
        </w:rPr>
      </w:pPr>
      <w:r>
        <w:rPr>
          <w:rFonts w:ascii="Arial" w:cs="Arial" w:eastAsia="Arial" w:hAnsi="Arial"/>
          <w:sz w:val="15"/>
          <w:szCs w:val="15"/>
          <w:color w:val="auto"/>
        </w:rPr>
        <w:t>Amounts contributed by the Company which are forfeited by participants as a result of the participants’ separation from service prior to becoming 100% vested may be used to pay Plan expenses and/or reduce the Company’s required contributions. Pending application of the forfeitures, the Company may direct the Trustee to hold the forfeitures in cash or under investment in a suspense account. Forfeitures used for the years ended December 31, 2006 and 2005 amounted to $44,000 and $0, respectively. Outstanding forfeitures as of December 31, 2006 and 2005 were $208,470 and $215,556, respectively.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 AND 2005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1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Valuation of Investments and Income Recognition</w:t>
      </w:r>
    </w:p>
    <w:p>
      <w:pPr>
        <w:spacing w:after="0" w:line="171"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Plan assets are stated at fair value. The fair value of mutual funds is determined by quoted market price. The change in fair value of assets during the year is measured by the difference between the fair value at year-end and the fair value at the beginning of the year and the impact of any purchases and/or sales during the year and is reflected in the statement of changes in net assets available for benefits as net appreciation in fair value of investments.</w:t>
      </w:r>
    </w:p>
    <w:p>
      <w:pPr>
        <w:spacing w:after="0" w:line="107"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Investment securities are exposed to various risks such as interest rate, market, and credit risks. Due to the level of risk associated with certain investments securities, it is at least reasonably possible that changes in the values of investment securities will occur in the near term and that such changes could materially affect participants’ account balances and amounts reported in the statement of net assets available for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loans are stated at their outstanding balances, which approximates fair value.</w:t>
      </w:r>
    </w:p>
    <w:p>
      <w:pPr>
        <w:spacing w:after="0" w:line="171"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7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171"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In preparing financial statements in conformity with accounting principles generally accepted in the United States of America, management is required to make estimates and assumptions that affect the reported amounts of assets and liabilities, the disclosure of contingent assets and liabilities at the date of the financial statements, and the reported amounts of additions and deductions during the reporting period. Actual results could differ from those estimates.</w:t>
      </w:r>
    </w:p>
    <w:p>
      <w:pPr>
        <w:spacing w:after="0" w:line="12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Payment of Benefits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Benefits are recorded when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Comcast Common Stock</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   4,593,509</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3,005,716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Smith Barney Money Market - Government Portfolio</w:t>
            </w:r>
          </w:p>
        </w:tc>
        <w:tc>
          <w:tcPr>
            <w:tcW w:w="4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1,364,740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EuroPacific Growth Fund - F Share</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3,754,640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2,495,617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Washington Mutual Investors Fund - F Share</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4,360,985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3,231,553</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The Growth Fund of America - F Share</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5,686,502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4,079,592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Baron Growth Fund</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1,871,907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1,569,360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Janus Balanced Fund</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2,231,293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1,711,887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Strong Government Securities Fund</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1,908,900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1,681,525</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Royce Total Return Fund</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1,803,590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1,521,122</w:t>
            </w:r>
          </w:p>
        </w:tc>
      </w:tr>
      <w:tr>
        <w:trPr>
          <w:trHeight w:val="356"/>
        </w:trPr>
        <w:tc>
          <w:tcPr>
            <w:tcW w:w="4680" w:type="dxa"/>
            <w:vAlign w:val="bottom"/>
          </w:tcPr>
          <w:p>
            <w:pPr>
              <w:spacing w:after="0"/>
              <w:rPr>
                <w:sz w:val="24"/>
                <w:szCs w:val="24"/>
                <w:color w:val="auto"/>
              </w:rPr>
            </w:pPr>
          </w:p>
        </w:tc>
        <w:tc>
          <w:tcPr>
            <w:tcW w:w="4340" w:type="dxa"/>
            <w:vAlign w:val="bottom"/>
          </w:tcPr>
          <w:p>
            <w:pPr>
              <w:jc w:val="right"/>
              <w:ind w:right="3112"/>
              <w:spacing w:after="0"/>
              <w:rPr>
                <w:sz w:val="20"/>
                <w:szCs w:val="20"/>
                <w:color w:val="auto"/>
              </w:rPr>
            </w:pPr>
            <w:r>
              <w:rPr>
                <w:rFonts w:ascii="Arial" w:cs="Arial" w:eastAsia="Arial" w:hAnsi="Arial"/>
                <w:sz w:val="18"/>
                <w:szCs w:val="18"/>
                <w:color w:val="auto"/>
              </w:rPr>
              <w:t>-6-</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 AND 2005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2006, the Plan’s investments appreciated in value as follows: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2320" w:type="dxa"/>
            <w:vAlign w:val="bottom"/>
          </w:tcPr>
          <w:p>
            <w:pPr>
              <w:spacing w:after="0"/>
              <w:rPr>
                <w:sz w:val="19"/>
                <w:szCs w:val="19"/>
                <w:color w:val="auto"/>
              </w:rPr>
            </w:pPr>
          </w:p>
        </w:tc>
        <w:tc>
          <w:tcPr>
            <w:tcW w:w="6240" w:type="dxa"/>
            <w:vAlign w:val="bottom"/>
            <w:gridSpan w:val="2"/>
          </w:tcPr>
          <w:p>
            <w:pPr>
              <w:jc w:val="right"/>
              <w:ind w:right="2520"/>
              <w:spacing w:after="0"/>
              <w:rPr>
                <w:sz w:val="20"/>
                <w:szCs w:val="20"/>
                <w:color w:val="auto"/>
              </w:rPr>
            </w:pPr>
            <w:r>
              <w:rPr>
                <w:rFonts w:ascii="Arial" w:cs="Arial" w:eastAsia="Arial" w:hAnsi="Arial"/>
                <w:sz w:val="18"/>
                <w:szCs w:val="18"/>
                <w:b w:val="1"/>
                <w:bCs w:val="1"/>
                <w:color w:val="auto"/>
              </w:rPr>
              <w:t>NET CHANGE IN FAIR VALUE</w:t>
            </w:r>
          </w:p>
        </w:tc>
        <w:tc>
          <w:tcPr>
            <w:tcW w:w="1020" w:type="dxa"/>
            <w:vAlign w:val="bottom"/>
          </w:tcPr>
          <w:p>
            <w:pPr>
              <w:spacing w:after="0"/>
              <w:rPr>
                <w:sz w:val="19"/>
                <w:szCs w:val="19"/>
                <w:color w:val="auto"/>
              </w:rPr>
            </w:pPr>
          </w:p>
        </w:tc>
      </w:tr>
      <w:tr>
        <w:trPr>
          <w:trHeight w:val="340"/>
        </w:trPr>
        <w:tc>
          <w:tcPr>
            <w:tcW w:w="23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3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23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2006</w:t>
            </w: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6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1,813,155</w:t>
            </w: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Mutual Funds</w:t>
            </w:r>
          </w:p>
        </w:tc>
        <w:tc>
          <w:tcPr>
            <w:tcW w:w="6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4"/>
              </w:rPr>
              <w:t>1,727,273</w:t>
            </w:r>
          </w:p>
        </w:tc>
      </w:tr>
      <w:tr>
        <w:trPr>
          <w:trHeight w:val="216"/>
        </w:trPr>
        <w:tc>
          <w:tcPr>
            <w:tcW w:w="23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3,540,428</w:t>
            </w:r>
          </w:p>
        </w:tc>
      </w:tr>
      <w:tr>
        <w:trPr>
          <w:trHeight w:val="20"/>
        </w:trPr>
        <w:tc>
          <w:tcPr>
            <w:tcW w:w="23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TRUST AGREEMENT</w:t>
      </w:r>
    </w:p>
    <w:p>
      <w:pPr>
        <w:spacing w:after="0" w:line="1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Comcast Spectacor, L.P., as Plan Sponsor, entered into a trust agreement with Citigroup Institutional Trust Company (formerly known as Smith Barney Corporate Trust Company), a party-in-interest. Under the terms of this agreement, the Trustee will hold, invest and reinvest the funds. Comcast Spectacor, L.P. has no right, title or interest in or to the trust fund maintained under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PLAN TERMINATION</w:t>
      </w:r>
    </w:p>
    <w:p>
      <w:pPr>
        <w:spacing w:after="0" w:line="177"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Although no participating employer has expressed any intent to do so, each participating employer has the right under the Plan to discontinue its contributions and to terminate the Plan with the respect to its employees. Additionally, Comcast Spectacor, L.P. has the right to terminate the Plan. In the event of Plan termination, participants will become 100% vested in their accounts.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w w:val="91"/>
              </w:rPr>
              <w:t>EIN 23-2303756</w:t>
            </w:r>
          </w:p>
        </w:tc>
      </w:tr>
      <w:tr>
        <w:trPr>
          <w:trHeight w:val="228"/>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PLAN NO. 004</w:t>
            </w:r>
          </w:p>
        </w:tc>
      </w:tr>
      <w:tr>
        <w:trPr>
          <w:trHeight w:val="340"/>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7"/>
              </w:rPr>
              <w:t>(c) Description of Investment</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tcPr>
          <w:p>
            <w:pPr>
              <w:jc w:val="center"/>
              <w:ind w:left="1136"/>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80" w:type="dxa"/>
            <w:vAlign w:val="bottom"/>
          </w:tcPr>
          <w:p>
            <w:pPr>
              <w:ind w:left="2080"/>
              <w:spacing w:after="0" w:line="149" w:lineRule="exact"/>
              <w:rPr>
                <w:sz w:val="20"/>
                <w:szCs w:val="20"/>
                <w:color w:val="auto"/>
              </w:rPr>
            </w:pPr>
            <w:r>
              <w:rPr>
                <w:rFonts w:ascii="Arial" w:cs="Arial" w:eastAsia="Arial" w:hAnsi="Arial"/>
                <w:sz w:val="14"/>
                <w:szCs w:val="14"/>
                <w:b w:val="1"/>
                <w:bCs w:val="1"/>
                <w:color w:val="auto"/>
              </w:rPr>
              <w:t>(b) Identity of Issue, Borrower, Lessor,</w:t>
            </w:r>
          </w:p>
        </w:tc>
        <w:tc>
          <w:tcPr>
            <w:tcW w:w="220" w:type="dxa"/>
            <w:vAlign w:val="bottom"/>
          </w:tcPr>
          <w:p>
            <w:pPr>
              <w:spacing w:after="0"/>
              <w:rPr>
                <w:sz w:val="12"/>
                <w:szCs w:val="12"/>
                <w:color w:val="auto"/>
              </w:rPr>
            </w:pPr>
          </w:p>
        </w:tc>
        <w:tc>
          <w:tcPr>
            <w:tcW w:w="2980" w:type="dxa"/>
            <w:vAlign w:val="bottom"/>
            <w:gridSpan w:val="3"/>
          </w:tcPr>
          <w:p>
            <w:pPr>
              <w:jc w:val="center"/>
              <w:ind w:left="856"/>
              <w:spacing w:after="0" w:line="149" w:lineRule="exact"/>
              <w:rPr>
                <w:sz w:val="20"/>
                <w:szCs w:val="20"/>
                <w:color w:val="auto"/>
              </w:rPr>
            </w:pPr>
            <w:r>
              <w:rPr>
                <w:rFonts w:ascii="Arial" w:cs="Arial" w:eastAsia="Arial" w:hAnsi="Arial"/>
                <w:sz w:val="14"/>
                <w:szCs w:val="14"/>
                <w:b w:val="1"/>
                <w:bCs w:val="1"/>
                <w:color w:val="auto"/>
                <w:w w:val="88"/>
              </w:rPr>
              <w:t>Rate of Interest, Collateral, Par, or</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638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or Similar Party</w:t>
            </w:r>
          </w:p>
        </w:tc>
        <w:tc>
          <w:tcPr>
            <w:tcW w:w="220" w:type="dxa"/>
            <w:vAlign w:val="bottom"/>
          </w:tcPr>
          <w:p>
            <w:pPr>
              <w:spacing w:after="0"/>
              <w:rPr>
                <w:sz w:val="14"/>
                <w:szCs w:val="14"/>
                <w:color w:val="auto"/>
              </w:rPr>
            </w:pPr>
          </w:p>
        </w:tc>
        <w:tc>
          <w:tcPr>
            <w:tcW w:w="2700" w:type="dxa"/>
            <w:vAlign w:val="bottom"/>
            <w:tcBorders>
              <w:bottom w:val="single" w:sz="8" w:color="auto"/>
            </w:tcBorders>
          </w:tcPr>
          <w:p>
            <w:pPr>
              <w:jc w:val="center"/>
              <w:ind w:left="1136"/>
              <w:spacing w:after="0"/>
              <w:rPr>
                <w:sz w:val="20"/>
                <w:szCs w:val="20"/>
                <w:color w:val="auto"/>
              </w:rPr>
            </w:pPr>
            <w:r>
              <w:rPr>
                <w:rFonts w:ascii="Arial" w:cs="Arial" w:eastAsia="Arial" w:hAnsi="Arial"/>
                <w:sz w:val="14"/>
                <w:szCs w:val="14"/>
                <w:b w:val="1"/>
                <w:bCs w:val="1"/>
                <w:color w:val="auto"/>
                <w:w w:val="91"/>
              </w:rPr>
              <w:t>Maturity Value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6"/>
        </w:trPr>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54"/>
              <w:spacing w:after="0" w:line="136" w:lineRule="exact"/>
              <w:rPr>
                <w:sz w:val="20"/>
                <w:szCs w:val="20"/>
                <w:color w:val="auto"/>
              </w:rPr>
            </w:pPr>
            <w:r>
              <w:rPr>
                <w:rFonts w:ascii="Arial" w:cs="Arial" w:eastAsia="Arial" w:hAnsi="Arial"/>
                <w:sz w:val="14"/>
                <w:szCs w:val="14"/>
                <w:b w:val="1"/>
                <w:bCs w:val="1"/>
                <w:color w:val="auto"/>
                <w:w w:val="92"/>
              </w:rPr>
              <w:t>(e) Current</w:t>
            </w:r>
          </w:p>
        </w:tc>
        <w:tc>
          <w:tcPr>
            <w:tcW w:w="2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Smith Barney participant loans</w:t>
            </w:r>
          </w:p>
        </w:tc>
        <w:tc>
          <w:tcPr>
            <w:tcW w:w="220" w:type="dxa"/>
            <w:vAlign w:val="bottom"/>
            <w:shd w:val="clear" w:color="auto" w:fill="CCEEFF"/>
          </w:tcPr>
          <w:p>
            <w:pPr>
              <w:spacing w:after="0"/>
              <w:rPr>
                <w:sz w:val="17"/>
                <w:szCs w:val="17"/>
                <w:color w:val="auto"/>
              </w:rPr>
            </w:pPr>
          </w:p>
        </w:tc>
        <w:tc>
          <w:tcPr>
            <w:tcW w:w="2700" w:type="dxa"/>
            <w:vAlign w:val="bottom"/>
            <w:shd w:val="clear" w:color="auto" w:fill="CCEEFF"/>
          </w:tcPr>
          <w:p>
            <w:pPr>
              <w:jc w:val="center"/>
              <w:ind w:right="96"/>
              <w:spacing w:after="0" w:line="201" w:lineRule="exact"/>
              <w:rPr>
                <w:sz w:val="20"/>
                <w:szCs w:val="20"/>
                <w:color w:val="auto"/>
              </w:rPr>
            </w:pPr>
            <w:r>
              <w:rPr>
                <w:rFonts w:ascii="Arial" w:cs="Arial" w:eastAsia="Arial" w:hAnsi="Arial"/>
                <w:sz w:val="18"/>
                <w:szCs w:val="18"/>
                <w:color w:val="auto"/>
                <w:w w:val="88"/>
              </w:rPr>
              <w:t>Interest rates from 5.75%-</w:t>
            </w:r>
          </w:p>
        </w:tc>
        <w:tc>
          <w:tcPr>
            <w:tcW w:w="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10.25%;</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502,595</w:t>
            </w:r>
          </w:p>
        </w:tc>
        <w:tc>
          <w:tcPr>
            <w:tcW w:w="2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89"/>
              </w:rPr>
              <w:t>maturities from 2007-2036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EuroPacific Growth Fund - F Share</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3,754,640</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Washington Mutual Investors Fund - F Share</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4,360,985</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The Growth Fund of America - F Share</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5,686,502</w:t>
            </w:r>
          </w:p>
        </w:tc>
        <w:tc>
          <w:tcPr>
            <w:tcW w:w="20" w:type="dxa"/>
            <w:vAlign w:val="bottom"/>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Comcast Common Stock</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89"/>
              </w:rPr>
              <w:t>Common stock</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4,593,509</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Baron Growth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1,871,907</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Cohen and Steers Realty Shares</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773,228</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Dreyfus Appreciation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339,921</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Dreyfus US Treasury Long Term Fund</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530,954</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Dreyfus Premier Emerging Markets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1,570,211</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ING GNMA Income Fund</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408,204</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Janus Balanced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2,231,293</w:t>
            </w:r>
          </w:p>
        </w:tc>
        <w:tc>
          <w:tcPr>
            <w:tcW w:w="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Strong Government Securities Fund</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1,908,900</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Royce Total Return Fund</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1,803,590</w:t>
            </w:r>
          </w:p>
        </w:tc>
        <w:tc>
          <w:tcPr>
            <w:tcW w:w="20" w:type="dxa"/>
            <w:vAlign w:val="bottom"/>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Smith Barney Money Market - Government Portfolio</w:t>
            </w:r>
          </w:p>
        </w:tc>
        <w:tc>
          <w:tcPr>
            <w:tcW w:w="220" w:type="dxa"/>
            <w:vAlign w:val="bottom"/>
          </w:tcPr>
          <w:p>
            <w:pPr>
              <w:spacing w:after="0"/>
              <w:rPr>
                <w:sz w:val="18"/>
                <w:szCs w:val="18"/>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1,570,655</w:t>
            </w:r>
          </w:p>
        </w:tc>
        <w:tc>
          <w:tcPr>
            <w:tcW w:w="2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 Rowe Price International Bond Advisor</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373,524</w:t>
            </w:r>
          </w:p>
        </w:tc>
        <w:tc>
          <w:tcPr>
            <w:tcW w:w="20" w:type="dxa"/>
            <w:vAlign w:val="bottom"/>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American Century Vista Advisors</w:t>
            </w:r>
          </w:p>
        </w:tc>
        <w:tc>
          <w:tcPr>
            <w:tcW w:w="220" w:type="dxa"/>
            <w:vAlign w:val="bottom"/>
          </w:tcPr>
          <w:p>
            <w:pPr>
              <w:spacing w:after="0"/>
              <w:rPr>
                <w:sz w:val="19"/>
                <w:szCs w:val="19"/>
                <w:color w:val="auto"/>
              </w:rPr>
            </w:pPr>
          </w:p>
        </w:tc>
        <w:tc>
          <w:tcPr>
            <w:tcW w:w="2700" w:type="dxa"/>
            <w:vAlign w:val="bottom"/>
          </w:tcPr>
          <w:p>
            <w:pPr>
              <w:jc w:val="center"/>
              <w:ind w:right="96"/>
              <w:spacing w:after="0"/>
              <w:rPr>
                <w:sz w:val="20"/>
                <w:szCs w:val="20"/>
                <w:color w:val="auto"/>
              </w:rPr>
            </w:pPr>
            <w:r>
              <w:rPr>
                <w:rFonts w:ascii="Arial" w:cs="Arial" w:eastAsia="Arial" w:hAnsi="Arial"/>
                <w:sz w:val="18"/>
                <w:szCs w:val="18"/>
                <w:color w:val="auto"/>
                <w:w w:val="93"/>
              </w:rPr>
              <w:t>Mutual fund</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493,336</w:t>
            </w:r>
          </w:p>
        </w:tc>
        <w:tc>
          <w:tcPr>
            <w:tcW w:w="20" w:type="dxa"/>
            <w:vAlign w:val="bottom"/>
          </w:tcPr>
          <w:p>
            <w:pPr>
              <w:spacing w:after="0"/>
              <w:rPr>
                <w:sz w:val="19"/>
                <w:szCs w:val="19"/>
                <w:color w:val="auto"/>
              </w:rPr>
            </w:pPr>
          </w:p>
        </w:tc>
      </w:tr>
      <w:tr>
        <w:trPr>
          <w:trHeight w:val="216"/>
        </w:trPr>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32,773,954</w:t>
            </w:r>
          </w:p>
        </w:tc>
        <w:tc>
          <w:tcPr>
            <w:tcW w:w="2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333-101295 of Comcast Corporation on Form S-8 of our report dated June 26, 2007, relating to the statements of net assets available for benefits as of December 31, 2006 and 2005, the related statement of changes in net assets available for benefits for the year ended December 31, 2006 and the related supplemental Schedule H - Line 4i - schedule of assets (held at end of year) as of December 31, 2006, which report appears in the December 31, 2006 Annual Report on Form 11-K of the Comcast Spectacor 401(k) Plan.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26, 2007</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SPECTACOR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401(k) PLAN</w:t>
      </w:r>
    </w:p>
    <w:p>
      <w:pPr>
        <w:spacing w:after="0" w:line="232"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30"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Chief</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Accounting Officer and Controller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8"/>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2019-12-15T07:01:07Z</dcterms:created>
  <dcterms:modified xsi:type="dcterms:W3CDTF">2019-12-15T07:01:07Z</dcterms:modified>
</cp:coreProperties>
</file>