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5, 2014</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80010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S-4</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jc w:val="center"/>
        <w:spacing w:after="0" w:line="237" w:lineRule="auto"/>
        <w:rPr>
          <w:sz w:val="20"/>
          <w:szCs w:val="20"/>
          <w:color w:val="auto"/>
        </w:rPr>
      </w:pPr>
      <w:r>
        <w:rPr>
          <w:rFonts w:ascii="Arial" w:cs="Arial" w:eastAsia="Arial" w:hAnsi="Arial"/>
          <w:sz w:val="19"/>
          <w:szCs w:val="19"/>
          <w:b w:val="1"/>
          <w:bCs w:val="1"/>
          <w:i w:val="1"/>
          <w:iCs w:val="1"/>
          <w:color w:val="auto"/>
        </w:rPr>
        <w:t>UNDER</w:t>
      </w:r>
    </w:p>
    <w:p>
      <w:pPr>
        <w:jc w:val="center"/>
        <w:spacing w:after="0"/>
        <w:rPr>
          <w:sz w:val="20"/>
          <w:szCs w:val="20"/>
          <w:color w:val="auto"/>
        </w:rPr>
      </w:pPr>
      <w:r>
        <w:rPr>
          <w:rFonts w:ascii="Arial" w:cs="Arial" w:eastAsia="Arial" w:hAnsi="Arial"/>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45720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COMCAST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190"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2480"/>
        <w:spacing w:after="0"/>
        <w:rPr>
          <w:sz w:val="20"/>
          <w:szCs w:val="20"/>
          <w:color w:val="auto"/>
        </w:rPr>
      </w:pPr>
      <w:r>
        <w:rPr>
          <w:rFonts w:ascii="Arial" w:cs="Arial" w:eastAsia="Arial" w:hAnsi="Arial"/>
          <w:sz w:val="14"/>
          <w:szCs w:val="14"/>
          <w:b w:val="1"/>
          <w:bCs w:val="1"/>
          <w:color w:val="auto"/>
        </w:rPr>
        <w:t>4841</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27-0000798</w:t>
      </w:r>
    </w:p>
    <w:p>
      <w:pPr>
        <w:spacing w:after="0" w:line="36" w:lineRule="exact"/>
        <w:rPr>
          <w:sz w:val="24"/>
          <w:szCs w:val="24"/>
          <w:color w:val="auto"/>
        </w:rPr>
      </w:pPr>
    </w:p>
    <w:p>
      <w:pPr>
        <w:sectPr>
          <w:pgSz w:w="11900" w:h="16838" w:orient="portrait"/>
          <w:cols w:equalWidth="0" w:num="3">
            <w:col w:w="4960" w:space="720"/>
            <w:col w:w="2800" w:space="720"/>
            <w:col w:w="2220"/>
          </w:cols>
          <w:pgMar w:left="240" w:top="234" w:right="239" w:bottom="1440" w:gutter="0" w:footer="0" w:header="0"/>
          <w:type w:val="continuous"/>
        </w:sectPr>
      </w:pP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b w:val="1"/>
          <w:bCs w:val="1"/>
          <w:color w:val="auto"/>
        </w:rPr>
        <w:t>(State or Other Jurisdiction of</w:t>
      </w:r>
    </w:p>
    <w:p>
      <w:pPr>
        <w:ind w:left="9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(Primary Standard Industrial</w:t>
      </w:r>
    </w:p>
    <w:p>
      <w:pPr>
        <w:ind w:left="40"/>
        <w:spacing w:after="0"/>
        <w:rPr>
          <w:sz w:val="20"/>
          <w:szCs w:val="20"/>
          <w:color w:val="auto"/>
        </w:rPr>
      </w:pP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Arial" w:cs="Arial" w:eastAsia="Arial" w:hAnsi="Arial"/>
          <w:sz w:val="14"/>
          <w:szCs w:val="14"/>
          <w:b w:val="1"/>
          <w:bCs w:val="1"/>
          <w:color w:val="auto"/>
        </w:rPr>
        <w:t>(I.R.S. Employer</w:t>
      </w:r>
    </w:p>
    <w:p>
      <w:pPr>
        <w:jc w:val="center"/>
        <w:ind w:right="1100"/>
        <w:spacing w:after="0"/>
        <w:rPr>
          <w:sz w:val="20"/>
          <w:szCs w:val="20"/>
          <w:color w:val="auto"/>
        </w:rPr>
      </w:pPr>
      <w:r>
        <w:rPr>
          <w:rFonts w:ascii="Arial" w:cs="Arial" w:eastAsia="Arial" w:hAnsi="Arial"/>
          <w:sz w:val="13"/>
          <w:szCs w:val="13"/>
          <w:b w:val="1"/>
          <w:bCs w:val="1"/>
          <w:color w:val="auto"/>
        </w:rPr>
        <w:t>Identification Number)</w:t>
      </w:r>
    </w:p>
    <w:p>
      <w:pPr>
        <w:spacing w:after="0" w:line="21" w:lineRule="exact"/>
        <w:rPr>
          <w:sz w:val="24"/>
          <w:szCs w:val="24"/>
          <w:color w:val="auto"/>
        </w:rPr>
      </w:pPr>
    </w:p>
    <w:p>
      <w:pPr>
        <w:sectPr>
          <w:pgSz w:w="11900" w:h="16838" w:orient="portrait"/>
          <w:cols w:equalWidth="0" w:num="3">
            <w:col w:w="4200" w:space="720"/>
            <w:col w:w="3240" w:space="720"/>
            <w:col w:w="2540"/>
          </w:cols>
          <w:pgMar w:left="240" w:top="23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One Comcast Center</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Philadelphia, Pennsylvania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(215) 286-1700</w:t>
      </w:r>
    </w:p>
    <w:p>
      <w:pPr>
        <w:sectPr>
          <w:pgSz w:w="11900" w:h="16838" w:orient="portrait"/>
          <w:cols w:equalWidth="0" w:num="1">
            <w:col w:w="11420"/>
          </w:cols>
          <w:pgMar w:left="240" w:top="234"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Arthur R. Block, Esq.</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Senior Vice President,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 Counsel and Secretary</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Comcast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One Comcast Center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Philadelphia, Pennsylvania</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19103-2838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(215) 286-1700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47625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3"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940" w:type="dxa"/>
            <w:vAlign w:val="bottom"/>
          </w:tcPr>
          <w:p>
            <w:pPr>
              <w:jc w:val="center"/>
              <w:ind w:left="60"/>
              <w:spacing w:after="0"/>
              <w:rPr>
                <w:sz w:val="20"/>
                <w:szCs w:val="20"/>
                <w:color w:val="auto"/>
              </w:rPr>
            </w:pPr>
            <w:r>
              <w:rPr>
                <w:rFonts w:ascii="Arial" w:cs="Arial" w:eastAsia="Arial" w:hAnsi="Arial"/>
                <w:sz w:val="14"/>
                <w:szCs w:val="14"/>
                <w:b w:val="1"/>
                <w:bCs w:val="1"/>
                <w:i w:val="1"/>
                <w:iCs w:val="1"/>
                <w:color w:val="auto"/>
                <w:w w:val="87"/>
              </w:rPr>
              <w:t>Copies to:</w:t>
            </w:r>
          </w:p>
        </w:tc>
        <w:tc>
          <w:tcPr>
            <w:tcW w:w="3000" w:type="dxa"/>
            <w:vAlign w:val="bottom"/>
          </w:tcPr>
          <w:p>
            <w:pPr>
              <w:spacing w:after="0"/>
              <w:rPr>
                <w:sz w:val="14"/>
                <w:szCs w:val="14"/>
                <w:color w:val="auto"/>
              </w:rPr>
            </w:pP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David L. Caplan,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Marc Lawrence-Apfelbaum, Esq.</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0"/>
              </w:rPr>
              <w:t>Robert B. Schumer,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4"/>
              </w:rPr>
              <w:t>William J. Chudd,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Executive Vice President, General</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2"/>
              </w:rPr>
              <w:t>Ariel J. Deckelbaum, Esq.</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Bruce K. Dallas, Esq.</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89"/>
              </w:rPr>
              <w:t>Counsel and Secretary</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88"/>
              </w:rPr>
              <w:t>Ross A. Fieldston, Esq.</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5"/>
              </w:rPr>
              <w:t>Davis Polk &amp; Wardwell LLP</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4"/>
              </w:rPr>
              <w:t>Time Warner Cable Inc.</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4"/>
              </w:rPr>
              <w:t>Paul, Weiss, Rifkind, Wharton &amp;</w:t>
            </w:r>
          </w:p>
        </w:tc>
      </w:tr>
      <w:tr>
        <w:trPr>
          <w:trHeight w:val="203"/>
        </w:trPr>
        <w:tc>
          <w:tcPr>
            <w:tcW w:w="2840" w:type="dxa"/>
            <w:vAlign w:val="bottom"/>
          </w:tcPr>
          <w:p>
            <w:pPr>
              <w:jc w:val="center"/>
              <w:ind w:right="799"/>
              <w:spacing w:after="0"/>
              <w:rPr>
                <w:sz w:val="20"/>
                <w:szCs w:val="20"/>
                <w:color w:val="auto"/>
              </w:rPr>
            </w:pPr>
            <w:r>
              <w:rPr>
                <w:rFonts w:ascii="Arial" w:cs="Arial" w:eastAsia="Arial" w:hAnsi="Arial"/>
                <w:sz w:val="16"/>
                <w:szCs w:val="16"/>
                <w:b w:val="1"/>
                <w:bCs w:val="1"/>
                <w:color w:val="auto"/>
                <w:w w:val="90"/>
              </w:rPr>
              <w:t>450 Lexington Ave.</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60 Columbus Circle</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6"/>
              </w:rPr>
              <w:t>Garrison LLP</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New York, New York 10017</w:t>
            </w:r>
          </w:p>
        </w:tc>
        <w:tc>
          <w:tcPr>
            <w:tcW w:w="394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New York, New York 10023</w:t>
            </w: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89"/>
              </w:rPr>
              <w:t>1285 Avenue of the Americas</w:t>
            </w:r>
          </w:p>
        </w:tc>
      </w:tr>
      <w:tr>
        <w:trPr>
          <w:trHeight w:val="203"/>
        </w:trPr>
        <w:tc>
          <w:tcPr>
            <w:tcW w:w="2840" w:type="dxa"/>
            <w:vAlign w:val="bottom"/>
          </w:tcPr>
          <w:p>
            <w:pPr>
              <w:jc w:val="center"/>
              <w:ind w:right="779"/>
              <w:spacing w:after="0"/>
              <w:rPr>
                <w:sz w:val="20"/>
                <w:szCs w:val="20"/>
                <w:color w:val="auto"/>
              </w:rPr>
            </w:pPr>
            <w:r>
              <w:rPr>
                <w:rFonts w:ascii="Arial" w:cs="Arial" w:eastAsia="Arial" w:hAnsi="Arial"/>
                <w:sz w:val="16"/>
                <w:szCs w:val="16"/>
                <w:b w:val="1"/>
                <w:bCs w:val="1"/>
                <w:color w:val="auto"/>
                <w:w w:val="93"/>
              </w:rPr>
              <w:t>(212) 450-4000</w:t>
            </w:r>
          </w:p>
        </w:tc>
        <w:tc>
          <w:tcPr>
            <w:tcW w:w="394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(212) 364-8200</w:t>
            </w:r>
          </w:p>
        </w:tc>
        <w:tc>
          <w:tcPr>
            <w:tcW w:w="3000" w:type="dxa"/>
            <w:vAlign w:val="bottom"/>
          </w:tcPr>
          <w:p>
            <w:pPr>
              <w:jc w:val="center"/>
              <w:ind w:left="619"/>
              <w:spacing w:after="0"/>
              <w:rPr>
                <w:sz w:val="20"/>
                <w:szCs w:val="20"/>
                <w:color w:val="auto"/>
              </w:rPr>
            </w:pPr>
            <w:r>
              <w:rPr>
                <w:rFonts w:ascii="Arial" w:cs="Arial" w:eastAsia="Arial" w:hAnsi="Arial"/>
                <w:sz w:val="16"/>
                <w:szCs w:val="16"/>
                <w:b w:val="1"/>
                <w:bCs w:val="1"/>
                <w:color w:val="auto"/>
                <w:w w:val="93"/>
              </w:rPr>
              <w:t>New York, New York 10019</w:t>
            </w:r>
          </w:p>
        </w:tc>
      </w:tr>
      <w:tr>
        <w:trPr>
          <w:trHeight w:val="210"/>
        </w:trPr>
        <w:tc>
          <w:tcPr>
            <w:tcW w:w="2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7" w:lineRule="exact"/>
        <w:rPr>
          <w:sz w:val="24"/>
          <w:szCs w:val="24"/>
          <w:color w:val="auto"/>
        </w:rPr>
      </w:pPr>
    </w:p>
    <w:p>
      <w:pPr>
        <w:ind w:right="20" w:firstLine="342"/>
        <w:spacing w:after="0" w:line="30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merger of Tango Acquisition Sub, Inc., a wholly owned subsidiary of Comcast Corporation (“Comcast”), with and into Time Warner Cable Inc. (“TWC”).</w:t>
      </w:r>
    </w:p>
    <w:p>
      <w:pPr>
        <w:spacing w:after="0" w:line="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right="120" w:firstLine="342"/>
        <w:spacing w:after="0" w:line="210"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right="20" w:firstLine="342"/>
        <w:spacing w:after="0" w:line="210"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5" w:lineRule="exact"/>
        <w:rPr>
          <w:sz w:val="24"/>
          <w:szCs w:val="24"/>
          <w:color w:val="auto"/>
        </w:rPr>
      </w:pPr>
    </w:p>
    <w:p>
      <w:pPr>
        <w:ind w:firstLine="342"/>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83"/>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80" w:type="dxa"/>
            <w:vAlign w:val="bottom"/>
          </w:tcPr>
          <w:p>
            <w:pPr>
              <w:ind w:left="352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46"/>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8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5480" w:type="dxa"/>
            <w:vAlign w:val="bottom"/>
          </w:tcPr>
          <w:p>
            <w:pPr>
              <w:ind w:left="352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6"/>
        </w:trPr>
        <w:tc>
          <w:tcPr>
            <w:tcW w:w="10980" w:type="dxa"/>
            <w:vAlign w:val="bottom"/>
            <w:gridSpan w:val="3"/>
          </w:tcPr>
          <w:p>
            <w:pPr>
              <w:ind w:left="2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500" w:type="dxa"/>
            <w:vAlign w:val="bottom"/>
            <w:gridSpan w:val="2"/>
          </w:tcPr>
          <w:p>
            <w:pPr>
              <w:ind w:left="260"/>
              <w:spacing w:after="0" w:line="184" w:lineRule="exact"/>
              <w:rPr>
                <w:sz w:val="20"/>
                <w:szCs w:val="20"/>
                <w:color w:val="auto"/>
              </w:rPr>
            </w:pPr>
            <w:r>
              <w:rPr>
                <w:rFonts w:ascii="Arial" w:cs="Arial" w:eastAsia="Arial" w:hAnsi="Arial"/>
                <w:sz w:val="16"/>
                <w:szCs w:val="16"/>
                <w:color w:val="auto"/>
                <w:w w:val="95"/>
              </w:rPr>
              <w:t xml:space="preserve">Securities Exchange Act Rule 13e-4(i) (Cross-Border Issuer Tender Offer) </w:t>
            </w:r>
            <w:r>
              <w:rPr>
                <w:rFonts w:ascii="MS PGothic" w:cs="MS PGothic" w:eastAsia="MS PGothic" w:hAnsi="MS PGothic"/>
                <w:sz w:val="16"/>
                <w:szCs w:val="16"/>
                <w:color w:val="auto"/>
                <w:w w:val="95"/>
              </w:rPr>
              <w:t>☐</w:t>
            </w:r>
          </w:p>
        </w:tc>
        <w:tc>
          <w:tcPr>
            <w:tcW w:w="548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60"/>
              <w:spacing w:after="0"/>
              <w:rPr>
                <w:sz w:val="20"/>
                <w:szCs w:val="20"/>
                <w:color w:val="auto"/>
              </w:rPr>
            </w:pPr>
            <w:r>
              <w:rPr>
                <w:rFonts w:ascii="Arial" w:cs="Arial" w:eastAsia="Arial" w:hAnsi="Arial"/>
                <w:sz w:val="16"/>
                <w:szCs w:val="16"/>
                <w:color w:val="auto"/>
                <w:w w:val="93"/>
              </w:rPr>
              <w:t>Securities Exchange Act Rule 14d-l(d) (Cross-Border Third-Party Tender Offer)</w:t>
            </w:r>
          </w:p>
        </w:tc>
        <w:tc>
          <w:tcPr>
            <w:tcW w:w="54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78105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Comcast Corporation is filing this Amendment No. 6 (this “Amendment”) to its registration statement on Form S-4 (the “Registration Statement”) as an exhibit-only filing to re-file Exhibits 8.1, 8.2, 23.4 and 23.5 previously filed with the Registration Statement. Accordingly, this Amendment consists only of the cover page, this explanatory note, Part II of the Registration Statement, the signature pages to the Registration Statement and Exhibits 8.1, 8.2, 23.4 and 23.5. The joint proxy statement/prospectus contained in the Registration Statement is unchanged and has been omitted.</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Articles of Incorporation and By-laws.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6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 w:name="page4"/>
    <w:bookmarkEnd w:id="3"/>
    <w:p>
      <w:pPr>
        <w:ind w:right="2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87" w:lineRule="exact"/>
        <w:rPr>
          <w:sz w:val="20"/>
          <w:szCs w:val="20"/>
          <w:color w:val="auto"/>
        </w:rPr>
      </w:pPr>
    </w:p>
    <w:p>
      <w:pPr>
        <w:jc w:val="center"/>
        <w:ind w:right="160"/>
        <w:spacing w:after="0" w:line="449"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Comcast’s articles and by-laws. II-2</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 or incorporated herein by reference: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5"/>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60"/>
          </w:cols>
          <w:pgMar w:left="240" w:top="253"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Undertakings</w:t>
      </w:r>
    </w:p>
    <w:p>
      <w:pPr>
        <w:spacing w:after="0" w:line="13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20" w:right="60" w:hanging="440"/>
        <w:spacing w:after="0" w:line="291" w:lineRule="auto"/>
        <w:tabs>
          <w:tab w:leader="none" w:pos="1920" w:val="left"/>
        </w:tabs>
        <w:numPr>
          <w:ilvl w:val="2"/>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2" w:lineRule="exact"/>
        <w:rPr>
          <w:rFonts w:ascii="Arial" w:cs="Arial" w:eastAsia="Arial" w:hAnsi="Arial"/>
          <w:sz w:val="16"/>
          <w:szCs w:val="16"/>
          <w:color w:val="auto"/>
        </w:rPr>
      </w:pPr>
    </w:p>
    <w:p>
      <w:pPr>
        <w:ind w:left="1920" w:right="20" w:hanging="440"/>
        <w:spacing w:after="0" w:line="277" w:lineRule="auto"/>
        <w:tabs>
          <w:tab w:leader="none" w:pos="19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480" w:hanging="567"/>
        <w:spacing w:after="0" w:line="264"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80" w:hanging="567"/>
        <w:spacing w:after="0" w:line="290" w:lineRule="auto"/>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1480" w:right="80" w:hanging="567"/>
        <w:spacing w:after="0" w:line="276" w:lineRule="auto"/>
        <w:tabs>
          <w:tab w:leader="none" w:pos="14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920" w:hanging="440"/>
        <w:spacing w:after="0" w:line="277" w:lineRule="auto"/>
        <w:tabs>
          <w:tab w:leader="none" w:pos="19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20" w:right="60" w:hanging="440"/>
        <w:spacing w:after="0" w:line="277" w:lineRule="auto"/>
        <w:tabs>
          <w:tab w:leader="none" w:pos="19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270" w:right="279" w:bottom="1440" w:gutter="0" w:footer="0" w:header="0"/>
        </w:sectPr>
      </w:pPr>
    </w:p>
    <w:bookmarkStart w:id="7" w:name="page8"/>
    <w:bookmarkEnd w:id="7"/>
    <w:p>
      <w:pPr>
        <w:ind w:left="1466" w:right="400" w:hanging="440"/>
        <w:spacing w:after="0" w:line="277" w:lineRule="auto"/>
        <w:tabs>
          <w:tab w:leader="none" w:pos="1466" w:val="left"/>
        </w:tabs>
        <w:numPr>
          <w:ilvl w:val="2"/>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446" w:right="40" w:hanging="446"/>
        <w:spacing w:after="0" w:line="276" w:lineRule="auto"/>
        <w:tabs>
          <w:tab w:leader="none" w:pos="44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446" w:right="100" w:hanging="446"/>
        <w:spacing w:after="0" w:line="25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3" w:lineRule="exact"/>
        <w:rPr>
          <w:rFonts w:ascii="Arial" w:cs="Arial" w:eastAsia="Arial" w:hAnsi="Arial"/>
          <w:sz w:val="18"/>
          <w:szCs w:val="18"/>
          <w:color w:val="auto"/>
        </w:rPr>
      </w:pPr>
    </w:p>
    <w:p>
      <w:pPr>
        <w:ind w:left="1026" w:right="20" w:hanging="567"/>
        <w:spacing w:after="0" w:line="255" w:lineRule="auto"/>
        <w:tabs>
          <w:tab w:leader="none" w:pos="1026"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446" w:hanging="446"/>
        <w:spacing w:after="0" w:line="290" w:lineRule="auto"/>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71" w:lineRule="exact"/>
        <w:rPr>
          <w:rFonts w:ascii="Arial" w:cs="Arial" w:eastAsia="Arial" w:hAnsi="Arial"/>
          <w:sz w:val="16"/>
          <w:szCs w:val="16"/>
          <w:color w:val="auto"/>
        </w:rPr>
      </w:pPr>
    </w:p>
    <w:p>
      <w:pPr>
        <w:ind w:left="446" w:right="100" w:hanging="446"/>
        <w:spacing w:after="0" w:line="259"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446" w:right="20" w:hanging="446"/>
        <w:spacing w:after="0" w:line="342" w:lineRule="auto"/>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5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966"/>
          </w:cols>
          <w:pgMar w:left="694"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FOR COMCAST CORPORATION</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September 5, 2014.</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Arthur R. Block</w:t>
      </w:r>
    </w:p>
    <w:p>
      <w:pPr>
        <w:spacing w:after="0" w:line="23" w:lineRule="exact"/>
        <w:rPr>
          <w:sz w:val="20"/>
          <w:szCs w:val="20"/>
          <w:color w:val="auto"/>
        </w:rPr>
      </w:pPr>
    </w:p>
    <w:tbl>
      <w:tblPr>
        <w:tblLayout w:type="fixed"/>
        <w:tblInd w:w="7120" w:type="dxa"/>
        <w:tblCellMar>
          <w:top w:w="0" w:type="dxa"/>
          <w:left w:w="0" w:type="dxa"/>
          <w:bottom w:w="0" w:type="dxa"/>
          <w:right w:w="0" w:type="dxa"/>
        </w:tblCellMar>
      </w:tblPr>
      <w:tr>
        <w:trPr>
          <w:trHeight w:val="209"/>
        </w:trPr>
        <w:tc>
          <w:tcPr>
            <w:tcW w:w="7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Arthur R. Block</w:t>
            </w:r>
          </w:p>
        </w:tc>
      </w:tr>
      <w:tr>
        <w:trPr>
          <w:trHeight w:val="216"/>
        </w:trPr>
        <w:tc>
          <w:tcPr>
            <w:tcW w:w="700" w:type="dxa"/>
            <w:vAlign w:val="bottom"/>
          </w:tcPr>
          <w:p>
            <w:pPr>
              <w:ind w:left="60"/>
              <w:spacing w:after="0"/>
              <w:rPr>
                <w:sz w:val="20"/>
                <w:szCs w:val="20"/>
                <w:color w:val="auto"/>
              </w:rPr>
            </w:pPr>
            <w:r>
              <w:rPr>
                <w:rFonts w:ascii="Arial" w:cs="Arial" w:eastAsia="Arial" w:hAnsi="Arial"/>
                <w:sz w:val="18"/>
                <w:szCs w:val="18"/>
                <w:color w:val="auto"/>
              </w:rPr>
              <w:t>Title:</w:t>
            </w:r>
          </w:p>
        </w:tc>
        <w:tc>
          <w:tcPr>
            <w:tcW w:w="3600" w:type="dxa"/>
            <w:vAlign w:val="bottom"/>
          </w:tcPr>
          <w:p>
            <w:pPr>
              <w:ind w:left="180"/>
              <w:spacing w:after="0"/>
              <w:rPr>
                <w:sz w:val="20"/>
                <w:szCs w:val="20"/>
                <w:color w:val="auto"/>
              </w:rPr>
            </w:pPr>
            <w:r>
              <w:rPr>
                <w:rFonts w:ascii="Arial" w:cs="Arial" w:eastAsia="Arial" w:hAnsi="Arial"/>
                <w:sz w:val="18"/>
                <w:szCs w:val="18"/>
                <w:color w:val="auto"/>
              </w:rPr>
              <w:t>Senior Vice President, General</w:t>
            </w:r>
          </w:p>
        </w:tc>
      </w:tr>
      <w:tr>
        <w:trPr>
          <w:trHeight w:val="230"/>
        </w:trPr>
        <w:tc>
          <w:tcPr>
            <w:tcW w:w="700" w:type="dxa"/>
            <w:vAlign w:val="bottom"/>
          </w:tcPr>
          <w:p>
            <w:pPr>
              <w:spacing w:after="0"/>
              <w:rPr>
                <w:sz w:val="20"/>
                <w:szCs w:val="20"/>
                <w:color w:val="auto"/>
              </w:rPr>
            </w:pPr>
          </w:p>
        </w:tc>
        <w:tc>
          <w:tcPr>
            <w:tcW w:w="3600" w:type="dxa"/>
            <w:vAlign w:val="bottom"/>
          </w:tcPr>
          <w:p>
            <w:pPr>
              <w:ind w:left="180"/>
              <w:spacing w:after="0"/>
              <w:rPr>
                <w:sz w:val="20"/>
                <w:szCs w:val="20"/>
                <w:color w:val="auto"/>
              </w:rPr>
            </w:pPr>
            <w:r>
              <w:rPr>
                <w:rFonts w:ascii="Arial" w:cs="Arial" w:eastAsia="Arial" w:hAnsi="Arial"/>
                <w:sz w:val="18"/>
                <w:szCs w:val="18"/>
                <w:color w:val="auto"/>
              </w:rPr>
              <w:t>Counsel and Secretary</w:t>
            </w: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68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240" w:type="dxa"/>
            <w:vAlign w:val="bottom"/>
            <w:vMerge w:val="restart"/>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Chairman and CEO; Director (Principal Executive</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00" w:type="dxa"/>
            <w:vAlign w:val="bottom"/>
            <w:gridSpan w:val="3"/>
          </w:tcPr>
          <w:p>
            <w:pPr>
              <w:jc w:val="center"/>
              <w:ind w:right="160"/>
              <w:spacing w:after="0" w:line="203" w:lineRule="exact"/>
              <w:rPr>
                <w:sz w:val="20"/>
                <w:szCs w:val="20"/>
                <w:color w:val="auto"/>
              </w:rPr>
            </w:pPr>
            <w:r>
              <w:rPr>
                <w:rFonts w:ascii="Arial" w:cs="Arial" w:eastAsia="Arial" w:hAnsi="Arial"/>
                <w:sz w:val="18"/>
                <w:szCs w:val="18"/>
                <w:color w:val="auto"/>
                <w:w w:val="98"/>
              </w:rPr>
              <w:t>Officer)</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Brian L.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Founder; Chairman Emeritus of the Board</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Ralph J. Roberts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Vice Chairman and CFO (Principal Financial Officer)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2"/>
              </w:rPr>
              <w:t>Michael J. Angelakis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840" w:type="dxa"/>
            <w:vAlign w:val="bottom"/>
            <w:gridSpan w:val="2"/>
            <w:vMerge w:val="restart"/>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Senior Vice President; Chief Accounting Officer and</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gridSpan w:val="2"/>
            <w:vMerge w:val="continue"/>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4300" w:type="dxa"/>
            <w:vAlign w:val="bottom"/>
            <w:gridSpan w:val="3"/>
          </w:tcPr>
          <w:p>
            <w:pPr>
              <w:jc w:val="center"/>
              <w:ind w:right="180"/>
              <w:spacing w:after="0" w:line="203" w:lineRule="exact"/>
              <w:rPr>
                <w:sz w:val="20"/>
                <w:szCs w:val="20"/>
                <w:color w:val="auto"/>
              </w:rPr>
            </w:pPr>
            <w:r>
              <w:rPr>
                <w:rFonts w:ascii="Arial" w:cs="Arial" w:eastAsia="Arial" w:hAnsi="Arial"/>
                <w:sz w:val="18"/>
                <w:szCs w:val="18"/>
                <w:color w:val="auto"/>
                <w:w w:val="94"/>
              </w:rPr>
              <w:t>Controller (Principal Accounting Officer)</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9"/>
              </w:rPr>
              <w:t>Lawrence J. Salva</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Kenneth J. Bacon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4"/>
              </w:rPr>
              <w:t>Sheldon M. Bonovitz</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0"/>
              </w:rPr>
              <w:t>Edward D. Breen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88"/>
              </w:rPr>
              <w:t>Joseph J. Collins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840" w:type="dxa"/>
            <w:vAlign w:val="bottom"/>
            <w:tcBorders>
              <w:bottom w:val="single" w:sz="8" w:color="auto"/>
            </w:tcBorders>
            <w:gridSpan w:val="2"/>
          </w:tcPr>
          <w:p>
            <w:pPr>
              <w:jc w:val="center"/>
              <w:ind w:left="21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tcPr>
          <w:p>
            <w:pPr>
              <w:spacing w:after="0"/>
              <w:rPr>
                <w:sz w:val="24"/>
                <w:szCs w:val="24"/>
                <w:color w:val="auto"/>
              </w:rPr>
            </w:pPr>
          </w:p>
        </w:tc>
        <w:tc>
          <w:tcPr>
            <w:tcW w:w="430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September 5, 2014</w:t>
            </w:r>
          </w:p>
        </w:tc>
        <w:tc>
          <w:tcPr>
            <w:tcW w:w="0" w:type="dxa"/>
            <w:vAlign w:val="bottom"/>
          </w:tcPr>
          <w:p>
            <w:pPr>
              <w:spacing w:after="0"/>
              <w:rPr>
                <w:sz w:val="1"/>
                <w:szCs w:val="1"/>
                <w:color w:val="auto"/>
              </w:rPr>
            </w:pPr>
          </w:p>
        </w:tc>
      </w:tr>
      <w:tr>
        <w:trPr>
          <w:trHeight w:val="224"/>
        </w:trPr>
        <w:tc>
          <w:tcPr>
            <w:tcW w:w="5080" w:type="dxa"/>
            <w:vAlign w:val="bottom"/>
            <w:gridSpan w:val="3"/>
          </w:tcPr>
          <w:p>
            <w:pPr>
              <w:jc w:val="center"/>
              <w:spacing w:after="0"/>
              <w:rPr>
                <w:sz w:val="20"/>
                <w:szCs w:val="20"/>
                <w:color w:val="auto"/>
              </w:rPr>
            </w:pPr>
            <w:r>
              <w:rPr>
                <w:rFonts w:ascii="Arial" w:cs="Arial" w:eastAsia="Arial" w:hAnsi="Arial"/>
                <w:sz w:val="18"/>
                <w:szCs w:val="18"/>
                <w:color w:val="auto"/>
                <w:w w:val="93"/>
              </w:rPr>
              <w:t>J. Michael Cook</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40" w:type="dxa"/>
            <w:vAlign w:val="bottom"/>
            <w:gridSpan w:val="2"/>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7"/>
              </w:rPr>
              <w:t>Title</w:t>
            </w:r>
          </w:p>
        </w:tc>
        <w:tc>
          <w:tcPr>
            <w:tcW w:w="2480" w:type="dxa"/>
            <w:vAlign w:val="bottom"/>
            <w:gridSpan w:val="3"/>
          </w:tcPr>
          <w:p>
            <w:pPr>
              <w:jc w:val="center"/>
              <w:ind w:left="1013"/>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Gerald L. Hassell</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3"/>
              </w:rPr>
              <w:t>Jeffrey A. Honickman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Eduardo G. Mestre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89"/>
              </w:rPr>
              <w:t>Johnathan A. Rodgers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10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530"/>
              <w:spacing w:after="0"/>
              <w:rPr>
                <w:sz w:val="20"/>
                <w:szCs w:val="20"/>
                <w:color w:val="auto"/>
              </w:rPr>
            </w:pPr>
            <w:r>
              <w:rPr>
                <w:rFonts w:ascii="Arial" w:cs="Arial" w:eastAsia="Arial" w:hAnsi="Arial"/>
                <w:sz w:val="18"/>
                <w:szCs w:val="18"/>
                <w:color w:val="auto"/>
                <w:w w:val="95"/>
              </w:rPr>
              <w:t>Director</w:t>
            </w:r>
          </w:p>
        </w:tc>
        <w:tc>
          <w:tcPr>
            <w:tcW w:w="2480" w:type="dxa"/>
            <w:vAlign w:val="bottom"/>
            <w:gridSpan w:val="3"/>
          </w:tcPr>
          <w:p>
            <w:pPr>
              <w:jc w:val="center"/>
              <w:ind w:left="1033"/>
              <w:spacing w:after="0"/>
              <w:rPr>
                <w:sz w:val="20"/>
                <w:szCs w:val="20"/>
                <w:color w:val="auto"/>
              </w:rPr>
            </w:pPr>
            <w:r>
              <w:rPr>
                <w:rFonts w:ascii="Arial" w:cs="Arial" w:eastAsia="Arial" w:hAnsi="Arial"/>
                <w:sz w:val="18"/>
                <w:szCs w:val="18"/>
                <w:color w:val="auto"/>
                <w:w w:val="88"/>
              </w:rPr>
              <w:t>September 5, 2014</w:t>
            </w:r>
          </w:p>
        </w:tc>
      </w:tr>
      <w:tr>
        <w:trPr>
          <w:trHeight w:val="224"/>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Dr. Judith Rodin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58"/>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5"/>
          </w:tcPr>
          <w:p>
            <w:pPr>
              <w:ind w:left="180"/>
              <w:spacing w:after="0"/>
              <w:rPr>
                <w:sz w:val="20"/>
                <w:szCs w:val="20"/>
                <w:color w:val="auto"/>
              </w:rPr>
            </w:pPr>
            <w:r>
              <w:rPr>
                <w:rFonts w:ascii="Arial" w:cs="Arial" w:eastAsia="Arial" w:hAnsi="Arial"/>
                <w:sz w:val="18"/>
                <w:szCs w:val="18"/>
                <w:color w:val="auto"/>
              </w:rPr>
              <w:t>/s/ Arthur R. Block</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Arthur R. Block</w:t>
            </w: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gridSpan w:val="4"/>
          </w:tcPr>
          <w:p>
            <w:pPr>
              <w:ind w:left="80"/>
              <w:spacing w:after="0"/>
              <w:rPr>
                <w:sz w:val="20"/>
                <w:szCs w:val="20"/>
                <w:color w:val="auto"/>
              </w:rPr>
            </w:pPr>
            <w:r>
              <w:rPr>
                <w:rFonts w:ascii="Arial" w:cs="Arial" w:eastAsia="Arial" w:hAnsi="Arial"/>
                <w:sz w:val="18"/>
                <w:szCs w:val="18"/>
                <w:color w:val="auto"/>
              </w:rPr>
              <w:t>Attorney-in-Fact</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ectPr>
          <w:pgSz w:w="11900" w:h="16838" w:orient="portrait"/>
          <w:cols w:equalWidth="0" w:num="1">
            <w:col w:w="11060"/>
          </w:cols>
          <w:pgMar w:left="240" w:top="265" w:right="5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Agreement and Plan of Merger, dated as of February 12, 2014, among Time Warner Cable Inc., Comcast Corporation and Tango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Acquisition Sub, Inc. (included as Annex A to the joint proxy statement/prospectus forming part of this registration statement) (schedules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8"/>
              </w:rPr>
              <w:t>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Voting Agreement, dated as of February 12, 2014, among Time Warner Cable Inc., Brian L. Roberts, BRCC Holdings LLC, Irrevocable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Deed of Trust of Brian L. Roberts for Children and Other Issue dated June 10, 1998 and Irrevocable Deed of Trust of Ralph J. Roberts for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Brian L. Roberts and Other Beneficiaries dated May 11, 1993 (included as Annex B to the joint proxy statement/prospectus forming part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9"/>
              </w:rPr>
              <w:t>of this registration statement) (schedules have been omitted pursuant to Item 601(b)(2) of Regulation S-K, but will be furnished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supplementally to the SEC upon request).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Articles of Incorporation of Comcast Corporation (incorporated by reference to Exhibit 3.1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Report on Form 10-Q for the quarter ended June 30,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Amended and Restated By-Laws of Comcast Corporation (incorporated by reference to Exhibit 3.1 to Comcast’s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8-K filed on November 23,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Specimen Class A Common Stock Certificate (incorporated by reference to Exhibit 4.1 to Comcast’s Annual Report on Form 10-K for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2002 (SEC File No.: 000-50093)).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Indenture, dated January 7, 2003, between Comcast Corporation, the subsidiary guarantor party thereto,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Mellon (f/k/a The Bank of New York), as trustee (incorporated by reference to Exhibit 4.4 to Comcast’s Annual Report on Form 10-K for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Supplemental Indenture, dated March 25, 2003, to the Indenture between Comcast Corporation, the subsidiary guarantors party thereto,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and The Bank of New York Mellon (f/k/a The Bank of New York), as trustee, dated January 7, 2003 (incorporated by reference to Exhibit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4.5 to Comcast’s Annual Report on Form 10-K for the year ended December 31, 2008 (SEC File No.: 001-32871)).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Second Supplemental Indenture, dated August 31, 2009,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thereto, and The Bank of New York Mellon, as trustee, dated January 7, 2003, as supplemented by a First Supplemental Indenture dated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March 25, 2003 (incorporated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4"/>
              </w:rPr>
              <w:t>Third Supplemental Indenture, dated March 27, 2013, to the Indenture between Comcast Corporation, the subsidiary guarantors party</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2"/>
              </w:rPr>
              <w:t>thereto, and The Bank of New York Mellon (f/k/a The Bank of New York), as trustee, dated January 7, 2003, as supplemented by a First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0"/>
              </w:rPr>
              <w:t>Supplemental Indenture dated March 25, 2003 and a second Supplemental Indenture dated August 31, 2009 (incorporated by reference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Exhibit 4.4 to Comcast’s Quarterly 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7"/>
              </w:rPr>
              <w:t>Indenture, dated as of April 30, 2010, between NBC Universal, Inc. (n/k/a NBCUniversal Media, LLC) and The Bank of New York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5"/>
              </w:rPr>
              <w:t>Mellon, as trustee (incorporated by reference to Exhibit 4.1 to the Registration Statement on Form S-4 of NBCUniversal Media, LLC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(SEC File No. 333-174175) filed on May 13, 2011).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1"/>
              </w:rPr>
              <w:t>First Supplemental Indenture, dated March 27, 2013, to the Indenture between NBCUniversal Media, LLC (f/k/a NBC Universal, Inc.)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w w:val="93"/>
              </w:rPr>
              <w:t>The Bank of New York Mellon, as trustee, dated April 30, 2010 (incorporated by reference to Exhibit 4.3 to Comcast’s Quarterly Report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880"/>
              <w:spacing w:after="0"/>
              <w:rPr>
                <w:sz w:val="20"/>
                <w:szCs w:val="20"/>
                <w:color w:val="auto"/>
              </w:rPr>
            </w:pPr>
            <w:r>
              <w:rPr>
                <w:rFonts w:ascii="Arial" w:cs="Arial" w:eastAsia="Arial" w:hAnsi="Arial"/>
                <w:sz w:val="18"/>
                <w:szCs w:val="18"/>
                <w:color w:val="auto"/>
              </w:rPr>
              <w:t>on Form 10-Q for the 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4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4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Indenture, dated March 19, 2013, among NBCUniversal Enterprise, Inc. (f/k/a Navy Holdings, Inc.), Comcast Corporation, the Cable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Guarantors party thereto, and The Bank of New York Mellon, as trustee (incorporated by reference to Exhibit 4.1 to Comcast’s Quarterly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Certain instruments defining the rights of holders of long-term obligations of Comcast Corporation and certain of its subsidiaries (the total</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amount of securities authorized under each of which does not exceed ten percent of the total assets of Comcast Corporation and its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1"/>
              </w:rPr>
              <w:t>subsidiaries on a consolidated basis), are omitted pursuant to Item 601(b)(4)(iii)(A) of Regulation S-K. We agree to furnish copies of 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such instruments to the SEC upon request.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Davis Polk &amp; Wardwell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Tax Opinion of Paul, Weiss, Rifkind, Wharton &amp; Garrison LLP.</w:t>
            </w:r>
          </w:p>
        </w:tc>
        <w:tc>
          <w:tcPr>
            <w:tcW w:w="0" w:type="dxa"/>
            <w:vAlign w:val="bottom"/>
          </w:tcPr>
          <w:p>
            <w:pPr>
              <w:spacing w:after="0"/>
              <w:rPr>
                <w:sz w:val="1"/>
                <w:szCs w:val="1"/>
                <w:color w:val="auto"/>
              </w:rPr>
            </w:pP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21.1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4"/>
              </w:rPr>
              <w:t>Subsidiaries of Comcast Corporation (incorporated by reference to Exhibit 21 to Comcast’s Annual Report on Form 10-K for the year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ended December 31, 2013).</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23.5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w w:val="95"/>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24.1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99.1</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Comcast Corporation.*</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99.2</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Form of Proxy Card of Time Warner Cable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99.3</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J.P. Morgan Securities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99.4</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Allen &amp; Company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99.5</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Citigroup Global Markets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99.6</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Morgan Stanley &amp; Co. LLC.*</w:t>
            </w:r>
          </w:p>
        </w:tc>
        <w:tc>
          <w:tcPr>
            <w:tcW w:w="0" w:type="dxa"/>
            <w:vAlign w:val="bottom"/>
          </w:tcPr>
          <w:p>
            <w:pPr>
              <w:spacing w:after="0"/>
              <w:rPr>
                <w:sz w:val="1"/>
                <w:szCs w:val="1"/>
                <w:color w:val="auto"/>
              </w:rPr>
            </w:pPr>
          </w:p>
        </w:tc>
      </w:tr>
      <w:tr>
        <w:trPr>
          <w:trHeight w:val="324"/>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99.7</w:t>
            </w:r>
          </w:p>
        </w:tc>
        <w:tc>
          <w:tcPr>
            <w:tcW w:w="10740" w:type="dxa"/>
            <w:vAlign w:val="bottom"/>
            <w:gridSpan w:val="3"/>
          </w:tcPr>
          <w:p>
            <w:pPr>
              <w:ind w:left="780"/>
              <w:spacing w:after="0"/>
              <w:rPr>
                <w:sz w:val="20"/>
                <w:szCs w:val="20"/>
                <w:color w:val="auto"/>
              </w:rPr>
            </w:pPr>
            <w:r>
              <w:rPr>
                <w:rFonts w:ascii="Arial" w:cs="Arial" w:eastAsia="Arial" w:hAnsi="Arial"/>
                <w:sz w:val="18"/>
                <w:szCs w:val="18"/>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260"/>
          </w:cols>
          <w:pgMar w:left="240" w:top="253" w:right="399" w:bottom="1440" w:gutter="0" w:footer="0" w:header="0"/>
        </w:sectPr>
      </w:pPr>
    </w:p>
    <w:bookmarkStart w:id="12" w:name="page13"/>
    <w:bookmarkEnd w:id="12"/>
    <w:p>
      <w:pPr>
        <w:ind w:left="10580"/>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420"/>
          </w:cols>
          <w:pgMar w:left="240" w:top="121" w:right="239" w:bottom="1440" w:gutter="0" w:footer="0" w:header="0"/>
        </w:sectPr>
      </w:pPr>
    </w:p>
    <w:p>
      <w:pPr>
        <w:spacing w:after="0" w:line="271"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New York</w:t>
      </w:r>
    </w:p>
    <w:p>
      <w:pPr>
        <w:ind w:left="8940"/>
        <w:spacing w:after="0" w:line="226" w:lineRule="auto"/>
        <w:rPr>
          <w:sz w:val="20"/>
          <w:szCs w:val="20"/>
          <w:color w:val="auto"/>
        </w:rPr>
      </w:pPr>
      <w:r>
        <w:rPr>
          <w:rFonts w:ascii="Arial" w:cs="Arial" w:eastAsia="Arial" w:hAnsi="Arial"/>
          <w:sz w:val="14"/>
          <w:szCs w:val="14"/>
          <w:b w:val="1"/>
          <w:bCs w:val="1"/>
          <w:color w:val="auto"/>
        </w:rPr>
        <w:t>Menlo Park</w:t>
      </w:r>
    </w:p>
    <w:p>
      <w:pPr>
        <w:ind w:left="8940"/>
        <w:spacing w:after="0"/>
        <w:rPr>
          <w:sz w:val="20"/>
          <w:szCs w:val="20"/>
          <w:color w:val="auto"/>
        </w:rPr>
      </w:pPr>
      <w:r>
        <w:rPr>
          <w:rFonts w:ascii="Arial" w:cs="Arial" w:eastAsia="Arial" w:hAnsi="Arial"/>
          <w:sz w:val="13"/>
          <w:szCs w:val="13"/>
          <w:b w:val="1"/>
          <w:bCs w:val="1"/>
          <w:color w:val="auto"/>
        </w:rPr>
        <w:t>Washington DC</w:t>
      </w:r>
    </w:p>
    <w:p>
      <w:pPr>
        <w:ind w:left="8940"/>
        <w:spacing w:after="0" w:line="221" w:lineRule="auto"/>
        <w:rPr>
          <w:sz w:val="20"/>
          <w:szCs w:val="20"/>
          <w:color w:val="auto"/>
        </w:rPr>
      </w:pPr>
      <w:r>
        <w:rPr>
          <w:rFonts w:ascii="Arial" w:cs="Arial" w:eastAsia="Arial" w:hAnsi="Arial"/>
          <w:sz w:val="14"/>
          <w:szCs w:val="14"/>
          <w:b w:val="1"/>
          <w:bCs w:val="1"/>
          <w:color w:val="auto"/>
        </w:rPr>
        <w:t>London</w:t>
      </w:r>
    </w:p>
    <w:p>
      <w:pPr>
        <w:ind w:left="8940"/>
        <w:spacing w:after="0"/>
        <w:rPr>
          <w:sz w:val="20"/>
          <w:szCs w:val="20"/>
          <w:color w:val="auto"/>
        </w:rPr>
      </w:pPr>
      <w:r>
        <w:rPr>
          <w:rFonts w:ascii="Arial" w:cs="Arial" w:eastAsia="Arial" w:hAnsi="Arial"/>
          <w:sz w:val="14"/>
          <w:szCs w:val="14"/>
          <w:b w:val="1"/>
          <w:bCs w:val="1"/>
          <w:color w:val="auto"/>
        </w:rPr>
        <w:t>São Paulo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31925"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3192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2" w:lineRule="auto"/>
        <w:rPr>
          <w:sz w:val="20"/>
          <w:szCs w:val="20"/>
          <w:color w:val="auto"/>
        </w:rPr>
      </w:pPr>
      <w:r>
        <w:rPr>
          <w:rFonts w:ascii="Arial" w:cs="Arial" w:eastAsia="Arial" w:hAnsi="Arial"/>
          <w:sz w:val="14"/>
          <w:szCs w:val="14"/>
          <w:b w:val="1"/>
          <w:bCs w:val="1"/>
          <w:color w:val="auto"/>
        </w:rPr>
        <w:t>Tokyo</w:t>
      </w:r>
    </w:p>
    <w:p>
      <w:pPr>
        <w:spacing w:after="0" w:line="221"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3"/>
          <w:szCs w:val="13"/>
          <w:b w:val="1"/>
          <w:bCs w:val="1"/>
          <w:color w:val="auto"/>
        </w:rPr>
        <w:t>Hong Kong</w:t>
      </w:r>
    </w:p>
    <w:p>
      <w:pPr>
        <w:spacing w:after="0" w:line="211" w:lineRule="exact"/>
        <w:rPr>
          <w:sz w:val="20"/>
          <w:szCs w:val="20"/>
          <w:color w:val="auto"/>
        </w:rPr>
      </w:pPr>
    </w:p>
    <w:p>
      <w:pPr>
        <w:sectPr>
          <w:pgSz w:w="11900" w:h="16838" w:orient="portrait"/>
          <w:cols w:equalWidth="0" w:num="2">
            <w:col w:w="9920" w:space="360"/>
            <w:col w:w="1140"/>
          </w:cols>
          <w:pgMar w:left="240" w:top="121" w:right="2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8"/>
              </w:rPr>
              <w:t xml:space="preserve">Davis Polk &amp; Wardwell </w:t>
            </w:r>
            <w:r>
              <w:rPr>
                <w:rFonts w:ascii="Arial" w:cs="Arial" w:eastAsia="Arial" w:hAnsi="Arial"/>
                <w:sz w:val="15"/>
                <w:szCs w:val="15"/>
                <w:color w:val="auto"/>
                <w:w w:val="98"/>
              </w:rPr>
              <w:t>LLP</w:t>
            </w:r>
          </w:p>
        </w:tc>
        <w:tc>
          <w:tcPr>
            <w:tcW w:w="1420" w:type="dxa"/>
            <w:vAlign w:val="bottom"/>
          </w:tcPr>
          <w:p>
            <w:pPr>
              <w:ind w:left="220"/>
              <w:spacing w:after="0"/>
              <w:rPr>
                <w:sz w:val="20"/>
                <w:szCs w:val="20"/>
                <w:color w:val="auto"/>
              </w:rPr>
            </w:pPr>
            <w:r>
              <w:rPr>
                <w:rFonts w:ascii="Arial" w:cs="Arial" w:eastAsia="Arial" w:hAnsi="Arial"/>
                <w:sz w:val="18"/>
                <w:szCs w:val="18"/>
                <w:color w:val="auto"/>
                <w:w w:val="87"/>
              </w:rPr>
              <w:t>212 450 4000 tel</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450 Lexington Avenue</w:t>
            </w:r>
          </w:p>
        </w:tc>
        <w:tc>
          <w:tcPr>
            <w:tcW w:w="1420" w:type="dxa"/>
            <w:vAlign w:val="bottom"/>
          </w:tcPr>
          <w:p>
            <w:pPr>
              <w:ind w:left="60"/>
              <w:spacing w:after="0"/>
              <w:rPr>
                <w:sz w:val="20"/>
                <w:szCs w:val="20"/>
                <w:color w:val="auto"/>
              </w:rPr>
            </w:pPr>
            <w:r>
              <w:rPr>
                <w:rFonts w:ascii="Arial" w:cs="Arial" w:eastAsia="Arial" w:hAnsi="Arial"/>
                <w:sz w:val="18"/>
                <w:szCs w:val="18"/>
                <w:color w:val="auto"/>
                <w:w w:val="96"/>
              </w:rPr>
              <w:t>212 701 5800 fax</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New York, NY 10017</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2014</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have acted as counsel for Comcast Corporation, a Pennsylvania corporation (“</w:t>
      </w:r>
      <w:r>
        <w:rPr>
          <w:rFonts w:ascii="Arial" w:cs="Arial" w:eastAsia="Arial" w:hAnsi="Arial"/>
          <w:sz w:val="17"/>
          <w:szCs w:val="17"/>
          <w:b w:val="1"/>
          <w:bCs w:val="1"/>
          <w:color w:val="auto"/>
        </w:rPr>
        <w:t>Parent</w:t>
      </w:r>
      <w:r>
        <w:rPr>
          <w:rFonts w:ascii="Arial" w:cs="Arial" w:eastAsia="Arial" w:hAnsi="Arial"/>
          <w:sz w:val="17"/>
          <w:szCs w:val="17"/>
          <w:color w:val="auto"/>
        </w:rPr>
        <w:t>”), in connection with (i) the Merger, as defined and described in the Agreement and Plan of Merger dated as of February 12, 2014 (the “</w:t>
      </w:r>
      <w:r>
        <w:rPr>
          <w:rFonts w:ascii="Arial" w:cs="Arial" w:eastAsia="Arial" w:hAnsi="Arial"/>
          <w:sz w:val="17"/>
          <w:szCs w:val="17"/>
          <w:b w:val="1"/>
          <w:bCs w:val="1"/>
          <w:color w:val="auto"/>
        </w:rPr>
        <w:t>Merger Agreement</w:t>
      </w:r>
      <w:r>
        <w:rPr>
          <w:rFonts w:ascii="Arial" w:cs="Arial" w:eastAsia="Arial" w:hAnsi="Arial"/>
          <w:sz w:val="17"/>
          <w:szCs w:val="17"/>
          <w:color w:val="auto"/>
        </w:rPr>
        <w:t>”) among Parent, Tango Acquisition Sub, Inc., a Delaware corporation and a wholly owned subsidiary of Parent (“</w:t>
      </w:r>
      <w:r>
        <w:rPr>
          <w:rFonts w:ascii="Arial" w:cs="Arial" w:eastAsia="Arial" w:hAnsi="Arial"/>
          <w:sz w:val="17"/>
          <w:szCs w:val="17"/>
          <w:b w:val="1"/>
          <w:bCs w:val="1"/>
          <w:color w:val="auto"/>
        </w:rPr>
        <w:t>Merger Subsidiary</w:t>
      </w:r>
      <w:r>
        <w:rPr>
          <w:rFonts w:ascii="Arial" w:cs="Arial" w:eastAsia="Arial" w:hAnsi="Arial"/>
          <w:sz w:val="17"/>
          <w:szCs w:val="17"/>
          <w:color w:val="auto"/>
        </w:rPr>
        <w:t>”), and Time Warner Cable,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(ii) the preparation and filing of the related Registration Statement on Form S-4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includes the Proxy Statement/Prospectus (the “</w:t>
      </w:r>
      <w:r>
        <w:rPr>
          <w:rFonts w:ascii="Arial" w:cs="Arial" w:eastAsia="Arial" w:hAnsi="Arial"/>
          <w:sz w:val="17"/>
          <w:szCs w:val="17"/>
          <w:b w:val="1"/>
          <w:bCs w:val="1"/>
          <w:color w:val="auto"/>
        </w:rPr>
        <w:t>Proxy Statement/Prospectus</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Unless otherwise indicated, each capitalized term used herein has the meaning ascribed to it in the Merger Agreement.</w:t>
      </w:r>
    </w:p>
    <w:p>
      <w:pPr>
        <w:spacing w:after="0" w:line="17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In connection with this opinion, we have examined the Merger Agreement, the Registration Statement, the Proxy Statement/Prospectus, the representation letters of Parent (together with Merger Subsidiary) and the Company delivered to us for purposes of this opinion (the “</w:t>
      </w:r>
      <w:r>
        <w:rPr>
          <w:rFonts w:ascii="Arial" w:cs="Arial" w:eastAsia="Arial" w:hAnsi="Arial"/>
          <w:sz w:val="16"/>
          <w:szCs w:val="16"/>
          <w:b w:val="1"/>
          <w:bCs w:val="1"/>
          <w:color w:val="auto"/>
        </w:rPr>
        <w:t>Tax Representation Letters</w:t>
      </w:r>
      <w:r>
        <w:rPr>
          <w:rFonts w:ascii="Arial" w:cs="Arial" w:eastAsia="Arial" w:hAnsi="Arial"/>
          <w:sz w:val="16"/>
          <w:szCs w:val="16"/>
          <w:color w:val="auto"/>
        </w:rPr>
        <w:t>”) and such other documents as we have deemed necessary or appropriate in order to enable us to render our opinion.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For purposes of this opinion, we have assumed, with your permission, (i) that the Merger will be consummated in the manner described in Merger Agreement and the Proxy Statement/Prospectus,</w:t>
      </w:r>
    </w:p>
    <w:p>
      <w:pPr>
        <w:spacing w:after="0" w:line="3" w:lineRule="exact"/>
        <w:rPr>
          <w:sz w:val="20"/>
          <w:szCs w:val="20"/>
          <w:color w:val="auto"/>
        </w:rPr>
      </w:pPr>
    </w:p>
    <w:p>
      <w:pPr>
        <w:ind w:right="20" w:firstLine="8"/>
        <w:spacing w:after="0" w:line="287"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statements concerning the Merger set forth in the Merger Agreement and the Proxy Statement/Prospectus are true, complete and correct and will remain true, complete and correct at all times up to and including the Effective Time, (iii) that the representations made and to be made by Parent (together with Merger Subsidiary) and the Company pursuant to Section 8.07 of the Merger Agreement, including those contained in the Tax Representation Letters, are and will be accurate and complete and (iv) any representations made in the Merger Agreement or the Tax Representation Letters “to the knowledge of,” or based on the belief of Parent, Merger Subsidiary or the Company or similarly qualified are true, complete and correct and will remain true, complete and correct at all times up to and including the Effective Time, in each case without such qualification. We have also assumed that the parties have complied with and, if applicable, will continue to comply with, the obligations, covenants, and agreements contained in the Merger Agreement. In addition, our opinion is based solely on the documents that we have examined, the additional information that we have obtained, and the representations to be made by Parent and the Company referred to above, which we have assumed will be true as of the Effective Time.</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tabs>
          <w:tab w:leader="none" w:pos="5780" w:val="left"/>
          <w:tab w:leader="none" w:pos="10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September 5, 2014</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upon the foregoing, and subject to the assumptions and qualifications set forth herein, we hereby confirm our opinion set forth in the discussion in the Proxy Statement/Prospectus under the heading “Material U.S. Federal Income Tax Consequences of the Merger.”</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the tax consequences of the Merger under any state, local or foreign law, or with respect to other areas of U.S. federal taxation. This opinion is given as of the date hereof and is based on the Internal Revenue Code of 1986, as amended, Treasury Regulations promulgated thereunder and interpretations thereof by the Internal Revenue Service and the courts having jurisdiction over such matters, all of which are subject to change either prospectively or retroactively. Further, any variation or difference in the facts from those set forth in the Merger Agreement, the Proxy Statement/Prospectus and the Tax Representation Letters may affect the conclusions stated herein. We are members of the Bar of the State of New York, and we do not express any opinion herein concerning any law other than the federal law of the United States.</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This opinion is furnished to you solely for use in connection with the Registration Statement. We hereby consent to the filing of this opinion as an exhibit to the Registration Statement and to the references to our firm name in the Proxy Statement/Prospectus in connection with the references to this opinion and the material U.S. federal income tax consequences of the Merger. In giving such consent, we do not thereby admit that we are in the category of persons whose consent is required under Section 7 of the Securities Act of 1933, as amended, or the rules and regulations of the Commission thereunder.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8.2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60" w:firstLine="456"/>
        <w:spacing w:after="0" w:line="295" w:lineRule="auto"/>
        <w:rPr>
          <w:sz w:val="20"/>
          <w:szCs w:val="20"/>
          <w:color w:val="auto"/>
        </w:rPr>
      </w:pPr>
      <w:r>
        <w:rPr>
          <w:rFonts w:ascii="Arial" w:cs="Arial" w:eastAsia="Arial" w:hAnsi="Arial"/>
          <w:sz w:val="16"/>
          <w:szCs w:val="16"/>
          <w:color w:val="auto"/>
        </w:rPr>
        <w:t>We have acted as counsel for Time Warner Cable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(i) the Merger, as defined and described in the Agreement and Plan of Merger dated as of February 12, 2014 (the “</w:t>
      </w:r>
      <w:r>
        <w:rPr>
          <w:rFonts w:ascii="Arial" w:cs="Arial" w:eastAsia="Arial" w:hAnsi="Arial"/>
          <w:sz w:val="16"/>
          <w:szCs w:val="16"/>
          <w:b w:val="1"/>
          <w:bCs w:val="1"/>
          <w:color w:val="auto"/>
        </w:rPr>
        <w:t>Merger Agreement</w:t>
      </w:r>
      <w:r>
        <w:rPr>
          <w:rFonts w:ascii="Arial" w:cs="Arial" w:eastAsia="Arial" w:hAnsi="Arial"/>
          <w:sz w:val="16"/>
          <w:szCs w:val="16"/>
          <w:color w:val="auto"/>
        </w:rPr>
        <w:t>”) among Comcast Corporation, a Pennsylvania corporation (“</w:t>
      </w:r>
      <w:r>
        <w:rPr>
          <w:rFonts w:ascii="Arial" w:cs="Arial" w:eastAsia="Arial" w:hAnsi="Arial"/>
          <w:sz w:val="16"/>
          <w:szCs w:val="16"/>
          <w:b w:val="1"/>
          <w:bCs w:val="1"/>
          <w:color w:val="auto"/>
        </w:rPr>
        <w:t>Parent</w:t>
      </w:r>
      <w:r>
        <w:rPr>
          <w:rFonts w:ascii="Arial" w:cs="Arial" w:eastAsia="Arial" w:hAnsi="Arial"/>
          <w:sz w:val="16"/>
          <w:szCs w:val="16"/>
          <w:color w:val="auto"/>
        </w:rPr>
        <w:t>”), Tango Acquisition Sub, Inc., a Delaware corporation and a wholly owned subsidiary of Parent (“</w:t>
      </w:r>
      <w:r>
        <w:rPr>
          <w:rFonts w:ascii="Arial" w:cs="Arial" w:eastAsia="Arial" w:hAnsi="Arial"/>
          <w:sz w:val="16"/>
          <w:szCs w:val="16"/>
          <w:b w:val="1"/>
          <w:bCs w:val="1"/>
          <w:color w:val="auto"/>
        </w:rPr>
        <w:t>Merger Subsidiary</w:t>
      </w:r>
      <w:r>
        <w:rPr>
          <w:rFonts w:ascii="Arial" w:cs="Arial" w:eastAsia="Arial" w:hAnsi="Arial"/>
          <w:sz w:val="16"/>
          <w:szCs w:val="16"/>
          <w:color w:val="auto"/>
        </w:rPr>
        <w:t>”), and the Company and (ii) the preparation and filing of the related Registration Statement on Form S-4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includes the Proxy Statement/Prospectus (the “</w:t>
      </w:r>
      <w:r>
        <w:rPr>
          <w:rFonts w:ascii="Arial" w:cs="Arial" w:eastAsia="Arial" w:hAnsi="Arial"/>
          <w:sz w:val="16"/>
          <w:szCs w:val="16"/>
          <w:b w:val="1"/>
          <w:bCs w:val="1"/>
          <w:color w:val="auto"/>
        </w:rPr>
        <w:t>Proxy Statement/Prospectus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Unless otherwise indicated, each capitalized term used herein has the meaning ascribed to it in the Merger Agreement.</w:t>
      </w:r>
    </w:p>
    <w:p>
      <w:pPr>
        <w:sectPr>
          <w:pgSz w:w="11900" w:h="16838" w:orient="portrait"/>
          <w:cols w:equalWidth="0" w:num="1">
            <w:col w:w="11420"/>
          </w:cols>
          <w:pgMar w:left="240" w:top="121" w:right="239" w:bottom="1440" w:gutter="0" w:footer="0" w:header="0"/>
        </w:sectPr>
      </w:pPr>
    </w:p>
    <w:bookmarkStart w:id="15" w:name="page16"/>
    <w:bookmarkEnd w:id="15"/>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this opinion, we have examined the Merger Agreement, the Registration Statement, the Proxy Statement/Prospectus, the representation letters of Parent (together with Merger Subsidiary) and the Company delivered to us for purposes of this opinion (the “</w:t>
      </w:r>
      <w:r>
        <w:rPr>
          <w:rFonts w:ascii="Arial" w:cs="Arial" w:eastAsia="Arial" w:hAnsi="Arial"/>
          <w:sz w:val="16"/>
          <w:szCs w:val="16"/>
          <w:b w:val="1"/>
          <w:bCs w:val="1"/>
          <w:color w:val="auto"/>
        </w:rPr>
        <w:t>Tax Representation</w:t>
      </w:r>
      <w:r>
        <w:rPr>
          <w:rFonts w:ascii="Arial" w:cs="Arial" w:eastAsia="Arial" w:hAnsi="Arial"/>
          <w:sz w:val="16"/>
          <w:szCs w:val="16"/>
          <w:color w:val="auto"/>
        </w:rPr>
        <w:t xml:space="preserve"> </w:t>
      </w:r>
      <w:r>
        <w:rPr>
          <w:rFonts w:ascii="Arial" w:cs="Arial" w:eastAsia="Arial" w:hAnsi="Arial"/>
          <w:sz w:val="16"/>
          <w:szCs w:val="16"/>
          <w:b w:val="1"/>
          <w:bCs w:val="1"/>
          <w:color w:val="auto"/>
        </w:rPr>
        <w:t>Letters</w:t>
      </w:r>
      <w:r>
        <w:rPr>
          <w:rFonts w:ascii="Arial" w:cs="Arial" w:eastAsia="Arial" w:hAnsi="Arial"/>
          <w:sz w:val="16"/>
          <w:szCs w:val="16"/>
          <w:color w:val="auto"/>
        </w:rPr>
        <w:t>”) and such other documents as we have deemed necessary or appropriate in order to enable us to render our opinion. In such examination,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For purposes of this opinion, we have assumed, with your permission, (i) that the Merger will be consummated in the manner described in Merger Agreement and the Proxy Statement/Prospectus, (ii) the statements concerning the Merger set forth in the Merger Agreement and the Proxy Statement/Prospectus are true, complete and correct and will remain true, complete and correct at all times up to and including the Effective Time, (iii) that the representations made and to be made by Parent (together with Merger Subsidiary) and the Company pursuant to Section 8.07 of the Merger Agreement, including those contained in the Tax Representation Letters, are and will be accurate and complete and (iv) any representations made in the Merger Agreement or the Tax Representation Letters “to the knowledge of,” or based on the belief of Parent, Merger Subsidiary or the Company or similarly qualified are true, complete and correct and will remain true, complete and correct at all times up to and including the Effective Time, in each case without such qualification. We have also assumed that the parties have complied with and, if applicable, will continue to comply with, the obligations, covenants, and agreements contained in the Merger Agreement. In addition, our opinion is based solely on the documents that we have examined, the additional information that we have obtained, and the representations to be made by Parent and the Company referred to above, which we have assumed will be true as of the Effective Time.</w:t>
      </w:r>
    </w:p>
    <w:p>
      <w:pPr>
        <w:spacing w:after="0" w:line="17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Based upon the foregoing, and subject to the assumptions and qualifications set forth herein, we hereby confirm our opinion set forth in the discussion in the Proxy Statement/Prospectus under the heading “Material U.S. Federal Income Tax Consequences of the Merger.”</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the tax consequences of the Merger under any state, local or foreign law, or with respect to other areas of U.S. federal taxation. This opinion is given as of the date hereof and is based on the Internal Revenue Code of 1986, as amended, Treasury Regulations promulgated thereunder and interpretations thereof by the Internal Revenue Service and the courts having jurisdiction over such matters, all of which are subject to change either prospectively or retroactively. Further, any variation or difference in the facts from those set forth in the Merger Agreement, the Proxy Statement/Prospectus and the Tax Representation Letters may affect the conclusions stated herein. We are members of the Bar of the State of New York, and we do not express any opinion herein concerning any law other than the federal law of the United States.</w:t>
      </w:r>
    </w:p>
    <w:p>
      <w:pPr>
        <w:sectPr>
          <w:pgSz w:w="11900" w:h="16838" w:orient="portrait"/>
          <w:cols w:equalWidth="0" w:num="1">
            <w:col w:w="11400"/>
          </w:cols>
          <w:pgMar w:left="240" w:top="274" w:right="259" w:bottom="1440" w:gutter="0" w:footer="0" w:header="0"/>
        </w:sectPr>
      </w:pPr>
    </w:p>
    <w:bookmarkStart w:id="16" w:name="page17"/>
    <w:bookmarkEnd w:id="16"/>
    <w:p>
      <w:pPr>
        <w:ind w:firstLine="456"/>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furnished to you solely for use in connection with the Registration Statement. We hereby consent to the filing of this opinion as an exhibit to the Registration Statement and to the references to our firm name in the Proxy Statement/Prospectus in connection with the references to this opinion and the material U.S. federal income tax consequences of the Merger. In giving such consent, we do not thereby admit that we are in the category of persons whose consent is required under Section 7 of the Securities Act of 1933, as amended, or the rules and regulations of the Commission thereunder.</w:t>
      </w:r>
    </w:p>
    <w:p>
      <w:pPr>
        <w:spacing w:after="0" w:line="1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Paul, Weiss, Rifkind, Wharton &amp; Garrison LLP</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WEISS, RIFKIND, WHARTON &amp; GARRISON LLP</w:t>
      </w:r>
    </w:p>
    <w:sectPr>
      <w:pgSz w:w="11900" w:h="16838" w:orient="portrait"/>
      <w:cols w:equalWidth="0" w:num="1">
        <w:col w:w="11260"/>
      </w:cols>
      <w:pgMar w:left="240" w:top="27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
    <w:nsid w:val="46E87CCD"/>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2019-12-07T03:11:12Z</dcterms:created>
  <dcterms:modified xsi:type="dcterms:W3CDTF">2019-12-07T03:11:12Z</dcterms:modified>
</cp:coreProperties>
</file>