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060"/>
        <w:spacing w:after="0" w:line="238" w:lineRule="auto"/>
        <w:rPr>
          <w:sz w:val="20"/>
          <w:szCs w:val="20"/>
          <w:color w:val="auto"/>
        </w:rPr>
      </w:pPr>
      <w:r>
        <w:rPr>
          <w:rFonts w:ascii="Courier New" w:cs="Courier New" w:eastAsia="Courier New" w:hAnsi="Courier New"/>
          <w:sz w:val="18"/>
          <w:szCs w:val="18"/>
          <w:color w:val="auto"/>
        </w:rPr>
        <w:t>TO RULES 13d-1(b), (c), AND (d) AND AMENDMENTS THERETO FILED</w:t>
      </w:r>
    </w:p>
    <w:p>
      <w:pPr>
        <w:ind w:left="2860"/>
        <w:spacing w:after="0"/>
        <w:rPr>
          <w:sz w:val="20"/>
          <w:szCs w:val="20"/>
          <w:color w:val="auto"/>
        </w:rPr>
      </w:pPr>
      <w:r>
        <w:rPr>
          <w:rFonts w:ascii="Courier New" w:cs="Courier New" w:eastAsia="Courier New" w:hAnsi="Courier New"/>
          <w:sz w:val="18"/>
          <w:szCs w:val="18"/>
          <w:color w:val="auto"/>
        </w:rPr>
        <w:t>PURSUANT TO RULE 13d-2(b)*</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Lightspan,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par value $.001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53226T103</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December 31, 2000</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spacing w:after="0" w:line="4" w:lineRule="exact"/>
        <w:rPr>
          <w:rFonts w:ascii="Courier New" w:cs="Courier New" w:eastAsia="Courier New" w:hAnsi="Courier New"/>
          <w:sz w:val="18"/>
          <w:szCs w:val="18"/>
          <w:color w:val="auto"/>
        </w:rPr>
      </w:pPr>
    </w:p>
    <w:p>
      <w:pPr>
        <w:jc w:val="both"/>
        <w:ind w:right="8419" w:firstLine="8"/>
        <w:spacing w:after="0" w:line="290" w:lineRule="auto"/>
        <w:tabs>
          <w:tab w:leader="none" w:pos="21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13d-1(c) [X] Rule 13d-1(d)</w:t>
      </w:r>
    </w:p>
    <w:p>
      <w:pPr>
        <w:spacing w:after="0" w:line="16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1879" w:firstLine="211"/>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th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4300" w:val="left"/>
          <w:tab w:leader="none" w:pos="6520" w:val="left"/>
        </w:tabs>
        <w:rPr>
          <w:sz w:val="20"/>
          <w:szCs w:val="20"/>
          <w:color w:val="auto"/>
        </w:rPr>
      </w:pPr>
      <w:r>
        <w:rPr>
          <w:rFonts w:ascii="Courier New" w:cs="Courier New" w:eastAsia="Courier New" w:hAnsi="Courier New"/>
          <w:sz w:val="18"/>
          <w:szCs w:val="18"/>
          <w:color w:val="auto"/>
        </w:rPr>
        <w:t>CUSIP No. 53226T103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1 of 1 Pages</w:t>
      </w:r>
    </w:p>
    <w:p>
      <w:pPr>
        <w:spacing w:after="0" w:line="4"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636"/>
        <w:spacing w:after="0" w:line="238" w:lineRule="auto"/>
        <w:tabs>
          <w:tab w:leader="none" w:pos="9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7" w:lineRule="exact"/>
        <w:rPr>
          <w:rFonts w:ascii="Courier New" w:cs="Courier New" w:eastAsia="Courier New" w:hAnsi="Courier New"/>
          <w:sz w:val="18"/>
          <w:szCs w:val="18"/>
          <w:color w:val="auto"/>
        </w:rPr>
      </w:pPr>
    </w:p>
    <w:p>
      <w:pPr>
        <w:ind w:left="960" w:right="72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Comcast Corporation 23-1709202</w:t>
      </w: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612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100" w:type="dxa"/>
            <w:vAlign w:val="bottom"/>
          </w:tcPr>
          <w:p>
            <w:pPr>
              <w:ind w:left="740"/>
              <w:spacing w:after="0"/>
              <w:rPr>
                <w:sz w:val="20"/>
                <w:szCs w:val="20"/>
                <w:color w:val="auto"/>
              </w:rPr>
            </w:pPr>
            <w:r>
              <w:rPr>
                <w:rFonts w:ascii="Courier New" w:cs="Courier New" w:eastAsia="Courier New" w:hAnsi="Courier New"/>
                <w:sz w:val="18"/>
                <w:szCs w:val="18"/>
                <w:color w:val="auto"/>
              </w:rPr>
              <w:t>(a)</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 ]</w:t>
            </w:r>
          </w:p>
        </w:tc>
      </w:tr>
      <w:tr>
        <w:trPr>
          <w:trHeight w:val="203"/>
        </w:trPr>
        <w:tc>
          <w:tcPr>
            <w:tcW w:w="4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(b)</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207"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636"/>
        <w:spacing w:after="0" w:line="238" w:lineRule="auto"/>
        <w:tabs>
          <w:tab w:leader="none" w:pos="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5479" w:hanging="636"/>
        <w:spacing w:after="0" w:line="357" w:lineRule="auto"/>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Pennsylvania</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1620" w:type="dxa"/>
            <w:vAlign w:val="bottom"/>
          </w:tcPr>
          <w:p>
            <w:pPr>
              <w:spacing w:after="0"/>
              <w:rPr>
                <w:sz w:val="17"/>
                <w:szCs w:val="17"/>
                <w:color w:val="auto"/>
              </w:rPr>
            </w:pPr>
          </w:p>
        </w:tc>
        <w:tc>
          <w:tcPr>
            <w:tcW w:w="1120" w:type="dxa"/>
            <w:vAlign w:val="bottom"/>
          </w:tcPr>
          <w:p>
            <w:pPr>
              <w:ind w:left="380"/>
              <w:spacing w:after="0"/>
              <w:rPr>
                <w:sz w:val="20"/>
                <w:szCs w:val="20"/>
                <w:color w:val="auto"/>
              </w:rPr>
            </w:pPr>
            <w:r>
              <w:rPr>
                <w:rFonts w:ascii="Courier New" w:cs="Courier New" w:eastAsia="Courier New" w:hAnsi="Courier New"/>
                <w:sz w:val="18"/>
                <w:szCs w:val="18"/>
                <w:color w:val="auto"/>
              </w:rPr>
              <w:t>5.</w:t>
            </w:r>
          </w:p>
        </w:tc>
        <w:tc>
          <w:tcPr>
            <w:tcW w:w="24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2,404,129</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(See Item 4)</w:t>
            </w:r>
          </w:p>
        </w:tc>
      </w:tr>
      <w:tr>
        <w:trPr>
          <w:trHeight w:val="405"/>
        </w:trPr>
        <w:tc>
          <w:tcPr>
            <w:tcW w:w="1620" w:type="dxa"/>
            <w:vAlign w:val="bottom"/>
          </w:tcPr>
          <w:p>
            <w:pPr>
              <w:spacing w:after="0"/>
              <w:rPr>
                <w:sz w:val="24"/>
                <w:szCs w:val="24"/>
                <w:color w:val="auto"/>
              </w:rPr>
            </w:pPr>
          </w:p>
        </w:tc>
        <w:tc>
          <w:tcPr>
            <w:tcW w:w="6180" w:type="dxa"/>
            <w:vAlign w:val="bottom"/>
            <w:gridSpan w:val="4"/>
          </w:tcPr>
          <w:p>
            <w:pPr>
              <w:ind w:left="38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6.</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c>
          <w:tcPr>
            <w:tcW w:w="1540" w:type="dxa"/>
            <w:vAlign w:val="bottom"/>
          </w:tcPr>
          <w:p>
            <w:pPr>
              <w:spacing w:after="0"/>
              <w:rPr>
                <w:sz w:val="17"/>
                <w:szCs w:val="17"/>
                <w:color w:val="auto"/>
              </w:rPr>
            </w:pPr>
          </w:p>
        </w:tc>
      </w:tr>
      <w:tr>
        <w:trPr>
          <w:trHeight w:val="203"/>
        </w:trPr>
        <w:tc>
          <w:tcPr>
            <w:tcW w:w="16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1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16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540" w:type="dxa"/>
            <w:vAlign w:val="bottom"/>
            <w:gridSpan w:val="2"/>
          </w:tcPr>
          <w:p>
            <w:pPr>
              <w:ind w:left="380"/>
              <w:spacing w:after="0"/>
              <w:rPr>
                <w:sz w:val="20"/>
                <w:szCs w:val="20"/>
                <w:color w:val="auto"/>
              </w:rPr>
            </w:pPr>
            <w:r>
              <w:rPr>
                <w:rFonts w:ascii="Courier New" w:cs="Courier New" w:eastAsia="Courier New" w:hAnsi="Courier New"/>
                <w:sz w:val="13"/>
                <w:szCs w:val="13"/>
                <w:color w:val="auto"/>
                <w:w w:val="73"/>
              </w:rPr>
              <w:t>-------------------------------------------------------</w:t>
            </w:r>
          </w:p>
        </w:tc>
        <w:tc>
          <w:tcPr>
            <w:tcW w:w="1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162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7.</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2,404,129</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Item 4)</w:t>
            </w:r>
          </w:p>
        </w:tc>
      </w:tr>
      <w:tr>
        <w:trPr>
          <w:trHeight w:val="203"/>
        </w:trPr>
        <w:tc>
          <w:tcPr>
            <w:tcW w:w="16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EACH</w:t>
            </w:r>
          </w:p>
        </w:tc>
        <w:tc>
          <w:tcPr>
            <w:tcW w:w="11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40" w:type="dxa"/>
            <w:vAlign w:val="bottom"/>
          </w:tcPr>
          <w:p>
            <w:pPr>
              <w:spacing w:after="0"/>
              <w:rPr>
                <w:sz w:val="17"/>
                <w:szCs w:val="17"/>
                <w:color w:val="auto"/>
              </w:rPr>
            </w:pPr>
          </w:p>
        </w:tc>
      </w:tr>
    </w:tbl>
    <w:p>
      <w:pPr>
        <w:sectPr>
          <w:pgSz w:w="11900" w:h="16838" w:orient="portrait"/>
          <w:cols w:equalWidth="0" w:num="1">
            <w:col w:w="10219"/>
          </w:cols>
          <w:pgMar w:left="240" w:top="649" w:right="1440" w:bottom="0" w:gutter="0" w:footer="0" w:header="0"/>
        </w:sectPr>
      </w:pPr>
    </w:p>
    <w:bookmarkStart w:id="1" w:name="page2"/>
    <w:bookmarkEnd w:id="1"/>
    <w:p>
      <w:pPr>
        <w:spacing w:after="0" w:line="1" w:lineRule="exact"/>
        <w:rPr>
          <w:sz w:val="20"/>
          <w:szCs w:val="20"/>
          <w:color w:val="auto"/>
        </w:rPr>
      </w:pPr>
    </w:p>
    <w:tbl>
      <w:tblPr>
        <w:tblLayout w:type="fixed"/>
        <w:tblInd w:w="532" w:type="dxa"/>
        <w:tblCellMar>
          <w:top w:w="0" w:type="dxa"/>
          <w:left w:w="0" w:type="dxa"/>
          <w:bottom w:w="0" w:type="dxa"/>
          <w:right w:w="0" w:type="dxa"/>
        </w:tblCellMar>
      </w:tblPr>
      <w:tr>
        <w:trPr>
          <w:trHeight w:val="204"/>
        </w:trPr>
        <w:tc>
          <w:tcPr>
            <w:tcW w:w="1580" w:type="dxa"/>
            <w:vAlign w:val="bottom"/>
          </w:tcPr>
          <w:p>
            <w:pPr>
              <w:jc w:val="center"/>
              <w:ind w:right="352"/>
              <w:spacing w:after="0"/>
              <w:rPr>
                <w:sz w:val="20"/>
                <w:szCs w:val="20"/>
                <w:color w:val="auto"/>
              </w:rPr>
            </w:pPr>
            <w:r>
              <w:rPr>
                <w:rFonts w:ascii="Courier New" w:cs="Courier New" w:eastAsia="Courier New" w:hAnsi="Courier New"/>
                <w:sz w:val="18"/>
                <w:szCs w:val="18"/>
                <w:color w:val="auto"/>
                <w:w w:val="96"/>
              </w:rPr>
              <w:t>REPORTING</w:t>
            </w:r>
          </w:p>
        </w:tc>
        <w:tc>
          <w:tcPr>
            <w:tcW w:w="3360" w:type="dxa"/>
            <w:vAlign w:val="bottom"/>
            <w:gridSpan w:val="2"/>
          </w:tcPr>
          <w:p>
            <w:pPr>
              <w:ind w:left="420"/>
              <w:spacing w:after="0"/>
              <w:rPr>
                <w:sz w:val="20"/>
                <w:szCs w:val="20"/>
                <w:color w:val="auto"/>
              </w:rPr>
            </w:pPr>
            <w:r>
              <w:rPr>
                <w:rFonts w:ascii="Courier New" w:cs="Courier New" w:eastAsia="Courier New" w:hAnsi="Courier New"/>
                <w:sz w:val="12"/>
                <w:szCs w:val="12"/>
                <w:color w:val="auto"/>
                <w:w w:val="73"/>
              </w:rPr>
              <w:t>-------------------------------------------------------</w:t>
            </w:r>
          </w:p>
        </w:tc>
        <w:tc>
          <w:tcPr>
            <w:tcW w:w="740" w:type="dxa"/>
            <w:vAlign w:val="bottom"/>
          </w:tcPr>
          <w:p>
            <w:pPr>
              <w:spacing w:after="0"/>
              <w:rPr>
                <w:sz w:val="17"/>
                <w:szCs w:val="17"/>
                <w:color w:val="auto"/>
              </w:rPr>
            </w:pPr>
          </w:p>
        </w:tc>
      </w:tr>
      <w:tr>
        <w:trPr>
          <w:trHeight w:val="203"/>
        </w:trPr>
        <w:tc>
          <w:tcPr>
            <w:tcW w:w="15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w:t>
            </w:r>
          </w:p>
        </w:tc>
        <w:tc>
          <w:tcPr>
            <w:tcW w:w="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None</w:t>
            </w:r>
          </w:p>
        </w:tc>
      </w:tr>
      <w:tr>
        <w:trPr>
          <w:trHeight w:val="203"/>
        </w:trPr>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740" w:type="dxa"/>
            <w:vAlign w:val="bottom"/>
          </w:tcPr>
          <w:p>
            <w:pPr>
              <w:spacing w:after="0"/>
              <w:rPr>
                <w:sz w:val="17"/>
                <w:szCs w:val="17"/>
                <w:color w:val="auto"/>
              </w:rPr>
            </w:pPr>
          </w:p>
        </w:tc>
      </w:tr>
    </w:tbl>
    <w:p>
      <w:pPr>
        <w:spacing w:after="0" w:line="207" w:lineRule="exact"/>
        <w:rPr>
          <w:sz w:val="20"/>
          <w:szCs w:val="20"/>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52" w:right="2939" w:hanging="636"/>
        <w:spacing w:after="0" w:line="235" w:lineRule="auto"/>
        <w:tabs>
          <w:tab w:leader="none" w:pos="95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2,404,129 (See Item 4)</w:t>
      </w:r>
    </w:p>
    <w:p>
      <w:pPr>
        <w:spacing w:after="0" w:line="208"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12" w:type="dxa"/>
        <w:tblCellMar>
          <w:top w:w="0" w:type="dxa"/>
          <w:left w:w="0" w:type="dxa"/>
          <w:bottom w:w="0" w:type="dxa"/>
          <w:right w:w="0" w:type="dxa"/>
        </w:tblCellMar>
      </w:tblPr>
      <w:tr>
        <w:trPr>
          <w:trHeight w:val="204"/>
        </w:trPr>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10.</w:t>
            </w:r>
          </w:p>
        </w:tc>
        <w:tc>
          <w:tcPr>
            <w:tcW w:w="6480" w:type="dxa"/>
            <w:vAlign w:val="bottom"/>
          </w:tcPr>
          <w:p>
            <w:pPr>
              <w:ind w:left="220"/>
              <w:spacing w:after="0"/>
              <w:rPr>
                <w:sz w:val="20"/>
                <w:szCs w:val="20"/>
                <w:color w:val="auto"/>
              </w:rPr>
            </w:pPr>
            <w:r>
              <w:rPr>
                <w:rFonts w:ascii="Courier New" w:cs="Courier New" w:eastAsia="Courier New" w:hAnsi="Courier New"/>
                <w:sz w:val="18"/>
                <w:szCs w:val="18"/>
                <w:color w:val="auto"/>
              </w:rPr>
              <w:t>CHECK BOX IF THE AGGREGATE AMOUNT IN ROW (9) EXCLUDES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520" w:type="dxa"/>
            <w:vAlign w:val="bottom"/>
          </w:tcPr>
          <w:p>
            <w:pPr>
              <w:spacing w:after="0"/>
              <w:rPr>
                <w:sz w:val="17"/>
                <w:szCs w:val="17"/>
                <w:color w:val="auto"/>
              </w:rPr>
            </w:pPr>
          </w:p>
        </w:tc>
        <w:tc>
          <w:tcPr>
            <w:tcW w:w="6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CERTAIN SHARES*</w:t>
            </w:r>
          </w:p>
        </w:tc>
        <w:tc>
          <w:tcPr>
            <w:tcW w:w="1000" w:type="dxa"/>
            <w:vAlign w:val="bottom"/>
          </w:tcPr>
          <w:p>
            <w:pPr>
              <w:spacing w:after="0"/>
              <w:rPr>
                <w:sz w:val="17"/>
                <w:szCs w:val="17"/>
                <w:color w:val="auto"/>
              </w:rPr>
            </w:pPr>
          </w:p>
        </w:tc>
      </w:tr>
    </w:tbl>
    <w:p>
      <w:pPr>
        <w:spacing w:after="0" w:line="207" w:lineRule="exact"/>
        <w:rPr>
          <w:sz w:val="20"/>
          <w:szCs w:val="20"/>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52" w:hanging="741"/>
        <w:spacing w:after="0" w:line="238" w:lineRule="auto"/>
        <w:tabs>
          <w:tab w:leader="none" w:pos="95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9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 (See Item 4)</w:t>
      </w:r>
    </w:p>
    <w:p>
      <w:pPr>
        <w:spacing w:after="0" w:line="207"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52" w:right="6639" w:hanging="741"/>
        <w:spacing w:after="0" w:line="357" w:lineRule="auto"/>
        <w:tabs>
          <w:tab w:leader="none" w:pos="952"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1"/>
          </w:cols>
          <w:pgMar w:left="248" w:top="136" w:right="1440" w:bottom="1440" w:gutter="0" w:footer="0" w:header="0"/>
        </w:sectPr>
      </w:pPr>
    </w:p>
    <w:bookmarkStart w:id="2" w:name="page3"/>
    <w:bookmarkEnd w:id="2"/>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Lightspan,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10140 Campus Point Drive</w:t>
      </w:r>
    </w:p>
    <w:p>
      <w:pPr>
        <w:ind w:left="540"/>
        <w:spacing w:after="0" w:line="238" w:lineRule="auto"/>
        <w:rPr>
          <w:sz w:val="20"/>
          <w:szCs w:val="20"/>
          <w:color w:val="auto"/>
        </w:rPr>
      </w:pPr>
      <w:r>
        <w:rPr>
          <w:rFonts w:ascii="Courier New" w:cs="Courier New" w:eastAsia="Courier New" w:hAnsi="Courier New"/>
          <w:sz w:val="18"/>
          <w:szCs w:val="18"/>
          <w:color w:val="auto"/>
        </w:rPr>
        <w:t>San Diego, CA 92121</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statement is being filed by Comcast Corporation ("Comcast"). Comcast Programming Holdings, Inc. ("Comcast Programming") holds a portion of the shares of Common Stock (as defined below) as described in Item 4 below. Comcast Programming is a direct wholly owned subsidiary of Comcast.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Comcast Interactive Capital, L.P. ("Comcast Interactive") owns a portion of the shares of Common Stock as described in Item 4 below. Comcast CICG, L.P. ("CICG") holds 85% of the partnership interests in Comcast Interactive and is Comcast Interactive's sole limited partner. Comcast CICG GP, Inc. ("CICG GP") is the sole general partner of, and CICG GP and Comcast CICG LP, Inc. ("CICG LP") collectively hold over 90% of the interests in, CICG. Comcast Investment Holdings, Inc. ("CIHI") holds a 100% interest in both CICG GP and CICG LP. Comcast directly owns 90% of the shares of common stock of CIHI and through other subsidiaries owns the remaining 10% of the shares of common stock of CIHI.</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Sural Corporation ("Sural") owns approximately 77% of the voting power of Comcast's voting common stock. The President of Comcast, Brian L. Roberts, owns stock representing substantially all of the voting power of all classes of voting securities of Sural.</w:t>
      </w:r>
    </w:p>
    <w:p>
      <w:pPr>
        <w:spacing w:after="0" w:line="207" w:lineRule="exact"/>
        <w:rPr>
          <w:sz w:val="20"/>
          <w:szCs w:val="20"/>
          <w:color w:val="auto"/>
        </w:rPr>
      </w:pPr>
    </w:p>
    <w:p>
      <w:pPr>
        <w:ind w:left="540" w:right="2939" w:hanging="526"/>
        <w:spacing w:after="0" w:line="235" w:lineRule="auto"/>
        <w:rPr>
          <w:sz w:val="20"/>
          <w:szCs w:val="20"/>
          <w:color w:val="auto"/>
        </w:rPr>
      </w:pPr>
      <w:r>
        <w:rPr>
          <w:rFonts w:ascii="Courier New" w:cs="Courier New" w:eastAsia="Courier New" w:hAnsi="Courier New"/>
          <w:sz w:val="18"/>
          <w:szCs w:val="18"/>
          <w:color w:val="auto"/>
        </w:rPr>
        <w:t>Items 2(b) and (c). Address of Principal Business Office or, if None, Residence; Citizenship:</w:t>
      </w:r>
    </w:p>
    <w:p>
      <w:pPr>
        <w:spacing w:after="0" w:line="208"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The principal business office of Comcast Programming, Sural, CICG, CICG LP, CICG GP and CIHI is 1201 Market Street, Suite 1405, Wilmington, DE 19801.</w:t>
      </w:r>
    </w:p>
    <w:p>
      <w:pPr>
        <w:spacing w:after="0" w:line="17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principal business office of Comcast, Comcast Interactive and Brian 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Roberts is 1500 Market Street, Philadelphia, PA 19102-2148.</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Each of Comcast Programming, Comcast Interactive, CICG, CICG LP, CICG GP, CIHI and Sural was organized in the state of Delaware.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was organized in the state of Pennsylvania.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 is a citizen of the United States.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Common Stock, par value $.001 per share ("Common Stock")</w:t>
      </w:r>
    </w:p>
    <w:p>
      <w:pPr>
        <w:sectPr>
          <w:pgSz w:w="11900" w:h="16838" w:orient="portrait"/>
          <w:cols w:equalWidth="0" w:num="1">
            <w:col w:w="10219"/>
          </w:cols>
          <w:pgMar w:left="240" w:top="514" w:right="1440" w:bottom="1440" w:gutter="0" w:footer="0" w:header="0"/>
        </w:sectPr>
      </w:pPr>
    </w:p>
    <w:bookmarkStart w:id="3" w:name="page4"/>
    <w:bookmarkEnd w:id="3"/>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53226T103</w:t>
      </w:r>
    </w:p>
    <w:p>
      <w:pPr>
        <w:spacing w:after="0" w:line="207" w:lineRule="exact"/>
        <w:rPr>
          <w:sz w:val="20"/>
          <w:szCs w:val="20"/>
          <w:color w:val="auto"/>
        </w:rPr>
      </w:pPr>
    </w:p>
    <w:p>
      <w:pPr>
        <w:ind w:left="540" w:right="219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Item</w:t>
        <w:tab/>
        <w:t>3. If this Statement is Filed Pursuant to Rule 13d-1(b), or 13d-2(b) or (c), Check Whether the Person Filing is a:</w:t>
      </w:r>
    </w:p>
    <w:p>
      <w:pPr>
        <w:spacing w:after="0" w:line="208" w:lineRule="exact"/>
        <w:rPr>
          <w:sz w:val="20"/>
          <w:szCs w:val="20"/>
          <w:color w:val="auto"/>
        </w:rPr>
      </w:pPr>
    </w:p>
    <w:p>
      <w:pPr>
        <w:ind w:left="1060" w:hanging="525"/>
        <w:spacing w:after="0"/>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Exchange Act;</w:t>
      </w:r>
    </w:p>
    <w:p>
      <w:pPr>
        <w:spacing w:after="0" w:line="218"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w:t>
      </w:r>
    </w:p>
    <w:p>
      <w:pPr>
        <w:ind w:left="1580"/>
        <w:spacing w:after="0" w:line="238" w:lineRule="auto"/>
        <w:rPr>
          <w:sz w:val="20"/>
          <w:szCs w:val="20"/>
          <w:color w:val="auto"/>
        </w:rPr>
      </w:pPr>
      <w:r>
        <w:rPr>
          <w:rFonts w:ascii="Courier New" w:cs="Courier New" w:eastAsia="Courier New" w:hAnsi="Courier New"/>
          <w:sz w:val="18"/>
          <w:szCs w:val="18"/>
          <w:color w:val="auto"/>
        </w:rPr>
        <w:t>Exchange Act;</w:t>
      </w:r>
    </w:p>
    <w:p>
      <w:pPr>
        <w:spacing w:after="0" w:line="207" w:lineRule="exact"/>
        <w:rPr>
          <w:sz w:val="20"/>
          <w:szCs w:val="20"/>
          <w:color w:val="auto"/>
        </w:rPr>
      </w:pPr>
    </w:p>
    <w:p>
      <w:pPr>
        <w:ind w:left="1580" w:right="1999" w:hanging="1045"/>
        <w:spacing w:after="0" w:line="235"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An investment adviser in accordance with Rule 13d-1(b)(1)(ii)(E);</w:t>
      </w:r>
    </w:p>
    <w:p>
      <w:pPr>
        <w:spacing w:after="0" w:line="223" w:lineRule="exact"/>
        <w:rPr>
          <w:rFonts w:ascii="Courier New" w:cs="Courier New" w:eastAsia="Courier New" w:hAnsi="Courier New"/>
          <w:sz w:val="16"/>
          <w:szCs w:val="16"/>
          <w:color w:val="auto"/>
        </w:rPr>
      </w:pPr>
    </w:p>
    <w:p>
      <w:pPr>
        <w:ind w:left="1580" w:right="2199" w:hanging="1045"/>
        <w:spacing w:after="0" w:line="235"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580" w:right="2199" w:hanging="1045"/>
        <w:spacing w:after="0" w:line="235"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580" w:right="1999" w:hanging="1045"/>
        <w:spacing w:after="0" w:line="235"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580" w:right="2419" w:hanging="1045"/>
        <w:spacing w:after="0" w:line="236"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issuer identified in Item 1.</w:t>
      </w:r>
    </w:p>
    <w:p>
      <w:pPr>
        <w:spacing w:after="0" w:line="164" w:lineRule="exact"/>
        <w:rPr>
          <w:sz w:val="20"/>
          <w:szCs w:val="20"/>
          <w:color w:val="auto"/>
        </w:rPr>
      </w:pPr>
    </w:p>
    <w:p>
      <w:pPr>
        <w:ind w:left="1060" w:hanging="525"/>
        <w:spacing w:after="0"/>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Comcast Programming may be deemed to be the beneficial owner of 1,904,129 shares of Common Stock as a result of its direct ownership of 1,904,129 shares of Common Stock.</w:t>
      </w:r>
    </w:p>
    <w:p>
      <w:pPr>
        <w:sectPr>
          <w:pgSz w:w="11900" w:h="16838" w:orient="portrait"/>
          <w:cols w:equalWidth="0" w:num="1">
            <w:col w:w="10219"/>
          </w:cols>
          <w:pgMar w:left="240" w:top="1122" w:right="1440" w:bottom="1440" w:gutter="0" w:footer="0" w:header="0"/>
        </w:sectPr>
      </w:pPr>
    </w:p>
    <w:bookmarkStart w:id="4" w:name="page5"/>
    <w:bookmarkEnd w:id="4"/>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Comcast may be deemed to be the beneficial owner of the 1,904,129 shares of Common Stock deemed to be owned by Comcast Programming referred to above. Comcast is the sole shareholder of Comcast Programming.</w:t>
      </w:r>
    </w:p>
    <w:p>
      <w:pPr>
        <w:spacing w:after="0" w:line="20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Sural may be deemed to be the beneficial owner of the 1,904,129 shares of Common Stock deemed to be owned by Comcast Programming referred to above. Sural owns approximately 77% of the voting power of Comcast's voting common stock.</w:t>
      </w:r>
    </w:p>
    <w:p>
      <w:pPr>
        <w:spacing w:after="0" w:line="17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Brian L. Roberts may be deemed to be the beneficial owner of the 1,904,129 shares of Common Stock deemed to be owned by Comcast Programming referred to above. Brian L. Roberts owns stock representing substantially all of the voting power of all classes of voting securities of Sural.</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Comcast Interactive may be deemed to be the beneficial owner of 500,000 shares of Common Stock as a result of its direct ownership of 500,000 shares of Common Stock.</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Each of Comcast, Sural and Brian L. Roberts may be deemed to be the beneficial owner of the 500,000 shares of Common Stock deemed to be owned by Comcast Interactive and the information set forth in this Schedule 13G has been prepared on that basis. Notwithstanding the foregoing, Comcast, Sural and Brian L. Roberts disclaim beneficial ownership of the 500,000 shares of Common Stock owned by Comcast Interactive.</w:t>
      </w:r>
    </w:p>
    <w:p>
      <w:pPr>
        <w:spacing w:after="0" w:line="204" w:lineRule="exact"/>
        <w:rPr>
          <w:sz w:val="20"/>
          <w:szCs w:val="20"/>
          <w:color w:val="auto"/>
        </w:rPr>
      </w:pPr>
    </w:p>
    <w:p>
      <w:pPr>
        <w:ind w:left="1060" w:hanging="525"/>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5.2% (See Item 4(a))</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1700" w:right="3159" w:hanging="533"/>
        <w:spacing w:after="0" w:line="235" w:lineRule="auto"/>
        <w:tabs>
          <w:tab w:leader="none" w:pos="17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2,404,129 (See Item 4(a))</w:t>
      </w:r>
    </w:p>
    <w:p>
      <w:pPr>
        <w:spacing w:after="0" w:line="202" w:lineRule="exact"/>
        <w:rPr>
          <w:rFonts w:ascii="Courier New" w:cs="Courier New" w:eastAsia="Courier New" w:hAnsi="Courier New"/>
          <w:sz w:val="18"/>
          <w:szCs w:val="18"/>
          <w:color w:val="auto"/>
        </w:rPr>
      </w:pPr>
    </w:p>
    <w:p>
      <w:pPr>
        <w:ind w:left="1700" w:hanging="639"/>
        <w:spacing w:after="0"/>
        <w:tabs>
          <w:tab w:leader="none" w:pos="17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spacing w:after="0" w:line="206" w:lineRule="exact"/>
        <w:rPr>
          <w:rFonts w:ascii="Courier New" w:cs="Courier New" w:eastAsia="Courier New" w:hAnsi="Courier New"/>
          <w:sz w:val="18"/>
          <w:szCs w:val="18"/>
          <w:color w:val="auto"/>
        </w:rPr>
      </w:pPr>
    </w:p>
    <w:p>
      <w:pPr>
        <w:ind w:left="1700" w:right="1779" w:hanging="744"/>
        <w:spacing w:after="0" w:line="235" w:lineRule="auto"/>
        <w:tabs>
          <w:tab w:leader="none" w:pos="17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2,404,129 (See Item 4(a))</w:t>
      </w:r>
    </w:p>
    <w:p>
      <w:pPr>
        <w:spacing w:after="0" w:line="208" w:lineRule="exact"/>
        <w:rPr>
          <w:rFonts w:ascii="Courier New" w:cs="Courier New" w:eastAsia="Courier New" w:hAnsi="Courier New"/>
          <w:sz w:val="18"/>
          <w:szCs w:val="18"/>
          <w:color w:val="auto"/>
        </w:rPr>
      </w:pPr>
    </w:p>
    <w:p>
      <w:pPr>
        <w:ind w:right="2099" w:firstLine="1061"/>
        <w:spacing w:after="0" w:line="470" w:lineRule="auto"/>
        <w:tabs>
          <w:tab w:leader="none" w:pos="1685"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None Item 5. Ownership of Five Percent or Less of a Class.</w:t>
      </w:r>
    </w:p>
    <w:p>
      <w:pPr>
        <w:spacing w:after="0" w:line="1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925" w:right="1440" w:bottom="1440" w:gutter="0" w:footer="0" w:header="0"/>
        </w:sectPr>
      </w:pPr>
    </w:p>
    <w:bookmarkStart w:id="5" w:name="page6"/>
    <w:bookmarkEnd w:id="5"/>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jc w:val="center"/>
        <w:ind w:left="1560"/>
        <w:spacing w:after="0"/>
        <w:rPr>
          <w:sz w:val="20"/>
          <w:szCs w:val="20"/>
          <w:color w:val="auto"/>
        </w:rPr>
      </w:pPr>
      <w:r>
        <w:rPr>
          <w:rFonts w:ascii="Courier New" w:cs="Courier New" w:eastAsia="Courier New" w:hAnsi="Courier New"/>
          <w:sz w:val="18"/>
          <w:szCs w:val="18"/>
          <w:color w:val="auto"/>
        </w:rPr>
        <w:t>February 14, 2001</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jc w:val="center"/>
        <w:ind w:left="1560"/>
        <w:spacing w:after="0"/>
        <w:rPr>
          <w:sz w:val="20"/>
          <w:szCs w:val="20"/>
          <w:color w:val="auto"/>
        </w:rPr>
      </w:pPr>
      <w:r>
        <w:rPr>
          <w:rFonts w:ascii="Courier New" w:cs="Courier New" w:eastAsia="Courier New" w:hAnsi="Courier New"/>
          <w:sz w:val="18"/>
          <w:szCs w:val="18"/>
          <w:color w:val="auto"/>
        </w:rPr>
        <w:t>/s/ Arthur R. Block</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15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Arthur R. Block, Senior Vice President</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4"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lvl w:ilvl="1">
      <w:lvlJc w:val="left"/>
      <w:lvlText w:val="*"/>
      <w:numFmt w:val="bullet"/>
      <w:start w:val="1"/>
    </w:lvl>
  </w:abstractNum>
  <w:abstractNum w:abstractNumId="6">
    <w:nsid w:val="1190CDE7"/>
    <w:multiLevelType w:val="hybridMultilevel"/>
    <w:lvl w:ilvl="0">
      <w:lvlJc w:val="left"/>
      <w:lvlText w:val="-"/>
      <w:numFmt w:val="bullet"/>
      <w:start w:val="1"/>
    </w:lvl>
    <w:lvl w:ilvl="1">
      <w:lvlJc w:val="left"/>
      <w:lvlText w:val="%2."/>
      <w:numFmt w:val="decimal"/>
      <w:start w:val="1"/>
    </w:lvl>
  </w:abstractNum>
  <w:abstractNum w:abstractNumId="7">
    <w:nsid w:val="66EF438D"/>
    <w:multiLevelType w:val="hybridMultilevel"/>
    <w:lvl w:ilvl="0">
      <w:lvlJc w:val="left"/>
      <w:lvlText w:val="-"/>
      <w:numFmt w:val="bullet"/>
      <w:start w:val="1"/>
    </w:lvl>
    <w:lvl w:ilvl="1">
      <w:lvlJc w:val="left"/>
      <w:lvlText w:val="%2."/>
      <w:numFmt w:val="decimal"/>
      <w:start w:val="3"/>
    </w:lvl>
  </w:abstractNum>
  <w:abstractNum w:abstractNumId="8">
    <w:nsid w:val="140E0F76"/>
    <w:multiLevelType w:val="hybridMultilevel"/>
    <w:lvl w:ilvl="0">
      <w:lvlJc w:val="left"/>
      <w:lvlText w:val="-"/>
      <w:numFmt w:val="bullet"/>
      <w:start w:val="1"/>
    </w:lvl>
    <w:lvl w:ilvl="1">
      <w:lvlJc w:val="left"/>
      <w:lvlText w:val="%2."/>
      <w:numFmt w:val="decimal"/>
      <w:start w:val="4"/>
    </w:lvl>
  </w:abstractNum>
  <w:abstractNum w:abstractNumId="9">
    <w:nsid w:val="3352255A"/>
    <w:multiLevelType w:val="hybridMultilevel"/>
    <w:lvl w:ilvl="0">
      <w:lvlJc w:val="left"/>
      <w:lvlText w:val="-"/>
      <w:numFmt w:val="bullet"/>
      <w:start w:val="1"/>
    </w:lvl>
    <w:lvl w:ilvl="1">
      <w:lvlJc w:val="left"/>
      <w:lvlText w:val="%2."/>
      <w:numFmt w:val="decimal"/>
      <w:start w:val="9"/>
    </w:lvl>
  </w:abstractNum>
  <w:abstractNum w:abstractNumId="10">
    <w:nsid w:val="109CF92E"/>
    <w:multiLevelType w:val="hybridMultilevel"/>
    <w:lvl w:ilvl="0">
      <w:lvlJc w:val="left"/>
      <w:lvlText w:val="-"/>
      <w:numFmt w:val="bullet"/>
      <w:start w:val="1"/>
    </w:lvl>
    <w:lvl w:ilvl="1">
      <w:lvlJc w:val="left"/>
      <w:lvlText w:val="%2."/>
      <w:numFmt w:val="decimal"/>
      <w:start w:val="11"/>
    </w:lvl>
  </w:abstractNum>
  <w:abstractNum w:abstractNumId="11">
    <w:nsid w:val="DED7263"/>
    <w:multiLevelType w:val="hybridMultilevel"/>
    <w:lvl w:ilvl="0">
      <w:lvlJc w:val="left"/>
      <w:lvlText w:val="-"/>
      <w:numFmt w:val="bullet"/>
      <w:start w:val="1"/>
    </w:lvl>
    <w:lvl w:ilvl="1">
      <w:lvlJc w:val="left"/>
      <w:lvlText w:val="%2."/>
      <w:numFmt w:val="decimal"/>
      <w:start w:val="12"/>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4"/>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2019-12-16T12:04:47Z</dcterms:created>
  <dcterms:modified xsi:type="dcterms:W3CDTF">2019-12-16T12:04:47Z</dcterms:modified>
</cp:coreProperties>
</file>