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424(B)(2)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333-132750</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(To prospectus dated March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48895</wp:posOffset>
            </wp:positionV>
            <wp:extent cx="1431925" cy="368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192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40"/>
        <w:spacing w:after="0"/>
        <w:rPr>
          <w:sz w:val="20"/>
          <w:szCs w:val="20"/>
          <w:color w:val="auto"/>
        </w:rPr>
      </w:pPr>
      <w:r>
        <w:rPr>
          <w:rFonts w:ascii="Arial" w:cs="Arial" w:eastAsia="Arial" w:hAnsi="Arial"/>
          <w:sz w:val="25"/>
          <w:szCs w:val="25"/>
          <w:b w:val="1"/>
          <w:bCs w:val="1"/>
          <w:color w:val="auto"/>
        </w:rPr>
        <w:t>$1,000,000,000 6.30% Notes due 2017</w:t>
      </w:r>
    </w:p>
    <w:p>
      <w:pPr>
        <w:spacing w:after="0" w:line="38" w:lineRule="exact"/>
        <w:rPr>
          <w:sz w:val="20"/>
          <w:szCs w:val="20"/>
          <w:color w:val="auto"/>
        </w:rPr>
      </w:pPr>
    </w:p>
    <w:p>
      <w:pPr>
        <w:ind w:left="3640"/>
        <w:spacing w:after="0"/>
        <w:rPr>
          <w:sz w:val="20"/>
          <w:szCs w:val="20"/>
          <w:color w:val="auto"/>
        </w:rPr>
      </w:pPr>
      <w:r>
        <w:rPr>
          <w:rFonts w:ascii="Arial" w:cs="Arial" w:eastAsia="Arial" w:hAnsi="Arial"/>
          <w:sz w:val="25"/>
          <w:szCs w:val="25"/>
          <w:b w:val="1"/>
          <w:bCs w:val="1"/>
          <w:color w:val="auto"/>
        </w:rPr>
        <w:t>$2,000,000,000 6.95% Notes due 2037</w:t>
      </w:r>
    </w:p>
    <w:p>
      <w:pPr>
        <w:spacing w:after="0" w:line="62" w:lineRule="exact"/>
        <w:rPr>
          <w:sz w:val="20"/>
          <w:szCs w:val="20"/>
          <w:color w:val="auto"/>
        </w:rPr>
      </w:pPr>
    </w:p>
    <w:p>
      <w:pPr>
        <w:ind w:left="700" w:right="40" w:firstLine="397"/>
        <w:spacing w:after="0" w:line="293" w:lineRule="auto"/>
        <w:rPr>
          <w:sz w:val="20"/>
          <w:szCs w:val="20"/>
          <w:color w:val="auto"/>
        </w:rPr>
      </w:pPr>
      <w:r>
        <w:rPr>
          <w:rFonts w:ascii="Arial" w:cs="Arial" w:eastAsia="Arial" w:hAnsi="Arial"/>
          <w:sz w:val="15"/>
          <w:szCs w:val="15"/>
          <w:color w:val="auto"/>
        </w:rPr>
        <w:t>The Notes due 2017 will bear interest at a rate of 6.30% per year and will mature on November 15, 2017 and the Notes due 2037 will bear interest at a rate of 6.95% per year and will mature on August 15, 2037. We will pay interest on the Notes due 2017 on May 15 and November 15 of each year, beginning November 15, 2007. We will pay interest on the Notes due 2037 on February 15 and August 15 of each year, beginning February 15, 2008. We may redeem any of the notes at any time by paying the greater of the principal amount of such notes or a “make-whole” amount, plus, in each case, accrued and unpaid interest. See “Description of the Notes — Optional Redemption.”</w:t>
      </w:r>
    </w:p>
    <w:p>
      <w:pPr>
        <w:spacing w:after="0" w:line="28" w:lineRule="exact"/>
        <w:rPr>
          <w:sz w:val="20"/>
          <w:szCs w:val="20"/>
          <w:color w:val="auto"/>
        </w:rPr>
      </w:pPr>
    </w:p>
    <w:p>
      <w:pPr>
        <w:jc w:val="both"/>
        <w:ind w:left="700" w:right="620" w:firstLine="397"/>
        <w:spacing w:after="0" w:line="339" w:lineRule="auto"/>
        <w:rPr>
          <w:sz w:val="20"/>
          <w:szCs w:val="20"/>
          <w:color w:val="auto"/>
        </w:rPr>
      </w:pPr>
      <w:r>
        <w:rPr>
          <w:rFonts w:ascii="Arial" w:cs="Arial" w:eastAsia="Arial" w:hAnsi="Arial"/>
          <w:sz w:val="14"/>
          <w:szCs w:val="14"/>
          <w:color w:val="auto"/>
        </w:rPr>
        <w:t>The notes will be unsecured and will rank equally with all of our unsecured and unsubordinated indebtedness. The notes will be fully and unconditionally guaranteed by our wholly-owned cable subsidiaries named in this prospectus supplement and in the accompanying prospectus.</w:t>
      </w:r>
    </w:p>
    <w:p>
      <w:pPr>
        <w:ind w:left="700" w:right="680" w:firstLine="216"/>
        <w:spacing w:after="0" w:line="256" w:lineRule="auto"/>
        <w:rPr>
          <w:sz w:val="20"/>
          <w:szCs w:val="20"/>
          <w:color w:val="auto"/>
        </w:rPr>
      </w:pPr>
      <w:r>
        <w:rPr>
          <w:rFonts w:ascii="Arial" w:cs="Arial" w:eastAsia="Arial" w:hAnsi="Arial"/>
          <w:sz w:val="22"/>
          <w:szCs w:val="22"/>
          <w:b w:val="1"/>
          <w:bCs w:val="1"/>
          <w:color w:val="auto"/>
        </w:rPr>
        <w:t>Investing in the notes involves risks that are described in the “Risk Factors” section of our Annual Report on Form 10-K for the year ended December 31, 2006.</w:t>
      </w:r>
    </w:p>
    <w:p>
      <w:pPr>
        <w:spacing w:after="0" w:line="2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Price to</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Proceeds to</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7"/>
              </w:rPr>
              <w:t>Underwriters’ Discount</w:t>
            </w:r>
          </w:p>
        </w:tc>
        <w:tc>
          <w:tcPr>
            <w:tcW w:w="3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Us Before</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Investors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8"/>
              </w:rPr>
              <w:t>Expenses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860" w:type="dxa"/>
            <w:vAlign w:val="bottom"/>
          </w:tcPr>
          <w:p>
            <w:pPr>
              <w:spacing w:after="0"/>
              <w:rPr>
                <w:sz w:val="20"/>
                <w:szCs w:val="20"/>
                <w:color w:val="auto"/>
              </w:rPr>
            </w:pPr>
            <w:r>
              <w:rPr>
                <w:rFonts w:ascii="Arial" w:cs="Arial" w:eastAsia="Arial" w:hAnsi="Arial"/>
                <w:sz w:val="18"/>
                <w:szCs w:val="18"/>
                <w:color w:val="auto"/>
              </w:rPr>
              <w:t>Per note due 2017(1)</w:t>
            </w: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99.759%</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0.45%</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99.309%</w:t>
            </w:r>
          </w:p>
        </w:tc>
        <w:tc>
          <w:tcPr>
            <w:tcW w:w="0" w:type="dxa"/>
            <w:vAlign w:val="bottom"/>
          </w:tcPr>
          <w:p>
            <w:pPr>
              <w:spacing w:after="0"/>
              <w:rPr>
                <w:sz w:val="1"/>
                <w:szCs w:val="1"/>
                <w:color w:val="auto"/>
              </w:rPr>
            </w:pPr>
          </w:p>
        </w:tc>
      </w:tr>
      <w:tr>
        <w:trPr>
          <w:trHeight w:val="216"/>
        </w:trPr>
        <w:tc>
          <w:tcPr>
            <w:tcW w:w="2860" w:type="dxa"/>
            <w:vAlign w:val="bottom"/>
          </w:tcPr>
          <w:p>
            <w:pPr>
              <w:ind w:left="180"/>
              <w:spacing w:after="0"/>
              <w:rPr>
                <w:sz w:val="20"/>
                <w:szCs w:val="20"/>
                <w:color w:val="auto"/>
              </w:rPr>
            </w:pPr>
            <w:r>
              <w:rPr>
                <w:rFonts w:ascii="Arial" w:cs="Arial" w:eastAsia="Arial" w:hAnsi="Arial"/>
                <w:sz w:val="18"/>
                <w:szCs w:val="18"/>
                <w:color w:val="auto"/>
              </w:rPr>
              <w:t>Total</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997,590,000</w:t>
            </w:r>
          </w:p>
        </w:tc>
        <w:tc>
          <w:tcPr>
            <w:tcW w:w="3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4,500,000</w:t>
            </w:r>
          </w:p>
        </w:tc>
        <w:tc>
          <w:tcPr>
            <w:tcW w:w="30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993,090,000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Per note due 2037(1)</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99.790%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0.875%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98.915%</w:t>
            </w: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Total</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w w:val="99"/>
              </w:rPr>
              <w:t>1,995,800,000</w:t>
            </w:r>
          </w:p>
        </w:tc>
        <w:tc>
          <w:tcPr>
            <w:tcW w:w="300" w:type="dxa"/>
            <w:vAlign w:val="bottom"/>
          </w:tcPr>
          <w:p>
            <w:pPr>
              <w:spacing w:after="0"/>
              <w:rPr>
                <w:sz w:val="20"/>
                <w:szCs w:val="20"/>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17,500,000</w:t>
            </w:r>
          </w:p>
        </w:tc>
        <w:tc>
          <w:tcPr>
            <w:tcW w:w="30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w w:val="99"/>
              </w:rPr>
              <w:t>1,978,300,000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700" w:hanging="508"/>
        <w:spacing w:after="0"/>
        <w:tabs>
          <w:tab w:leader="none" w:pos="1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Plus accrued interest, if any, from August 23, 2007, if settlement occurs after that date.</w:t>
      </w:r>
    </w:p>
    <w:p>
      <w:pPr>
        <w:spacing w:after="0" w:line="86" w:lineRule="exact"/>
        <w:rPr>
          <w:sz w:val="20"/>
          <w:szCs w:val="20"/>
          <w:color w:val="auto"/>
        </w:rPr>
      </w:pPr>
    </w:p>
    <w:p>
      <w:pPr>
        <w:ind w:left="700" w:right="500" w:firstLine="397"/>
        <w:spacing w:after="0" w:line="278"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36" w:lineRule="exact"/>
        <w:rPr>
          <w:sz w:val="20"/>
          <w:szCs w:val="20"/>
          <w:color w:val="auto"/>
        </w:rPr>
      </w:pPr>
    </w:p>
    <w:p>
      <w:pPr>
        <w:ind w:left="700" w:right="300" w:firstLine="397"/>
        <w:spacing w:after="0" w:line="293" w:lineRule="auto"/>
        <w:rPr>
          <w:sz w:val="20"/>
          <w:szCs w:val="20"/>
          <w:color w:val="auto"/>
        </w:rPr>
      </w:pPr>
      <w:r>
        <w:rPr>
          <w:rFonts w:ascii="Arial" w:cs="Arial" w:eastAsia="Arial" w:hAnsi="Arial"/>
          <w:sz w:val="16"/>
          <w:szCs w:val="16"/>
          <w:color w:val="auto"/>
        </w:rPr>
        <w:t>The notes will be ready for delivery only through The Depository Trust Company and its participants, including Euroclear and Clearstream, in book-entry form on or about August 23,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29845</wp:posOffset>
            </wp:positionV>
            <wp:extent cx="9436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98" w:lineRule="exact"/>
        <w:rPr>
          <w:sz w:val="20"/>
          <w:szCs w:val="20"/>
          <w:color w:val="auto"/>
        </w:rPr>
      </w:pPr>
    </w:p>
    <w:tbl>
      <w:tblPr>
        <w:tblLayout w:type="fixed"/>
        <w:tblInd w:w="70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360" w:type="dxa"/>
            <w:vAlign w:val="bottom"/>
          </w:tcPr>
          <w:p>
            <w:pPr>
              <w:ind w:left="600"/>
              <w:spacing w:after="0"/>
              <w:rPr>
                <w:sz w:val="20"/>
                <w:szCs w:val="20"/>
                <w:color w:val="auto"/>
              </w:rPr>
            </w:pPr>
            <w:r>
              <w:rPr>
                <w:rFonts w:ascii="Arial" w:cs="Arial" w:eastAsia="Arial" w:hAnsi="Arial"/>
                <w:sz w:val="16"/>
                <w:szCs w:val="16"/>
                <w:i w:val="1"/>
                <w:iCs w:val="1"/>
                <w:color w:val="auto"/>
              </w:rPr>
              <w:t>Joint Book-Running Managers</w:t>
            </w: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3360" w:type="dxa"/>
            <w:vAlign w:val="bottom"/>
            <w:gridSpan w:val="2"/>
          </w:tcPr>
          <w:p>
            <w:pPr>
              <w:jc w:val="center"/>
              <w:spacing w:after="0"/>
              <w:rPr>
                <w:sz w:val="20"/>
                <w:szCs w:val="20"/>
                <w:color w:val="auto"/>
              </w:rPr>
            </w:pPr>
            <w:r>
              <w:rPr>
                <w:rFonts w:ascii="Arial" w:cs="Arial" w:eastAsia="Arial" w:hAnsi="Arial"/>
                <w:sz w:val="25"/>
                <w:szCs w:val="25"/>
                <w:b w:val="1"/>
                <w:bCs w:val="1"/>
                <w:color w:val="auto"/>
                <w:w w:val="91"/>
              </w:rPr>
              <w:t>Goldman, Sachs &amp; Co.</w:t>
            </w:r>
          </w:p>
        </w:tc>
        <w:tc>
          <w:tcPr>
            <w:tcW w:w="3360" w:type="dxa"/>
            <w:vAlign w:val="bottom"/>
          </w:tcPr>
          <w:p>
            <w:pPr>
              <w:jc w:val="center"/>
              <w:spacing w:after="0"/>
              <w:rPr>
                <w:sz w:val="20"/>
                <w:szCs w:val="20"/>
                <w:color w:val="auto"/>
              </w:rPr>
            </w:pPr>
            <w:r>
              <w:rPr>
                <w:rFonts w:ascii="Arial" w:cs="Arial" w:eastAsia="Arial" w:hAnsi="Arial"/>
                <w:sz w:val="25"/>
                <w:szCs w:val="25"/>
                <w:b w:val="1"/>
                <w:bCs w:val="1"/>
                <w:color w:val="auto"/>
                <w:w w:val="92"/>
              </w:rPr>
              <w:t>Barclays Capital</w:t>
            </w:r>
          </w:p>
        </w:tc>
        <w:tc>
          <w:tcPr>
            <w:tcW w:w="2820" w:type="dxa"/>
            <w:vAlign w:val="bottom"/>
          </w:tcPr>
          <w:p>
            <w:pPr>
              <w:jc w:val="center"/>
              <w:ind w:left="312"/>
              <w:spacing w:after="0"/>
              <w:rPr>
                <w:sz w:val="20"/>
                <w:szCs w:val="20"/>
                <w:color w:val="auto"/>
              </w:rPr>
            </w:pPr>
            <w:r>
              <w:rPr>
                <w:rFonts w:ascii="Arial" w:cs="Arial" w:eastAsia="Arial" w:hAnsi="Arial"/>
                <w:sz w:val="25"/>
                <w:szCs w:val="25"/>
                <w:b w:val="1"/>
                <w:bCs w:val="1"/>
                <w:color w:val="auto"/>
                <w:w w:val="93"/>
              </w:rPr>
              <w:t>Morgan Stanley</w:t>
            </w: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ABN Amro Incorporated</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1"/>
              </w:rPr>
              <w:t>Banc of America Securities LLC</w:t>
            </w:r>
          </w:p>
        </w:tc>
        <w:tc>
          <w:tcPr>
            <w:tcW w:w="2820" w:type="dxa"/>
            <w:vAlign w:val="bottom"/>
          </w:tcPr>
          <w:p>
            <w:pPr>
              <w:jc w:val="center"/>
              <w:ind w:left="312"/>
              <w:spacing w:after="0"/>
              <w:rPr>
                <w:sz w:val="20"/>
                <w:szCs w:val="20"/>
                <w:color w:val="auto"/>
              </w:rPr>
            </w:pPr>
            <w:r>
              <w:rPr>
                <w:rFonts w:ascii="Arial" w:cs="Arial" w:eastAsia="Arial" w:hAnsi="Arial"/>
                <w:sz w:val="18"/>
                <w:szCs w:val="18"/>
                <w:b w:val="1"/>
                <w:bCs w:val="1"/>
                <w:color w:val="auto"/>
                <w:w w:val="95"/>
              </w:rPr>
              <w:t>BNP PARIBAS</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880" w:type="dxa"/>
            <w:vAlign w:val="bottom"/>
          </w:tcPr>
          <w:p>
            <w:pPr>
              <w:jc w:val="center"/>
              <w:ind w:right="1210"/>
              <w:spacing w:after="0"/>
              <w:rPr>
                <w:sz w:val="20"/>
                <w:szCs w:val="20"/>
                <w:color w:val="auto"/>
              </w:rPr>
            </w:pPr>
            <w:r>
              <w:rPr>
                <w:rFonts w:ascii="Arial" w:cs="Arial" w:eastAsia="Arial" w:hAnsi="Arial"/>
                <w:sz w:val="18"/>
                <w:szCs w:val="18"/>
                <w:b w:val="1"/>
                <w:bCs w:val="1"/>
                <w:color w:val="auto"/>
              </w:rPr>
              <w:t>Citi</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0"/>
              </w:rPr>
              <w:t>Daiwa Securities America Inc.</w:t>
            </w:r>
          </w:p>
        </w:tc>
        <w:tc>
          <w:tcPr>
            <w:tcW w:w="2820" w:type="dxa"/>
            <w:vAlign w:val="bottom"/>
          </w:tcPr>
          <w:p>
            <w:pPr>
              <w:jc w:val="center"/>
              <w:ind w:left="272"/>
              <w:spacing w:after="0"/>
              <w:rPr>
                <w:sz w:val="20"/>
                <w:szCs w:val="20"/>
                <w:color w:val="auto"/>
              </w:rPr>
            </w:pPr>
            <w:r>
              <w:rPr>
                <w:rFonts w:ascii="Arial" w:cs="Arial" w:eastAsia="Arial" w:hAnsi="Arial"/>
                <w:sz w:val="18"/>
                <w:szCs w:val="18"/>
                <w:b w:val="1"/>
                <w:bCs w:val="1"/>
                <w:color w:val="auto"/>
                <w:w w:val="87"/>
              </w:rPr>
              <w:t>Deutsche Bank Securities</w:t>
            </w:r>
          </w:p>
        </w:tc>
        <w:tc>
          <w:tcPr>
            <w:tcW w:w="0" w:type="dxa"/>
            <w:vAlign w:val="bottom"/>
          </w:tcPr>
          <w:p>
            <w:pPr>
              <w:spacing w:after="0"/>
              <w:rPr>
                <w:sz w:val="1"/>
                <w:szCs w:val="1"/>
                <w:color w:val="auto"/>
              </w:rPr>
            </w:pPr>
          </w:p>
        </w:tc>
      </w:tr>
      <w:tr>
        <w:trPr>
          <w:trHeight w:val="216"/>
        </w:trPr>
        <w:tc>
          <w:tcPr>
            <w:tcW w:w="3360" w:type="dxa"/>
            <w:vAlign w:val="bottom"/>
            <w:gridSpan w:val="2"/>
          </w:tcPr>
          <w:p>
            <w:pPr>
              <w:jc w:val="center"/>
              <w:ind w:left="92"/>
              <w:spacing w:after="0"/>
              <w:rPr>
                <w:sz w:val="20"/>
                <w:szCs w:val="20"/>
                <w:color w:val="auto"/>
              </w:rPr>
            </w:pPr>
            <w:r>
              <w:rPr>
                <w:rFonts w:ascii="Arial" w:cs="Arial" w:eastAsia="Arial" w:hAnsi="Arial"/>
                <w:sz w:val="18"/>
                <w:szCs w:val="18"/>
                <w:b w:val="1"/>
                <w:bCs w:val="1"/>
                <w:color w:val="auto"/>
                <w:w w:val="94"/>
              </w:rPr>
              <w:t>JPMorgan</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1"/>
              </w:rPr>
              <w:t>Lehman Brothers</w:t>
            </w:r>
          </w:p>
        </w:tc>
        <w:tc>
          <w:tcPr>
            <w:tcW w:w="2820" w:type="dxa"/>
            <w:vAlign w:val="bottom"/>
          </w:tcPr>
          <w:p>
            <w:pPr>
              <w:jc w:val="center"/>
              <w:ind w:left="312"/>
              <w:spacing w:after="0"/>
              <w:rPr>
                <w:sz w:val="20"/>
                <w:szCs w:val="20"/>
                <w:color w:val="auto"/>
              </w:rPr>
            </w:pPr>
            <w:r>
              <w:rPr>
                <w:rFonts w:ascii="Arial" w:cs="Arial" w:eastAsia="Arial" w:hAnsi="Arial"/>
                <w:sz w:val="18"/>
                <w:szCs w:val="18"/>
                <w:b w:val="1"/>
                <w:bCs w:val="1"/>
                <w:color w:val="auto"/>
                <w:w w:val="96"/>
              </w:rPr>
              <w:t>Merrill Lynch &amp; Co.</w:t>
            </w:r>
          </w:p>
        </w:tc>
        <w:tc>
          <w:tcPr>
            <w:tcW w:w="0" w:type="dxa"/>
            <w:vAlign w:val="bottom"/>
          </w:tcPr>
          <w:p>
            <w:pPr>
              <w:spacing w:after="0"/>
              <w:rPr>
                <w:sz w:val="1"/>
                <w:szCs w:val="1"/>
                <w:color w:val="auto"/>
              </w:rPr>
            </w:pPr>
          </w:p>
        </w:tc>
      </w:tr>
      <w:tr>
        <w:trPr>
          <w:trHeight w:val="216"/>
        </w:trPr>
        <w:tc>
          <w:tcPr>
            <w:tcW w:w="3360" w:type="dxa"/>
            <w:vAlign w:val="bottom"/>
            <w:gridSpan w:val="2"/>
          </w:tcPr>
          <w:p>
            <w:pPr>
              <w:jc w:val="center"/>
              <w:ind w:left="92"/>
              <w:spacing w:after="0"/>
              <w:rPr>
                <w:sz w:val="20"/>
                <w:szCs w:val="20"/>
                <w:color w:val="auto"/>
              </w:rPr>
            </w:pPr>
            <w:r>
              <w:rPr>
                <w:rFonts w:ascii="Arial" w:cs="Arial" w:eastAsia="Arial" w:hAnsi="Arial"/>
                <w:sz w:val="18"/>
                <w:szCs w:val="18"/>
                <w:b w:val="1"/>
                <w:bCs w:val="1"/>
                <w:color w:val="auto"/>
                <w:w w:val="90"/>
              </w:rPr>
              <w:t>Mitsubishi UFJ Securities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0"/>
              </w:rPr>
              <w:t>The Royal Bank of Scotland</w:t>
            </w:r>
          </w:p>
        </w:tc>
        <w:tc>
          <w:tcPr>
            <w:tcW w:w="2820" w:type="dxa"/>
            <w:vAlign w:val="bottom"/>
          </w:tcPr>
          <w:p>
            <w:pPr>
              <w:jc w:val="center"/>
              <w:ind w:left="312"/>
              <w:spacing w:after="0"/>
              <w:rPr>
                <w:sz w:val="20"/>
                <w:szCs w:val="20"/>
                <w:color w:val="auto"/>
              </w:rPr>
            </w:pPr>
            <w:r>
              <w:rPr>
                <w:rFonts w:ascii="Arial" w:cs="Arial" w:eastAsia="Arial" w:hAnsi="Arial"/>
                <w:sz w:val="18"/>
                <w:szCs w:val="18"/>
                <w:b w:val="1"/>
                <w:bCs w:val="1"/>
                <w:color w:val="auto"/>
                <w:w w:val="90"/>
              </w:rPr>
              <w:t>UBS Investment Bank</w:t>
            </w:r>
          </w:p>
        </w:tc>
        <w:tc>
          <w:tcPr>
            <w:tcW w:w="0" w:type="dxa"/>
            <w:vAlign w:val="bottom"/>
          </w:tcPr>
          <w:p>
            <w:pPr>
              <w:spacing w:after="0"/>
              <w:rPr>
                <w:sz w:val="1"/>
                <w:szCs w:val="1"/>
                <w:color w:val="auto"/>
              </w:rPr>
            </w:pPr>
          </w:p>
        </w:tc>
      </w:tr>
      <w:tr>
        <w:trPr>
          <w:trHeight w:val="234"/>
        </w:trPr>
        <w:tc>
          <w:tcPr>
            <w:tcW w:w="33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5"/>
              </w:rPr>
              <w:t>BNY Capital Markets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9"/>
              </w:rPr>
              <w:t>Wachovia Securities</w:t>
            </w:r>
          </w:p>
        </w:tc>
        <w:tc>
          <w:tcPr>
            <w:tcW w:w="2820" w:type="dxa"/>
            <w:vAlign w:val="bottom"/>
            <w:vMerge w:val="restart"/>
          </w:tcPr>
          <w:p>
            <w:pPr>
              <w:jc w:val="center"/>
              <w:ind w:left="312"/>
              <w:spacing w:after="0"/>
              <w:rPr>
                <w:sz w:val="20"/>
                <w:szCs w:val="20"/>
                <w:color w:val="auto"/>
              </w:rPr>
            </w:pPr>
            <w:r>
              <w:rPr>
                <w:rFonts w:ascii="Arial" w:cs="Arial" w:eastAsia="Arial" w:hAnsi="Arial"/>
                <w:sz w:val="18"/>
                <w:szCs w:val="18"/>
                <w:b w:val="1"/>
                <w:bCs w:val="1"/>
                <w:color w:val="auto"/>
                <w:w w:val="90"/>
              </w:rPr>
              <w:t>Sun Trust Robinson Humphrey</w:t>
            </w:r>
          </w:p>
        </w:tc>
        <w:tc>
          <w:tcPr>
            <w:tcW w:w="0" w:type="dxa"/>
            <w:vAlign w:val="bottom"/>
          </w:tcPr>
          <w:p>
            <w:pPr>
              <w:spacing w:after="0"/>
              <w:rPr>
                <w:sz w:val="1"/>
                <w:szCs w:val="1"/>
                <w:color w:val="auto"/>
              </w:rPr>
            </w:pPr>
          </w:p>
        </w:tc>
      </w:tr>
      <w:tr>
        <w:trPr>
          <w:trHeight w:val="216"/>
        </w:trPr>
        <w:tc>
          <w:tcPr>
            <w:tcW w:w="3360" w:type="dxa"/>
            <w:vAlign w:val="bottom"/>
            <w:gridSpan w:val="2"/>
            <w:vMerge w:val="continue"/>
          </w:tcPr>
          <w:p>
            <w:pPr>
              <w:spacing w:after="0"/>
              <w:rPr>
                <w:sz w:val="18"/>
                <w:szCs w:val="18"/>
                <w:color w:val="auto"/>
              </w:rPr>
            </w:pPr>
          </w:p>
        </w:tc>
        <w:tc>
          <w:tcPr>
            <w:tcW w:w="3360" w:type="dxa"/>
            <w:vAlign w:val="bottom"/>
          </w:tcPr>
          <w:p>
            <w:pPr>
              <w:spacing w:after="0"/>
              <w:rPr>
                <w:sz w:val="18"/>
                <w:szCs w:val="18"/>
                <w:color w:val="auto"/>
              </w:rPr>
            </w:pPr>
          </w:p>
        </w:tc>
        <w:tc>
          <w:tcPr>
            <w:tcW w:w="2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480" w:type="dxa"/>
            <w:vAlign w:val="bottom"/>
            <w:tcBorders>
              <w:bottom w:val="single" w:sz="8" w:color="auto"/>
            </w:tcBorders>
          </w:tcPr>
          <w:p>
            <w:pPr>
              <w:spacing w:after="0"/>
              <w:rPr>
                <w:sz w:val="5"/>
                <w:szCs w:val="5"/>
                <w:color w:val="auto"/>
              </w:rPr>
            </w:pPr>
          </w:p>
        </w:tc>
        <w:tc>
          <w:tcPr>
            <w:tcW w:w="1880" w:type="dxa"/>
            <w:vAlign w:val="bottom"/>
          </w:tcPr>
          <w:p>
            <w:pPr>
              <w:spacing w:after="0"/>
              <w:rPr>
                <w:sz w:val="5"/>
                <w:szCs w:val="5"/>
                <w:color w:val="auto"/>
              </w:rPr>
            </w:pPr>
          </w:p>
        </w:tc>
        <w:tc>
          <w:tcPr>
            <w:tcW w:w="3360" w:type="dxa"/>
            <w:vAlign w:val="bottom"/>
          </w:tcPr>
          <w:p>
            <w:pPr>
              <w:spacing w:after="0"/>
              <w:rPr>
                <w:sz w:val="5"/>
                <w:szCs w:val="5"/>
                <w:color w:val="auto"/>
              </w:rPr>
            </w:pPr>
          </w:p>
        </w:tc>
        <w:tc>
          <w:tcPr>
            <w:tcW w:w="2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Guzman &amp; Company</w:t>
            </w: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7"/>
              </w:rPr>
              <w:t>Ramirez &amp; Co., Inc</w:t>
            </w:r>
          </w:p>
        </w:tc>
        <w:tc>
          <w:tcPr>
            <w:tcW w:w="2820" w:type="dxa"/>
            <w:vAlign w:val="bottom"/>
          </w:tcPr>
          <w:p>
            <w:pPr>
              <w:jc w:val="center"/>
              <w:ind w:left="312"/>
              <w:spacing w:after="0"/>
              <w:rPr>
                <w:sz w:val="20"/>
                <w:szCs w:val="20"/>
                <w:color w:val="auto"/>
              </w:rPr>
            </w:pPr>
            <w:r>
              <w:rPr>
                <w:rFonts w:ascii="Arial" w:cs="Arial" w:eastAsia="Arial" w:hAnsi="Arial"/>
                <w:sz w:val="14"/>
                <w:szCs w:val="14"/>
                <w:b w:val="1"/>
                <w:bCs w:val="1"/>
                <w:color w:val="auto"/>
                <w:w w:val="95"/>
              </w:rPr>
              <w:t>The Williams Capital Group, L.P.</w:t>
            </w:r>
          </w:p>
        </w:tc>
        <w:tc>
          <w:tcPr>
            <w:tcW w:w="0" w:type="dxa"/>
            <w:vAlign w:val="bottom"/>
          </w:tcPr>
          <w:p>
            <w:pPr>
              <w:spacing w:after="0"/>
              <w:rPr>
                <w:sz w:val="1"/>
                <w:szCs w:val="1"/>
                <w:color w:val="auto"/>
              </w:rPr>
            </w:pPr>
          </w:p>
        </w:tc>
      </w:tr>
      <w:tr>
        <w:trPr>
          <w:trHeight w:val="149"/>
        </w:trPr>
        <w:tc>
          <w:tcPr>
            <w:tcW w:w="3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Blaylock &amp; Company, Inc.</w:t>
            </w:r>
          </w:p>
        </w:tc>
        <w:tc>
          <w:tcPr>
            <w:tcW w:w="3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Cabrera Capital Markets, Inc.</w:t>
            </w:r>
          </w:p>
        </w:tc>
        <w:tc>
          <w:tcPr>
            <w:tcW w:w="2820" w:type="dxa"/>
            <w:vAlign w:val="bottom"/>
          </w:tcPr>
          <w:p>
            <w:pPr>
              <w:jc w:val="center"/>
              <w:ind w:left="312"/>
              <w:spacing w:after="0" w:line="149" w:lineRule="exact"/>
              <w:rPr>
                <w:sz w:val="20"/>
                <w:szCs w:val="20"/>
                <w:color w:val="auto"/>
              </w:rPr>
            </w:pPr>
            <w:r>
              <w:rPr>
                <w:rFonts w:ascii="Arial" w:cs="Arial" w:eastAsia="Arial" w:hAnsi="Arial"/>
                <w:sz w:val="14"/>
                <w:szCs w:val="14"/>
                <w:b w:val="1"/>
                <w:bCs w:val="1"/>
                <w:color w:val="auto"/>
                <w:w w:val="98"/>
              </w:rPr>
              <w:t>Loop Capital Markets, LLC</w:t>
            </w:r>
          </w:p>
        </w:tc>
        <w:tc>
          <w:tcPr>
            <w:tcW w:w="0" w:type="dxa"/>
            <w:vAlign w:val="bottom"/>
          </w:tcPr>
          <w:p>
            <w:pPr>
              <w:spacing w:after="0"/>
              <w:rPr>
                <w:sz w:val="1"/>
                <w:szCs w:val="1"/>
                <w:color w:val="auto"/>
              </w:rPr>
            </w:pPr>
          </w:p>
        </w:tc>
      </w:tr>
      <w:tr>
        <w:trPr>
          <w:trHeight w:val="186"/>
        </w:trPr>
        <w:tc>
          <w:tcPr>
            <w:tcW w:w="3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M.R. Beal &amp; Company</w:t>
            </w:r>
          </w:p>
        </w:tc>
        <w:tc>
          <w:tcPr>
            <w:tcW w:w="3360" w:type="dxa"/>
            <w:vAlign w:val="bottom"/>
          </w:tcPr>
          <w:p>
            <w:pPr>
              <w:spacing w:after="0"/>
              <w:rPr>
                <w:sz w:val="16"/>
                <w:szCs w:val="16"/>
                <w:color w:val="auto"/>
              </w:rPr>
            </w:pPr>
          </w:p>
        </w:tc>
        <w:tc>
          <w:tcPr>
            <w:tcW w:w="2820" w:type="dxa"/>
            <w:vAlign w:val="bottom"/>
          </w:tcPr>
          <w:p>
            <w:pPr>
              <w:jc w:val="center"/>
              <w:ind w:left="312"/>
              <w:spacing w:after="0"/>
              <w:rPr>
                <w:sz w:val="20"/>
                <w:szCs w:val="20"/>
                <w:color w:val="auto"/>
              </w:rPr>
            </w:pPr>
            <w:r>
              <w:rPr>
                <w:rFonts w:ascii="Arial" w:cs="Arial" w:eastAsia="Arial" w:hAnsi="Arial"/>
                <w:sz w:val="14"/>
                <w:szCs w:val="14"/>
                <w:b w:val="1"/>
                <w:bCs w:val="1"/>
                <w:color w:val="auto"/>
                <w:w w:val="96"/>
              </w:rPr>
              <w:t>Siebert Capital Markets</w:t>
            </w:r>
          </w:p>
        </w:tc>
        <w:tc>
          <w:tcPr>
            <w:tcW w:w="0" w:type="dxa"/>
            <w:vAlign w:val="bottom"/>
          </w:tcPr>
          <w:p>
            <w:pPr>
              <w:spacing w:after="0"/>
              <w:rPr>
                <w:sz w:val="1"/>
                <w:szCs w:val="1"/>
                <w:color w:val="auto"/>
              </w:rPr>
            </w:pPr>
          </w:p>
        </w:tc>
      </w:tr>
    </w:tbl>
    <w:p>
      <w:pPr>
        <w:spacing w:after="0" w:line="52"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The date of this prospectus supplement is August 20,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9436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0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7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660" w:type="dxa"/>
            <w:vAlign w:val="bottom"/>
            <w:tcBorders>
              <w:top w:val="single" w:sz="8" w:color="auto"/>
              <w:bottom w:val="single" w:sz="8" w:color="auto"/>
              <w:right w:val="single" w:sz="8" w:color="auto"/>
            </w:tcBorders>
          </w:tcPr>
          <w:p>
            <w:pPr>
              <w:spacing w:after="0"/>
              <w:rPr>
                <w:sz w:val="3"/>
                <w:szCs w:val="3"/>
                <w:color w:val="auto"/>
              </w:rPr>
            </w:pPr>
          </w:p>
        </w:tc>
        <w:tc>
          <w:tcPr>
            <w:tcW w:w="1800" w:type="dxa"/>
            <w:vAlign w:val="bottom"/>
            <w:tcBorders>
              <w:top w:val="single" w:sz="8" w:color="auto"/>
              <w:bottom w:val="single" w:sz="8" w:color="auto"/>
              <w:right w:val="single" w:sz="8" w:color="auto"/>
            </w:tcBorders>
          </w:tcPr>
          <w:p>
            <w:pPr>
              <w:spacing w:after="0"/>
              <w:rPr>
                <w:sz w:val="3"/>
                <w:szCs w:val="3"/>
                <w:color w:val="auto"/>
              </w:rPr>
            </w:pPr>
          </w:p>
        </w:tc>
        <w:tc>
          <w:tcPr>
            <w:tcW w:w="1780" w:type="dxa"/>
            <w:vAlign w:val="bottom"/>
            <w:tcBorders>
              <w:top w:val="single" w:sz="8" w:color="auto"/>
              <w:bottom w:val="single" w:sz="8" w:color="auto"/>
              <w:right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660" w:type="dxa"/>
            <w:vAlign w:val="bottom"/>
            <w:tcBorders>
              <w:right w:val="single" w:sz="8" w:color="auto"/>
            </w:tcBorders>
            <w:vMerge w:val="restart"/>
          </w:tcPr>
          <w:p>
            <w:pPr>
              <w:jc w:val="center"/>
              <w:ind w:right="62"/>
              <w:spacing w:after="0"/>
              <w:rPr>
                <w:sz w:val="20"/>
                <w:szCs w:val="20"/>
                <w:color w:val="auto"/>
              </w:rPr>
            </w:pPr>
            <w:r>
              <w:rPr>
                <w:rFonts w:ascii="Arial" w:cs="Arial" w:eastAsia="Arial" w:hAnsi="Arial"/>
                <w:sz w:val="14"/>
                <w:szCs w:val="14"/>
                <w:b w:val="1"/>
                <w:bCs w:val="1"/>
                <w:color w:val="auto"/>
                <w:w w:val="94"/>
              </w:rPr>
              <w:t>Title Of Each Class</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Amount To Be</w:t>
            </w:r>
          </w:p>
        </w:tc>
        <w:tc>
          <w:tcPr>
            <w:tcW w:w="178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Maximum</w:t>
            </w:r>
          </w:p>
        </w:tc>
        <w:tc>
          <w:tcPr>
            <w:tcW w:w="1660" w:type="dxa"/>
            <w:vAlign w:val="bottom"/>
          </w:tcPr>
          <w:p>
            <w:pPr>
              <w:jc w:val="center"/>
              <w:ind w:left="3"/>
              <w:spacing w:after="0" w:line="106" w:lineRule="exact"/>
              <w:rPr>
                <w:sz w:val="20"/>
                <w:szCs w:val="20"/>
                <w:color w:val="auto"/>
              </w:rPr>
            </w:pPr>
            <w:r>
              <w:rPr>
                <w:rFonts w:ascii="Arial" w:cs="Arial" w:eastAsia="Arial" w:hAnsi="Arial"/>
                <w:sz w:val="12"/>
                <w:szCs w:val="12"/>
                <w:b w:val="1"/>
                <w:bCs w:val="1"/>
                <w:color w:val="auto"/>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Borders>
              <w:right w:val="single" w:sz="8" w:color="auto"/>
            </w:tcBorders>
            <w:vMerge w:val="continue"/>
          </w:tcPr>
          <w:p>
            <w:pPr>
              <w:spacing w:after="0"/>
              <w:rPr>
                <w:sz w:val="12"/>
                <w:szCs w:val="12"/>
                <w:color w:val="auto"/>
              </w:rPr>
            </w:pPr>
          </w:p>
        </w:tc>
        <w:tc>
          <w:tcPr>
            <w:tcW w:w="1800" w:type="dxa"/>
            <w:vAlign w:val="bottom"/>
            <w:tcBorders>
              <w:right w:val="single" w:sz="8" w:color="auto"/>
            </w:tcBorders>
            <w:vMerge w:val="continue"/>
          </w:tcPr>
          <w:p>
            <w:pPr>
              <w:spacing w:after="0"/>
              <w:rPr>
                <w:sz w:val="12"/>
                <w:szCs w:val="12"/>
                <w:color w:val="auto"/>
              </w:rPr>
            </w:pPr>
          </w:p>
        </w:tc>
        <w:tc>
          <w:tcPr>
            <w:tcW w:w="1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660" w:type="dxa"/>
            <w:vAlign w:val="bottom"/>
          </w:tcPr>
          <w:p>
            <w:pPr>
              <w:jc w:val="center"/>
              <w:ind w:left="3"/>
              <w:spacing w:after="0" w:line="149" w:lineRule="exact"/>
              <w:rPr>
                <w:sz w:val="20"/>
                <w:szCs w:val="20"/>
                <w:color w:val="auto"/>
              </w:rPr>
            </w:pPr>
            <w:r>
              <w:rPr>
                <w:rFonts w:ascii="Arial" w:cs="Arial" w:eastAsia="Arial" w:hAnsi="Arial"/>
                <w:sz w:val="14"/>
                <w:szCs w:val="14"/>
                <w:b w:val="1"/>
                <w:bCs w:val="1"/>
                <w:color w:val="auto"/>
                <w:w w:val="90"/>
              </w:rPr>
              <w:t>Registration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Borders>
              <w:bottom w:val="single" w:sz="8" w:color="auto"/>
              <w:right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Of Securities To Be Registered</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660" w:type="dxa"/>
            <w:vAlign w:val="bottom"/>
            <w:tcBorders>
              <w:bottom w:val="single" w:sz="8" w:color="auto"/>
            </w:tcBorders>
          </w:tcPr>
          <w:p>
            <w:pPr>
              <w:jc w:val="center"/>
              <w:ind w:left="3"/>
              <w:spacing w:after="0"/>
              <w:rPr>
                <w:sz w:val="20"/>
                <w:szCs w:val="20"/>
                <w:color w:val="auto"/>
              </w:rPr>
            </w:pPr>
            <w:r>
              <w:rPr>
                <w:rFonts w:ascii="Arial" w:cs="Arial" w:eastAsia="Arial" w:hAnsi="Arial"/>
                <w:sz w:val="14"/>
                <w:szCs w:val="14"/>
                <w:b w:val="1"/>
                <w:bCs w:val="1"/>
                <w:color w:val="auto"/>
                <w:w w:val="92"/>
              </w:rPr>
              <w:t>Fee (1)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6.30% Notes due 2017</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$1,000,000,000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660" w:type="dxa"/>
            <w:vAlign w:val="bottom"/>
            <w:tcBorders>
              <w:bottom w:val="single" w:sz="8" w:color="auto"/>
            </w:tcBorders>
          </w:tcPr>
          <w:p>
            <w:pPr>
              <w:jc w:val="center"/>
              <w:ind w:left="3"/>
              <w:spacing w:after="0"/>
              <w:rPr>
                <w:sz w:val="20"/>
                <w:szCs w:val="20"/>
                <w:color w:val="auto"/>
              </w:rPr>
            </w:pPr>
            <w:r>
              <w:rPr>
                <w:rFonts w:ascii="Arial" w:cs="Arial" w:eastAsia="Arial" w:hAnsi="Arial"/>
                <w:sz w:val="18"/>
                <w:szCs w:val="18"/>
                <w:color w:val="auto"/>
                <w:w w:val="89"/>
              </w:rPr>
              <w:t>$30,700</w:t>
            </w:r>
          </w:p>
        </w:tc>
        <w:tc>
          <w:tcPr>
            <w:tcW w:w="0" w:type="dxa"/>
            <w:vAlign w:val="bottom"/>
          </w:tcPr>
          <w:p>
            <w:pPr>
              <w:spacing w:after="0"/>
              <w:rPr>
                <w:sz w:val="1"/>
                <w:szCs w:val="1"/>
                <w:color w:val="auto"/>
              </w:rPr>
            </w:pPr>
          </w:p>
        </w:tc>
      </w:tr>
      <w:tr>
        <w:trPr>
          <w:trHeight w:val="210"/>
        </w:trPr>
        <w:tc>
          <w:tcPr>
            <w:tcW w:w="46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6.95% Notes due 2037</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$2,000,000,000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660" w:type="dxa"/>
            <w:vAlign w:val="bottom"/>
          </w:tcPr>
          <w:p>
            <w:pPr>
              <w:jc w:val="center"/>
              <w:ind w:left="3"/>
              <w:spacing w:after="0"/>
              <w:rPr>
                <w:sz w:val="20"/>
                <w:szCs w:val="20"/>
                <w:color w:val="auto"/>
              </w:rPr>
            </w:pPr>
            <w:r>
              <w:rPr>
                <w:rFonts w:ascii="Arial" w:cs="Arial" w:eastAsia="Arial" w:hAnsi="Arial"/>
                <w:sz w:val="18"/>
                <w:szCs w:val="18"/>
                <w:color w:val="auto"/>
                <w:w w:val="89"/>
              </w:rPr>
              <w:t>$61,400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1200" w:hanging="507"/>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22" w:right="10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80" w:type="dxa"/>
            <w:vAlign w:val="bottom"/>
            <w:gridSpan w:val="2"/>
          </w:tcPr>
          <w:p>
            <w:pPr>
              <w:jc w:val="center"/>
              <w:ind w:right="3260"/>
              <w:spacing w:after="0"/>
              <w:rPr>
                <w:sz w:val="20"/>
                <w:szCs w:val="20"/>
                <w:color w:val="auto"/>
              </w:rPr>
            </w:pPr>
            <w:r>
              <w:rPr>
                <w:rFonts w:ascii="Arial" w:cs="Arial" w:eastAsia="Arial" w:hAnsi="Arial"/>
                <w:sz w:val="18"/>
                <w:szCs w:val="18"/>
                <w:b w:val="1"/>
                <w:bCs w:val="1"/>
                <w:color w:val="auto"/>
                <w:w w:val="98"/>
              </w:rPr>
              <w:t>TABLE OF CONTENTS</w:t>
            </w:r>
          </w:p>
        </w:tc>
        <w:tc>
          <w:tcPr>
            <w:tcW w:w="440" w:type="dxa"/>
            <w:vAlign w:val="bottom"/>
          </w:tcPr>
          <w:p>
            <w:pPr>
              <w:spacing w:after="0"/>
              <w:rPr>
                <w:sz w:val="20"/>
                <w:szCs w:val="20"/>
                <w:color w:val="auto"/>
              </w:rPr>
            </w:pPr>
          </w:p>
        </w:tc>
      </w:tr>
      <w:tr>
        <w:trPr>
          <w:trHeight w:val="338"/>
        </w:trPr>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80" w:type="dxa"/>
            <w:vAlign w:val="bottom"/>
            <w:gridSpan w:val="2"/>
          </w:tcPr>
          <w:p>
            <w:pPr>
              <w:jc w:val="center"/>
              <w:ind w:right="3260"/>
              <w:spacing w:after="0"/>
              <w:rPr>
                <w:sz w:val="20"/>
                <w:szCs w:val="20"/>
                <w:color w:val="auto"/>
              </w:rPr>
            </w:pPr>
            <w:r>
              <w:rPr>
                <w:rFonts w:ascii="Arial" w:cs="Arial" w:eastAsia="Arial" w:hAnsi="Arial"/>
                <w:sz w:val="18"/>
                <w:szCs w:val="18"/>
                <w:b w:val="1"/>
                <w:bCs w:val="1"/>
                <w:color w:val="auto"/>
                <w:w w:val="87"/>
              </w:rPr>
              <w:t>Prospectus Supplement</w:t>
            </w:r>
          </w:p>
        </w:tc>
        <w:tc>
          <w:tcPr>
            <w:tcW w:w="440" w:type="dxa"/>
            <w:vAlign w:val="bottom"/>
          </w:tcPr>
          <w:p>
            <w:pPr>
              <w:spacing w:after="0"/>
              <w:rPr>
                <w:sz w:val="24"/>
                <w:szCs w:val="24"/>
                <w:color w:val="auto"/>
              </w:rPr>
            </w:pPr>
          </w:p>
        </w:tc>
      </w:tr>
      <w:tr>
        <w:trPr>
          <w:trHeight w:val="284"/>
        </w:trPr>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23"/>
        </w:trPr>
        <w:tc>
          <w:tcPr>
            <w:tcW w:w="93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Supplement Summary</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196"/>
        </w:trPr>
        <w:tc>
          <w:tcPr>
            <w:tcW w:w="24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696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Ratio of Earnings to Fixed Charges</w:t>
              </w:r>
            </w:hyperlink>
          </w:p>
        </w:tc>
        <w:tc>
          <w:tcPr>
            <w:tcW w:w="684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196"/>
        </w:trPr>
        <w:tc>
          <w:tcPr>
            <w:tcW w:w="17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Description of the Notes</w:t>
              </w:r>
            </w:hyperlink>
          </w:p>
        </w:tc>
        <w:tc>
          <w:tcPr>
            <w:tcW w:w="762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r>
      <w:tr>
        <w:trPr>
          <w:trHeight w:val="196"/>
        </w:trPr>
        <w:tc>
          <w:tcPr>
            <w:tcW w:w="9380" w:type="dxa"/>
            <w:vAlign w:val="bottom"/>
            <w:gridSpan w:val="1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Underwriting</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380" w:type="dxa"/>
            <w:vAlign w:val="bottom"/>
            <w:gridSpan w:val="1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Legal Matters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S-12</w:t>
            </w:r>
          </w:p>
        </w:tc>
      </w:tr>
      <w:tr>
        <w:trPr>
          <w:trHeight w:val="399"/>
        </w:trPr>
        <w:tc>
          <w:tcPr>
            <w:tcW w:w="5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80" w:type="dxa"/>
            <w:vAlign w:val="bottom"/>
            <w:gridSpan w:val="2"/>
          </w:tcPr>
          <w:p>
            <w:pPr>
              <w:ind w:left="820"/>
              <w:spacing w:after="0"/>
              <w:rPr>
                <w:sz w:val="20"/>
                <w:szCs w:val="20"/>
                <w:color w:val="auto"/>
              </w:rPr>
            </w:pPr>
            <w:r>
              <w:rPr>
                <w:rFonts w:ascii="Arial" w:cs="Arial" w:eastAsia="Arial" w:hAnsi="Arial"/>
                <w:sz w:val="18"/>
                <w:szCs w:val="18"/>
                <w:b w:val="1"/>
                <w:bCs w:val="1"/>
                <w:color w:val="auto"/>
              </w:rPr>
              <w:t>Prospectus</w:t>
            </w:r>
          </w:p>
        </w:tc>
        <w:tc>
          <w:tcPr>
            <w:tcW w:w="440" w:type="dxa"/>
            <w:vAlign w:val="bottom"/>
          </w:tcPr>
          <w:p>
            <w:pPr>
              <w:spacing w:after="0"/>
              <w:rPr>
                <w:sz w:val="24"/>
                <w:szCs w:val="24"/>
                <w:color w:val="auto"/>
              </w:rPr>
            </w:pPr>
          </w:p>
        </w:tc>
      </w:tr>
      <w:tr>
        <w:trPr>
          <w:trHeight w:val="338"/>
        </w:trPr>
        <w:tc>
          <w:tcPr>
            <w:tcW w:w="9380" w:type="dxa"/>
            <w:vAlign w:val="bottom"/>
            <w:gridSpan w:val="1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The Companies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380" w:type="dxa"/>
            <w:vAlign w:val="bottom"/>
            <w:gridSpan w:val="1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Caution Concerning Forward-Looking Statements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Use of Proceeds</w:t>
              </w:r>
            </w:hyperlink>
          </w:p>
        </w:tc>
        <w:tc>
          <w:tcPr>
            <w:tcW w:w="578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380" w:type="dxa"/>
            <w:vAlign w:val="bottom"/>
            <w:gridSpan w:val="1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Dividend Policy</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380" w:type="dxa"/>
            <w:vAlign w:val="bottom"/>
            <w:gridSpan w:val="1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Ratios of Earnings to Fixed Charges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51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Ratio of Earnings to Combined Fixed Charges and Preferred Dividends</w:t>
              </w:r>
            </w:hyperlink>
          </w:p>
        </w:tc>
        <w:tc>
          <w:tcPr>
            <w:tcW w:w="42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9380" w:type="dxa"/>
            <w:vAlign w:val="bottom"/>
            <w:gridSpan w:val="1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Debt Securities and Cable Guarantees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Global Securities</w:t>
              </w:r>
            </w:hyperlink>
          </w:p>
        </w:tc>
        <w:tc>
          <w:tcPr>
            <w:tcW w:w="2560" w:type="dxa"/>
            <w:vAlign w:val="bottom"/>
            <w:tcBorders>
              <w:top w:val="single" w:sz="8" w:color="0000EE"/>
            </w:tcBorders>
            <w:gridSpan w:val="9"/>
          </w:tcPr>
          <w:p>
            <w:pPr>
              <w:spacing w:after="0"/>
              <w:rPr>
                <w:sz w:val="17"/>
                <w:szCs w:val="17"/>
                <w:color w:val="auto"/>
              </w:rPr>
            </w:pPr>
          </w:p>
        </w:tc>
        <w:tc>
          <w:tcPr>
            <w:tcW w:w="558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9380" w:type="dxa"/>
            <w:vAlign w:val="bottom"/>
            <w:gridSpan w:val="1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Description of Capital Stock</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Plan of Distribution</w:t>
              </w:r>
            </w:hyperlink>
          </w:p>
        </w:tc>
        <w:tc>
          <w:tcPr>
            <w:tcW w:w="7340" w:type="dxa"/>
            <w:vAlign w:val="bottom"/>
            <w:gridSpan w:val="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0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Legal Matters</w:t>
              </w:r>
            </w:hyperlink>
          </w:p>
        </w:tc>
        <w:tc>
          <w:tcPr>
            <w:tcW w:w="420" w:type="dxa"/>
            <w:vAlign w:val="bottom"/>
            <w:tcBorders>
              <w:top w:val="single" w:sz="8" w:color="0000EE"/>
            </w:tcBorders>
            <w:gridSpan w:val="3"/>
          </w:tcPr>
          <w:p>
            <w:pPr>
              <w:spacing w:after="0"/>
              <w:rPr>
                <w:sz w:val="17"/>
                <w:szCs w:val="17"/>
                <w:color w:val="auto"/>
              </w:rPr>
            </w:pPr>
          </w:p>
        </w:tc>
        <w:tc>
          <w:tcPr>
            <w:tcW w:w="7960" w:type="dxa"/>
            <w:vAlign w:val="bottom"/>
            <w:gridSpan w:val="1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9380" w:type="dxa"/>
            <w:vAlign w:val="bottom"/>
            <w:gridSpan w:val="1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Experts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380" w:type="dxa"/>
            <w:vAlign w:val="bottom"/>
            <w:gridSpan w:val="1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Available Information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580" w:type="dxa"/>
            <w:vAlign w:val="bottom"/>
            <w:gridSpan w:val="7"/>
            <w:shd w:val="clear" w:color="auto" w:fill="0000EE"/>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9380" w:type="dxa"/>
            <w:vAlign w:val="bottom"/>
            <w:gridSpan w:val="1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Incorporation of Certain Documents by Reference</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34" w:lineRule="exact"/>
        <w:rPr>
          <w:sz w:val="20"/>
          <w:szCs w:val="20"/>
          <w:color w:val="auto"/>
        </w:rPr>
      </w:pPr>
    </w:p>
    <w:p>
      <w:pPr>
        <w:ind w:firstLine="397"/>
        <w:spacing w:after="0" w:line="272" w:lineRule="auto"/>
        <w:rPr>
          <w:sz w:val="20"/>
          <w:szCs w:val="20"/>
          <w:color w:val="auto"/>
        </w:rPr>
      </w:pPr>
      <w:r>
        <w:rPr>
          <w:rFonts w:ascii="Arial" w:cs="Arial" w:eastAsia="Arial" w:hAnsi="Arial"/>
          <w:sz w:val="17"/>
          <w:szCs w:val="17"/>
          <w:color w:val="auto"/>
        </w:rPr>
        <w:t>You should rely only on the information contained or incorporated by reference in this prospectus supplement, the accompanying prospectus and the free writing prospectus relating to the notes.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right"/>
        <w:ind w:right="2759"/>
        <w:spacing w:after="0"/>
        <w:rPr>
          <w:sz w:val="20"/>
          <w:szCs w:val="20"/>
          <w:color w:val="auto"/>
        </w:rPr>
      </w:pPr>
      <w:r>
        <w:rPr>
          <w:rFonts w:ascii="Arial" w:cs="Arial" w:eastAsia="Arial" w:hAnsi="Arial"/>
          <w:sz w:val="18"/>
          <w:szCs w:val="18"/>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PROSPECTUS SUPPLEMENT SUMMARY</w:t>
      </w:r>
    </w:p>
    <w:p>
      <w:pPr>
        <w:spacing w:after="0" w:line="13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The Companies</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Comcast Corporation</w:t>
      </w:r>
    </w:p>
    <w:p>
      <w:pPr>
        <w:spacing w:after="0" w:line="135" w:lineRule="exact"/>
        <w:rPr>
          <w:sz w:val="20"/>
          <w:szCs w:val="20"/>
          <w:color w:val="auto"/>
        </w:rPr>
      </w:pPr>
    </w:p>
    <w:p>
      <w:pPr>
        <w:ind w:left="920" w:right="220" w:firstLine="397"/>
        <w:spacing w:after="0" w:line="264" w:lineRule="auto"/>
        <w:rPr>
          <w:sz w:val="20"/>
          <w:szCs w:val="20"/>
          <w:color w:val="auto"/>
        </w:rPr>
      </w:pPr>
      <w:r>
        <w:rPr>
          <w:rFonts w:ascii="Arial" w:cs="Arial" w:eastAsia="Arial" w:hAnsi="Arial"/>
          <w:sz w:val="18"/>
          <w:szCs w:val="18"/>
          <w:color w:val="auto"/>
        </w:rPr>
        <w:t>We are the largest cable operator in the United States and offer a variety of consumer entertainment and communication products and services. As of June 30, 2007, our cable systems served approximately 24.1 million video subscribers, 12.4 million high-speed Internet subscribers and 3.5 million phone subscribers.</w:t>
      </w:r>
    </w:p>
    <w:p>
      <w:pPr>
        <w:spacing w:after="0" w:line="8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We classify our operations in two reportable segments: “Cable” and “Programming”.</w:t>
      </w:r>
    </w:p>
    <w:p>
      <w:pPr>
        <w:spacing w:after="0" w:line="131" w:lineRule="exact"/>
        <w:rPr>
          <w:sz w:val="20"/>
          <w:szCs w:val="20"/>
          <w:color w:val="auto"/>
        </w:rPr>
      </w:pPr>
    </w:p>
    <w:p>
      <w:pPr>
        <w:ind w:left="920" w:right="340" w:firstLine="397"/>
        <w:spacing w:after="0" w:line="259" w:lineRule="auto"/>
        <w:rPr>
          <w:sz w:val="20"/>
          <w:szCs w:val="20"/>
          <w:color w:val="auto"/>
        </w:rPr>
      </w:pPr>
      <w:r>
        <w:rPr>
          <w:rFonts w:ascii="Arial" w:cs="Arial" w:eastAsia="Arial" w:hAnsi="Arial"/>
          <w:sz w:val="18"/>
          <w:szCs w:val="18"/>
          <w:color w:val="auto"/>
        </w:rPr>
        <w:t>Our Cable segment manages and operates our cable systems, including video, high-speed Internet and phone services (“cable services”). The majority of our Cable segment revenue is earned from monthly subscriptions for these cable services. Other revenue sources include advertising and the operation of our regional sports and news networks. The Cable segment generates approximately 95% of our consolidated revenues.</w:t>
      </w:r>
    </w:p>
    <w:p>
      <w:pPr>
        <w:spacing w:after="0" w:line="92" w:lineRule="exact"/>
        <w:rPr>
          <w:sz w:val="20"/>
          <w:szCs w:val="20"/>
          <w:color w:val="auto"/>
        </w:rPr>
      </w:pPr>
    </w:p>
    <w:p>
      <w:pPr>
        <w:ind w:left="920" w:right="280" w:firstLine="397"/>
        <w:spacing w:after="0" w:line="264" w:lineRule="auto"/>
        <w:rPr>
          <w:sz w:val="20"/>
          <w:szCs w:val="20"/>
          <w:color w:val="auto"/>
        </w:rPr>
      </w:pPr>
      <w:r>
        <w:rPr>
          <w:rFonts w:ascii="Arial" w:cs="Arial" w:eastAsia="Arial" w:hAnsi="Arial"/>
          <w:sz w:val="18"/>
          <w:szCs w:val="18"/>
          <w:color w:val="auto"/>
        </w:rPr>
        <w:t>Our Programming segment includes our six national cable networks: E!, Style, The Golf Channel, VERSUS, G4, and AZN Television, and other entertainment-related businesses. Revenue from our Programming segment is earned primarily from advertising revenues and from monthly per subscriber license fees paid by cable and satellite distributors.</w:t>
      </w:r>
    </w:p>
    <w:p>
      <w:pPr>
        <w:spacing w:after="0" w:line="87" w:lineRule="exact"/>
        <w:rPr>
          <w:sz w:val="20"/>
          <w:szCs w:val="20"/>
          <w:color w:val="auto"/>
        </w:rPr>
      </w:pPr>
    </w:p>
    <w:p>
      <w:pPr>
        <w:ind w:left="920" w:right="160" w:firstLine="397"/>
        <w:spacing w:after="0" w:line="312"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52"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Our principal executive office is located at 1500 Market Street, Philadelphia, Pennsylvania 19102-2148. Our telephone number is</w:t>
      </w:r>
    </w:p>
    <w:p>
      <w:pPr>
        <w:spacing w:after="0" w:line="46" w:lineRule="exact"/>
        <w:rPr>
          <w:sz w:val="20"/>
          <w:szCs w:val="20"/>
          <w:color w:val="auto"/>
        </w:rPr>
      </w:pPr>
    </w:p>
    <w:p>
      <w:pPr>
        <w:ind w:left="920" w:right="620" w:firstLine="2"/>
        <w:spacing w:after="0" w:line="261" w:lineRule="auto"/>
        <w:tabs>
          <w:tab w:leader="none" w:pos="1355" w:val="left"/>
        </w:tabs>
        <w:numPr>
          <w:ilvl w:val="0"/>
          <w:numId w:val="3"/>
        </w:numPr>
        <w:rPr>
          <w:rFonts w:ascii="Arial" w:cs="Arial" w:eastAsia="Arial" w:hAnsi="Arial"/>
          <w:sz w:val="18"/>
          <w:szCs w:val="18"/>
          <w:color w:val="auto"/>
        </w:rPr>
      </w:pPr>
      <w:r>
        <w:rPr>
          <w:rFonts w:ascii="Arial" w:cs="Arial" w:eastAsia="Arial" w:hAnsi="Arial"/>
          <w:sz w:val="18"/>
          <w:szCs w:val="18"/>
          <w:color w:val="auto"/>
        </w:rPr>
        <w:t>665-1700. The address of our web site is www.comcast.com. The information on our web site is not part of this prospectus supplement or the accompanying prospectus.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Cable Guarantors</w:t>
      </w:r>
    </w:p>
    <w:p>
      <w:pPr>
        <w:spacing w:after="0" w:line="135" w:lineRule="exact"/>
        <w:rPr>
          <w:sz w:val="20"/>
          <w:szCs w:val="20"/>
          <w:color w:val="auto"/>
        </w:rPr>
      </w:pPr>
    </w:p>
    <w:p>
      <w:pPr>
        <w:ind w:left="920" w:firstLine="397"/>
        <w:spacing w:after="0" w:line="259"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Comcast Cable Communications Holdings, Inc., Comcast Cable Holdings, LLC, Comcast MO Group, Inc. and Comcast MO of Delaware, LLC. In this prospectus supplement, we refer to these guarantors as the cable guarantors and to these guarantees as the cable guarantees.</w:t>
      </w:r>
    </w:p>
    <w:p>
      <w:pPr>
        <w:spacing w:after="0" w:line="9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31" w:lineRule="exact"/>
        <w:rPr>
          <w:sz w:val="20"/>
          <w:szCs w:val="20"/>
          <w:color w:val="auto"/>
        </w:rPr>
      </w:pPr>
    </w:p>
    <w:p>
      <w:pPr>
        <w:ind w:left="1540" w:right="80" w:hanging="213"/>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62" w:lineRule="exact"/>
        <w:rPr>
          <w:rFonts w:ascii="Arial" w:cs="Arial" w:eastAsia="Arial" w:hAnsi="Arial"/>
          <w:sz w:val="18"/>
          <w:szCs w:val="18"/>
          <w:color w:val="auto"/>
        </w:rPr>
      </w:pPr>
    </w:p>
    <w:p>
      <w:pPr>
        <w:ind w:left="1540" w:right="200" w:hanging="213"/>
        <w:spacing w:after="0" w:line="277"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make any payment of principal, interest or premium, if any, on or repay, repurchase or redeem any debt securities of that cable guarantor.</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Each cable guarantor’s principal place of business is 1500 Market Street, Philadelphia, Pennsylvania 19102-2148.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2035175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9" w:right="8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787"/>
        </w:trPr>
        <w:tc>
          <w:tcPr>
            <w:tcW w:w="720" w:type="dxa"/>
            <w:vAlign w:val="bottom"/>
            <w:tcBorders>
              <w:right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20" w:type="dxa"/>
            <w:vAlign w:val="bottom"/>
            <w:tcBorders>
              <w:top w:val="single" w:sz="8" w:color="auto"/>
            </w:tcBorders>
          </w:tcPr>
          <w:p>
            <w:pPr>
              <w:spacing w:after="0"/>
              <w:rPr>
                <w:sz w:val="24"/>
                <w:szCs w:val="24"/>
                <w:color w:val="auto"/>
              </w:rPr>
            </w:pPr>
          </w:p>
        </w:tc>
        <w:tc>
          <w:tcPr>
            <w:tcW w:w="7740" w:type="dxa"/>
            <w:vAlign w:val="bottom"/>
            <w:tcBorders>
              <w:top w:val="single" w:sz="8" w:color="auto"/>
              <w:right w:val="single" w:sz="8" w:color="auto"/>
            </w:tcBorders>
            <w:gridSpan w:val="2"/>
          </w:tcPr>
          <w:p>
            <w:pPr>
              <w:ind w:left="2040"/>
              <w:spacing w:after="0"/>
              <w:rPr>
                <w:sz w:val="20"/>
                <w:szCs w:val="20"/>
                <w:color w:val="auto"/>
              </w:rPr>
            </w:pPr>
            <w:r>
              <w:rPr>
                <w:rFonts w:ascii="Arial" w:cs="Arial" w:eastAsia="Arial" w:hAnsi="Arial"/>
                <w:sz w:val="18"/>
                <w:szCs w:val="18"/>
                <w:b w:val="1"/>
                <w:bCs w:val="1"/>
                <w:color w:val="auto"/>
              </w:rPr>
              <w:t>The Offering</w:t>
            </w:r>
          </w:p>
        </w:tc>
        <w:tc>
          <w:tcPr>
            <w:tcW w:w="340" w:type="dxa"/>
            <w:vAlign w:val="bottom"/>
          </w:tcPr>
          <w:p>
            <w:pPr>
              <w:spacing w:after="0"/>
              <w:rPr>
                <w:sz w:val="24"/>
                <w:szCs w:val="24"/>
                <w:color w:val="auto"/>
              </w:rPr>
            </w:pPr>
          </w:p>
        </w:tc>
      </w:tr>
      <w:tr>
        <w:trPr>
          <w:trHeight w:val="338"/>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Issuer</w:t>
            </w: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Comcast Corporation.</w:t>
            </w:r>
          </w:p>
        </w:tc>
        <w:tc>
          <w:tcPr>
            <w:tcW w:w="340" w:type="dxa"/>
            <w:vAlign w:val="bottom"/>
          </w:tcPr>
          <w:p>
            <w:pPr>
              <w:spacing w:after="0"/>
              <w:rPr>
                <w:sz w:val="24"/>
                <w:szCs w:val="24"/>
                <w:color w:val="auto"/>
              </w:rPr>
            </w:pPr>
          </w:p>
        </w:tc>
      </w:tr>
      <w:tr>
        <w:trPr>
          <w:trHeight w:val="932"/>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Securities Offered</w:t>
            </w: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$1,000,000,000 aggregate principal amount of 6.30% Notes due 2017.</w:t>
            </w:r>
          </w:p>
        </w:tc>
        <w:tc>
          <w:tcPr>
            <w:tcW w:w="340" w:type="dxa"/>
            <w:vAlign w:val="bottom"/>
          </w:tcPr>
          <w:p>
            <w:pPr>
              <w:spacing w:after="0"/>
              <w:rPr>
                <w:sz w:val="24"/>
                <w:szCs w:val="24"/>
                <w:color w:val="auto"/>
              </w:rPr>
            </w:pPr>
          </w:p>
        </w:tc>
      </w:tr>
      <w:tr>
        <w:trPr>
          <w:trHeight w:val="324"/>
        </w:trPr>
        <w:tc>
          <w:tcPr>
            <w:tcW w:w="7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$2,000,000,000 aggregate principal amount of 6.95% Notes due 2037.</w:t>
            </w:r>
          </w:p>
        </w:tc>
        <w:tc>
          <w:tcPr>
            <w:tcW w:w="340" w:type="dxa"/>
            <w:vAlign w:val="bottom"/>
          </w:tcPr>
          <w:p>
            <w:pPr>
              <w:spacing w:after="0"/>
              <w:rPr>
                <w:sz w:val="24"/>
                <w:szCs w:val="24"/>
                <w:color w:val="auto"/>
              </w:rPr>
            </w:pPr>
          </w:p>
        </w:tc>
      </w:tr>
      <w:tr>
        <w:trPr>
          <w:trHeight w:val="932"/>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Maturity</w:t>
            </w: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The Notes due 2017 will mature on November 15, 2017.</w:t>
            </w:r>
          </w:p>
        </w:tc>
        <w:tc>
          <w:tcPr>
            <w:tcW w:w="340" w:type="dxa"/>
            <w:vAlign w:val="bottom"/>
          </w:tcPr>
          <w:p>
            <w:pPr>
              <w:spacing w:after="0"/>
              <w:rPr>
                <w:sz w:val="24"/>
                <w:szCs w:val="24"/>
                <w:color w:val="auto"/>
              </w:rPr>
            </w:pPr>
          </w:p>
        </w:tc>
      </w:tr>
      <w:tr>
        <w:trPr>
          <w:trHeight w:val="932"/>
        </w:trPr>
        <w:tc>
          <w:tcPr>
            <w:tcW w:w="7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The Notes due 2037 will mature on August 15, 2037.</w:t>
            </w:r>
          </w:p>
        </w:tc>
        <w:tc>
          <w:tcPr>
            <w:tcW w:w="340" w:type="dxa"/>
            <w:vAlign w:val="bottom"/>
          </w:tcPr>
          <w:p>
            <w:pPr>
              <w:spacing w:after="0"/>
              <w:rPr>
                <w:sz w:val="24"/>
                <w:szCs w:val="24"/>
                <w:color w:val="auto"/>
              </w:rPr>
            </w:pPr>
          </w:p>
        </w:tc>
      </w:tr>
      <w:tr>
        <w:trPr>
          <w:trHeight w:val="918"/>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Interest</w:t>
            </w: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8"/>
              </w:rPr>
              <w:t>Interest on the Notes due 2017 will accrue at the rate of 6.30% per year, payable semi-</w:t>
            </w:r>
          </w:p>
        </w:tc>
        <w:tc>
          <w:tcPr>
            <w:tcW w:w="340" w:type="dxa"/>
            <w:vAlign w:val="bottom"/>
          </w:tcPr>
          <w:p>
            <w:pPr>
              <w:spacing w:after="0"/>
              <w:rPr>
                <w:sz w:val="24"/>
                <w:szCs w:val="24"/>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3"/>
              </w:rPr>
              <w:t>annually in cash in arrears on May 15 and November 15, beginning on November 15, 2007.</w:t>
            </w:r>
          </w:p>
        </w:tc>
        <w:tc>
          <w:tcPr>
            <w:tcW w:w="340" w:type="dxa"/>
            <w:vAlign w:val="bottom"/>
          </w:tcPr>
          <w:p>
            <w:pPr>
              <w:spacing w:after="0"/>
              <w:rPr>
                <w:sz w:val="18"/>
                <w:szCs w:val="18"/>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8"/>
              </w:rPr>
              <w:t>Interest on the Notes due 2037 will accrue at the rate of 6.95% per year, payable semi-</w:t>
            </w:r>
          </w:p>
        </w:tc>
        <w:tc>
          <w:tcPr>
            <w:tcW w:w="340" w:type="dxa"/>
            <w:vAlign w:val="bottom"/>
          </w:tcPr>
          <w:p>
            <w:pPr>
              <w:spacing w:after="0"/>
              <w:rPr>
                <w:sz w:val="18"/>
                <w:szCs w:val="18"/>
                <w:color w:val="auto"/>
              </w:rPr>
            </w:pPr>
          </w:p>
        </w:tc>
      </w:tr>
      <w:tr>
        <w:trPr>
          <w:trHeight w:val="230"/>
        </w:trPr>
        <w:tc>
          <w:tcPr>
            <w:tcW w:w="7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3"/>
              </w:rPr>
              <w:t>annually in cash in arrears on February 15 and August 15, beginning on February 15, 2008.</w:t>
            </w:r>
          </w:p>
        </w:tc>
        <w:tc>
          <w:tcPr>
            <w:tcW w:w="340" w:type="dxa"/>
            <w:vAlign w:val="bottom"/>
          </w:tcPr>
          <w:p>
            <w:pPr>
              <w:spacing w:after="0"/>
              <w:rPr>
                <w:sz w:val="20"/>
                <w:szCs w:val="20"/>
                <w:color w:val="auto"/>
              </w:rPr>
            </w:pPr>
          </w:p>
        </w:tc>
      </w:tr>
      <w:tr>
        <w:trPr>
          <w:trHeight w:val="918"/>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Ranking</w:t>
            </w: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The notes will be unsecured and will rank equally with all of our unsecured and</w:t>
            </w:r>
          </w:p>
        </w:tc>
        <w:tc>
          <w:tcPr>
            <w:tcW w:w="340" w:type="dxa"/>
            <w:vAlign w:val="bottom"/>
          </w:tcPr>
          <w:p>
            <w:pPr>
              <w:spacing w:after="0"/>
              <w:rPr>
                <w:sz w:val="24"/>
                <w:szCs w:val="24"/>
                <w:color w:val="auto"/>
              </w:rPr>
            </w:pPr>
          </w:p>
        </w:tc>
      </w:tr>
      <w:tr>
        <w:trPr>
          <w:trHeight w:val="230"/>
        </w:trPr>
        <w:tc>
          <w:tcPr>
            <w:tcW w:w="7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unsubordinated indebtedness.</w:t>
            </w:r>
          </w:p>
        </w:tc>
        <w:tc>
          <w:tcPr>
            <w:tcW w:w="340" w:type="dxa"/>
            <w:vAlign w:val="bottom"/>
          </w:tcPr>
          <w:p>
            <w:pPr>
              <w:spacing w:after="0"/>
              <w:rPr>
                <w:sz w:val="20"/>
                <w:szCs w:val="20"/>
                <w:color w:val="auto"/>
              </w:rPr>
            </w:pPr>
          </w:p>
        </w:tc>
      </w:tr>
      <w:tr>
        <w:trPr>
          <w:trHeight w:val="918"/>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Cable Guarantors</w:t>
            </w: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8"/>
              </w:rPr>
              <w:t>Comcast Cable Communications, LLC, Comcast Cable Communications Holdings, Inc.,</w:t>
            </w:r>
          </w:p>
        </w:tc>
        <w:tc>
          <w:tcPr>
            <w:tcW w:w="340" w:type="dxa"/>
            <w:vAlign w:val="bottom"/>
          </w:tcPr>
          <w:p>
            <w:pPr>
              <w:spacing w:after="0"/>
              <w:rPr>
                <w:sz w:val="24"/>
                <w:szCs w:val="24"/>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7"/>
              </w:rPr>
              <w:t>Comcast Cable Holdings, LLC, Comcast MO Group, Inc. and Comcast MO of Delaware,</w:t>
            </w:r>
          </w:p>
        </w:tc>
        <w:tc>
          <w:tcPr>
            <w:tcW w:w="340" w:type="dxa"/>
            <w:vAlign w:val="bottom"/>
          </w:tcPr>
          <w:p>
            <w:pPr>
              <w:spacing w:after="0"/>
              <w:rPr>
                <w:sz w:val="18"/>
                <w:szCs w:val="18"/>
                <w:color w:val="auto"/>
              </w:rPr>
            </w:pPr>
          </w:p>
        </w:tc>
      </w:tr>
      <w:tr>
        <w:trPr>
          <w:trHeight w:val="230"/>
        </w:trPr>
        <w:tc>
          <w:tcPr>
            <w:tcW w:w="7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LLC.</w:t>
            </w:r>
          </w:p>
        </w:tc>
        <w:tc>
          <w:tcPr>
            <w:tcW w:w="340" w:type="dxa"/>
            <w:vAlign w:val="bottom"/>
          </w:tcPr>
          <w:p>
            <w:pPr>
              <w:spacing w:after="0"/>
              <w:rPr>
                <w:sz w:val="20"/>
                <w:szCs w:val="20"/>
                <w:color w:val="auto"/>
              </w:rPr>
            </w:pPr>
          </w:p>
        </w:tc>
      </w:tr>
      <w:tr>
        <w:trPr>
          <w:trHeight w:val="918"/>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Cable Guarantees</w:t>
            </w: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The cable guarantors will fully and unconditionally guarantee the notes, including the</w:t>
            </w:r>
          </w:p>
        </w:tc>
        <w:tc>
          <w:tcPr>
            <w:tcW w:w="340" w:type="dxa"/>
            <w:vAlign w:val="bottom"/>
          </w:tcPr>
          <w:p>
            <w:pPr>
              <w:spacing w:after="0"/>
              <w:rPr>
                <w:sz w:val="24"/>
                <w:szCs w:val="24"/>
                <w:color w:val="auto"/>
              </w:rPr>
            </w:pPr>
          </w:p>
        </w:tc>
      </w:tr>
      <w:tr>
        <w:trPr>
          <w:trHeight w:val="216"/>
        </w:trPr>
        <w:tc>
          <w:tcPr>
            <w:tcW w:w="7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5"/>
              </w:rPr>
              <w:t>payment of principal, premium, if any, and interest. The cable guarantees will rank equally</w:t>
            </w:r>
          </w:p>
        </w:tc>
        <w:tc>
          <w:tcPr>
            <w:tcW w:w="340" w:type="dxa"/>
            <w:vAlign w:val="bottom"/>
          </w:tcPr>
          <w:p>
            <w:pPr>
              <w:spacing w:after="0"/>
              <w:rPr>
                <w:sz w:val="18"/>
                <w:szCs w:val="18"/>
                <w:color w:val="auto"/>
              </w:rPr>
            </w:pPr>
          </w:p>
        </w:tc>
      </w:tr>
      <w:tr>
        <w:trPr>
          <w:trHeight w:val="230"/>
        </w:trPr>
        <w:tc>
          <w:tcPr>
            <w:tcW w:w="7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7"/>
              </w:rPr>
              <w:t>with all other general unsecured and unsubordinated obligations of the cable guarantors.</w:t>
            </w:r>
          </w:p>
        </w:tc>
        <w:tc>
          <w:tcPr>
            <w:tcW w:w="340" w:type="dxa"/>
            <w:vAlign w:val="bottom"/>
          </w:tcPr>
          <w:p>
            <w:pPr>
              <w:spacing w:after="0"/>
              <w:rPr>
                <w:sz w:val="20"/>
                <w:szCs w:val="20"/>
                <w:color w:val="auto"/>
              </w:rPr>
            </w:pPr>
          </w:p>
        </w:tc>
      </w:tr>
      <w:tr>
        <w:trPr>
          <w:trHeight w:val="918"/>
        </w:trPr>
        <w:tc>
          <w:tcPr>
            <w:tcW w:w="720" w:type="dxa"/>
            <w:vAlign w:val="bottom"/>
            <w:tcBorders>
              <w:right w:val="single" w:sz="8" w:color="auto"/>
            </w:tcBorders>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Optional Redemption</w:t>
            </w: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w w:val="99"/>
              </w:rPr>
              <w:t>We may redeem all or part of the notes at our option at a redemption price equal to the</w:t>
            </w:r>
          </w:p>
        </w:tc>
        <w:tc>
          <w:tcPr>
            <w:tcW w:w="340" w:type="dxa"/>
            <w:vAlign w:val="bottom"/>
          </w:tcPr>
          <w:p>
            <w:pPr>
              <w:spacing w:after="0"/>
              <w:rPr>
                <w:sz w:val="24"/>
                <w:szCs w:val="24"/>
                <w:color w:val="auto"/>
              </w:rPr>
            </w:pPr>
          </w:p>
        </w:tc>
      </w:tr>
      <w:tr>
        <w:trPr>
          <w:trHeight w:val="230"/>
        </w:trPr>
        <w:tc>
          <w:tcPr>
            <w:tcW w:w="7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greater of:</w:t>
            </w:r>
          </w:p>
        </w:tc>
        <w:tc>
          <w:tcPr>
            <w:tcW w:w="340" w:type="dxa"/>
            <w:vAlign w:val="bottom"/>
          </w:tcPr>
          <w:p>
            <w:pPr>
              <w:spacing w:after="0"/>
              <w:rPr>
                <w:sz w:val="20"/>
                <w:szCs w:val="20"/>
                <w:color w:val="auto"/>
              </w:rPr>
            </w:pPr>
          </w:p>
        </w:tc>
      </w:tr>
      <w:tr>
        <w:trPr>
          <w:trHeight w:val="932"/>
        </w:trPr>
        <w:tc>
          <w:tcPr>
            <w:tcW w:w="7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740" w:type="dxa"/>
            <w:vAlign w:val="bottom"/>
            <w:tcBorders>
              <w:right w:val="single" w:sz="8" w:color="auto"/>
            </w:tcBorders>
            <w:gridSpan w:val="2"/>
          </w:tcPr>
          <w:p>
            <w:pPr>
              <w:ind w:left="860"/>
              <w:spacing w:after="0"/>
              <w:rPr>
                <w:sz w:val="20"/>
                <w:szCs w:val="20"/>
                <w:color w:val="auto"/>
              </w:rPr>
            </w:pPr>
            <w:r>
              <w:rPr>
                <w:rFonts w:ascii="Arial" w:cs="Arial" w:eastAsia="Arial" w:hAnsi="Arial"/>
                <w:sz w:val="18"/>
                <w:szCs w:val="18"/>
                <w:color w:val="auto"/>
              </w:rPr>
              <w:t>• 100% of the principal amount of the notes being redeemed; and</w:t>
            </w:r>
          </w:p>
        </w:tc>
        <w:tc>
          <w:tcPr>
            <w:tcW w:w="340" w:type="dxa"/>
            <w:vAlign w:val="bottom"/>
          </w:tcPr>
          <w:p>
            <w:pPr>
              <w:spacing w:after="0"/>
              <w:rPr>
                <w:sz w:val="24"/>
                <w:szCs w:val="24"/>
                <w:color w:val="auto"/>
              </w:rPr>
            </w:pPr>
          </w:p>
        </w:tc>
      </w:tr>
      <w:tr>
        <w:trPr>
          <w:trHeight w:val="334"/>
        </w:trPr>
        <w:tc>
          <w:tcPr>
            <w:tcW w:w="72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523"/>
        </w:trPr>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080" w:type="dxa"/>
            <w:vAlign w:val="bottom"/>
            <w:gridSpan w:val="3"/>
          </w:tcPr>
          <w:p>
            <w:pPr>
              <w:ind w:left="860"/>
              <w:spacing w:after="0"/>
              <w:rPr>
                <w:sz w:val="20"/>
                <w:szCs w:val="20"/>
                <w:color w:val="auto"/>
              </w:rPr>
            </w:pPr>
            <w:r>
              <w:rPr>
                <w:rFonts w:ascii="Arial" w:cs="Arial" w:eastAsia="Arial" w:hAnsi="Arial"/>
                <w:sz w:val="18"/>
                <w:szCs w:val="18"/>
                <w:color w:val="auto"/>
              </w:rPr>
              <w:t>• the Make-Whole Amount, as defined in “Description of the Notes — Optional</w:t>
            </w:r>
          </w:p>
        </w:tc>
      </w:tr>
      <w:tr>
        <w:trPr>
          <w:trHeight w:val="41"/>
        </w:trPr>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8080" w:type="dxa"/>
            <w:vAlign w:val="bottom"/>
            <w:gridSpan w:val="3"/>
          </w:tcPr>
          <w:p>
            <w:pPr>
              <w:ind w:left="2200"/>
              <w:spacing w:after="0" w:line="41" w:lineRule="exact"/>
              <w:rPr>
                <w:sz w:val="20"/>
                <w:szCs w:val="20"/>
                <w:color w:val="auto"/>
              </w:rPr>
            </w:pPr>
            <w:r>
              <w:rPr>
                <w:rFonts w:ascii="Arial" w:cs="Arial" w:eastAsia="Arial" w:hAnsi="Arial"/>
                <w:sz w:val="4"/>
                <w:szCs w:val="4"/>
                <w:color w:val="auto"/>
              </w:rPr>
              <w:t>S-2</w:t>
            </w:r>
          </w:p>
        </w:tc>
      </w:tr>
      <w:tr>
        <w:trPr>
          <w:trHeight w:val="215"/>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80" w:type="dxa"/>
            <w:vAlign w:val="bottom"/>
            <w:gridSpan w:val="3"/>
          </w:tcPr>
          <w:p>
            <w:pPr>
              <w:ind w:left="1020"/>
              <w:spacing w:after="0"/>
              <w:rPr>
                <w:sz w:val="20"/>
                <w:szCs w:val="20"/>
                <w:color w:val="auto"/>
              </w:rPr>
            </w:pPr>
            <w:r>
              <w:rPr>
                <w:rFonts w:ascii="Arial" w:cs="Arial" w:eastAsia="Arial" w:hAnsi="Arial"/>
                <w:sz w:val="18"/>
                <w:szCs w:val="18"/>
                <w:color w:val="auto"/>
              </w:rPr>
              <w:t>Redemption” in this prospectus supplement for the notes being redeemed; plus accrued</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080" w:type="dxa"/>
            <w:vAlign w:val="bottom"/>
            <w:gridSpan w:val="3"/>
          </w:tcPr>
          <w:p>
            <w:pPr>
              <w:ind w:left="1020"/>
              <w:spacing w:after="0"/>
              <w:rPr>
                <w:sz w:val="20"/>
                <w:szCs w:val="20"/>
                <w:color w:val="auto"/>
              </w:rPr>
            </w:pPr>
            <w:r>
              <w:rPr>
                <w:rFonts w:ascii="Arial" w:cs="Arial" w:eastAsia="Arial" w:hAnsi="Arial"/>
                <w:sz w:val="18"/>
                <w:szCs w:val="18"/>
                <w:color w:val="auto"/>
              </w:rPr>
              <w:t>and unpaid interest to the redemption date.</w:t>
            </w:r>
          </w:p>
        </w:tc>
      </w:tr>
      <w:tr>
        <w:trPr>
          <w:trHeight w:val="918"/>
        </w:trPr>
        <w:tc>
          <w:tcPr>
            <w:tcW w:w="720" w:type="dxa"/>
            <w:vAlign w:val="bottom"/>
          </w:tcPr>
          <w:p>
            <w:pPr>
              <w:spacing w:after="0"/>
              <w:rPr>
                <w:sz w:val="24"/>
                <w:szCs w:val="24"/>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Use of Proceeds</w:t>
            </w:r>
          </w:p>
        </w:tc>
        <w:tc>
          <w:tcPr>
            <w:tcW w:w="8080" w:type="dxa"/>
            <w:vAlign w:val="bottom"/>
            <w:gridSpan w:val="3"/>
          </w:tcPr>
          <w:p>
            <w:pPr>
              <w:ind w:left="860"/>
              <w:spacing w:after="0"/>
              <w:rPr>
                <w:sz w:val="20"/>
                <w:szCs w:val="20"/>
                <w:color w:val="auto"/>
              </w:rPr>
            </w:pPr>
            <w:r>
              <w:rPr>
                <w:rFonts w:ascii="Arial" w:cs="Arial" w:eastAsia="Arial" w:hAnsi="Arial"/>
                <w:sz w:val="18"/>
                <w:szCs w:val="18"/>
                <w:color w:val="auto"/>
                <w:w w:val="98"/>
              </w:rPr>
              <w:t>We intend to use the proceeds from this offering, after deducting fees and expenses related</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80" w:type="dxa"/>
            <w:vAlign w:val="bottom"/>
            <w:gridSpan w:val="3"/>
          </w:tcPr>
          <w:p>
            <w:pPr>
              <w:ind w:left="860"/>
              <w:spacing w:after="0"/>
              <w:rPr>
                <w:sz w:val="20"/>
                <w:szCs w:val="20"/>
                <w:color w:val="auto"/>
              </w:rPr>
            </w:pPr>
            <w:r>
              <w:rPr>
                <w:rFonts w:ascii="Arial" w:cs="Arial" w:eastAsia="Arial" w:hAnsi="Arial"/>
                <w:sz w:val="18"/>
                <w:szCs w:val="18"/>
                <w:color w:val="auto"/>
              </w:rPr>
              <w:t>to this offering, for working capital and general corporate purposes, which may include</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80" w:type="dxa"/>
            <w:vAlign w:val="bottom"/>
            <w:gridSpan w:val="3"/>
          </w:tcPr>
          <w:p>
            <w:pPr>
              <w:ind w:left="860"/>
              <w:spacing w:after="0"/>
              <w:rPr>
                <w:sz w:val="20"/>
                <w:szCs w:val="20"/>
                <w:color w:val="auto"/>
              </w:rPr>
            </w:pPr>
            <w:r>
              <w:rPr>
                <w:rFonts w:ascii="Arial" w:cs="Arial" w:eastAsia="Arial" w:hAnsi="Arial"/>
                <w:sz w:val="18"/>
                <w:szCs w:val="18"/>
                <w:color w:val="auto"/>
              </w:rPr>
              <w:t>funding repayment of commercial paper as well as bank indebtedness used to fund the</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80" w:type="dxa"/>
            <w:vAlign w:val="bottom"/>
            <w:gridSpan w:val="3"/>
          </w:tcPr>
          <w:p>
            <w:pPr>
              <w:ind w:left="860"/>
              <w:spacing w:after="0"/>
              <w:rPr>
                <w:sz w:val="20"/>
                <w:szCs w:val="20"/>
                <w:color w:val="auto"/>
              </w:rPr>
            </w:pPr>
            <w:r>
              <w:rPr>
                <w:rFonts w:ascii="Arial" w:cs="Arial" w:eastAsia="Arial" w:hAnsi="Arial"/>
                <w:sz w:val="18"/>
                <w:szCs w:val="18"/>
                <w:color w:val="auto"/>
              </w:rPr>
              <w:t>acquisition of certain of Patriot Media’s cable systems. As of August 20, 2007, our</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80" w:type="dxa"/>
            <w:vAlign w:val="bottom"/>
            <w:gridSpan w:val="3"/>
          </w:tcPr>
          <w:p>
            <w:pPr>
              <w:ind w:left="860"/>
              <w:spacing w:after="0"/>
              <w:rPr>
                <w:sz w:val="20"/>
                <w:szCs w:val="20"/>
                <w:color w:val="auto"/>
              </w:rPr>
            </w:pPr>
            <w:r>
              <w:rPr>
                <w:rFonts w:ascii="Arial" w:cs="Arial" w:eastAsia="Arial" w:hAnsi="Arial"/>
                <w:sz w:val="18"/>
                <w:szCs w:val="18"/>
                <w:color w:val="auto"/>
                <w:w w:val="97"/>
              </w:rPr>
              <w:t>commercial paper had a weighted average interest rate of 6.02% and an average maturity of</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80" w:type="dxa"/>
            <w:vAlign w:val="bottom"/>
            <w:gridSpan w:val="3"/>
          </w:tcPr>
          <w:p>
            <w:pPr>
              <w:ind w:left="860"/>
              <w:spacing w:after="0"/>
              <w:rPr>
                <w:sz w:val="20"/>
                <w:szCs w:val="20"/>
                <w:color w:val="auto"/>
              </w:rPr>
            </w:pPr>
            <w:r>
              <w:rPr>
                <w:rFonts w:ascii="Arial" w:cs="Arial" w:eastAsia="Arial" w:hAnsi="Arial"/>
                <w:sz w:val="18"/>
                <w:szCs w:val="18"/>
                <w:color w:val="auto"/>
              </w:rPr>
              <w:t>3 days and our bank indebtedness had a weighted average interest rate of 5.81% and an</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080" w:type="dxa"/>
            <w:vAlign w:val="bottom"/>
            <w:gridSpan w:val="3"/>
          </w:tcPr>
          <w:p>
            <w:pPr>
              <w:ind w:left="860"/>
              <w:spacing w:after="0"/>
              <w:rPr>
                <w:sz w:val="20"/>
                <w:szCs w:val="20"/>
                <w:color w:val="auto"/>
              </w:rPr>
            </w:pPr>
            <w:r>
              <w:rPr>
                <w:rFonts w:ascii="Arial" w:cs="Arial" w:eastAsia="Arial" w:hAnsi="Arial"/>
                <w:sz w:val="18"/>
                <w:szCs w:val="18"/>
                <w:color w:val="auto"/>
              </w:rPr>
              <w:t>average maturity of 63 days.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-9398635</wp:posOffset>
            </wp:positionV>
            <wp:extent cx="7250430" cy="96405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9640570"/>
                    </a:xfrm>
                    <a:prstGeom prst="rect">
                      <a:avLst/>
                    </a:prstGeom>
                    <a:noFill/>
                  </pic:spPr>
                </pic:pic>
              </a:graphicData>
            </a:graphic>
          </wp:anchor>
        </w:drawing>
      </w:r>
    </w:p>
    <w:p>
      <w:pPr>
        <w:sectPr>
          <w:pgSz w:w="11900" w:h="16838" w:orient="portrait"/>
          <w:cols w:equalWidth="0" w:num="1">
            <w:col w:w="11420"/>
          </w:cols>
          <w:pgMar w:left="240" w:top="419" w:right="239" w:bottom="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15" w:lineRule="exact"/>
        <w:rPr>
          <w:sz w:val="20"/>
          <w:szCs w:val="20"/>
          <w:color w:val="auto"/>
        </w:rPr>
      </w:pPr>
    </w:p>
    <w:p>
      <w:pPr>
        <w:ind w:left="920"/>
        <w:spacing w:after="0"/>
        <w:tabs>
          <w:tab w:leader="none" w:pos="4180" w:val="left"/>
        </w:tabs>
        <w:rPr>
          <w:sz w:val="20"/>
          <w:szCs w:val="20"/>
          <w:color w:val="auto"/>
        </w:rPr>
      </w:pPr>
      <w:r>
        <w:rPr>
          <w:rFonts w:ascii="Arial" w:cs="Arial" w:eastAsia="Arial" w:hAnsi="Arial"/>
          <w:sz w:val="18"/>
          <w:szCs w:val="18"/>
          <w:color w:val="auto"/>
        </w:rPr>
        <w:t>Book Entry</w:t>
      </w:r>
      <w:r>
        <w:rPr>
          <w:sz w:val="20"/>
          <w:szCs w:val="20"/>
          <w:color w:val="auto"/>
        </w:rPr>
        <w:tab/>
      </w:r>
      <w:r>
        <w:rPr>
          <w:rFonts w:ascii="Arial" w:cs="Arial" w:eastAsia="Arial" w:hAnsi="Arial"/>
          <w:sz w:val="16"/>
          <w:szCs w:val="16"/>
          <w:color w:val="auto"/>
        </w:rPr>
        <w:t>The notes will be issued in book-entry form and will be represented by global notes</w:t>
      </w:r>
    </w:p>
    <w:p>
      <w:pPr>
        <w:ind w:left="4200"/>
        <w:spacing w:after="0" w:line="188" w:lineRule="auto"/>
        <w:rPr>
          <w:sz w:val="20"/>
          <w:szCs w:val="20"/>
          <w:color w:val="auto"/>
        </w:rPr>
      </w:pPr>
      <w:r>
        <w:rPr>
          <w:rFonts w:ascii="Arial" w:cs="Arial" w:eastAsia="Arial" w:hAnsi="Arial"/>
          <w:sz w:val="16"/>
          <w:szCs w:val="16"/>
          <w:color w:val="auto"/>
        </w:rPr>
        <w:t>deposited with, or on behalf of, DTC and registered in the name of DTC or its nominees.</w:t>
      </w:r>
    </w:p>
    <w:p>
      <w:pPr>
        <w:ind w:left="4820"/>
        <w:spacing w:after="0" w:line="187" w:lineRule="auto"/>
        <w:rPr>
          <w:sz w:val="20"/>
          <w:szCs w:val="20"/>
          <w:color w:val="auto"/>
        </w:rPr>
      </w:pPr>
      <w:r>
        <w:rPr>
          <w:rFonts w:ascii="Arial" w:cs="Arial" w:eastAsia="Arial" w:hAnsi="Arial"/>
          <w:sz w:val="9"/>
          <w:szCs w:val="9"/>
          <w:b w:val="1"/>
          <w:bCs w:val="1"/>
          <w:color w:val="auto"/>
        </w:rPr>
        <w:t>USE OF PROCEEDS</w:t>
      </w:r>
    </w:p>
    <w:p>
      <w:pPr>
        <w:jc w:val="right"/>
        <w:spacing w:after="0"/>
        <w:rPr>
          <w:sz w:val="20"/>
          <w:szCs w:val="20"/>
          <w:color w:val="auto"/>
        </w:rPr>
      </w:pPr>
      <w:r>
        <w:rPr>
          <w:rFonts w:ascii="Arial" w:cs="Arial" w:eastAsia="Arial" w:hAnsi="Arial"/>
          <w:sz w:val="18"/>
          <w:szCs w:val="18"/>
          <w:color w:val="auto"/>
        </w:rPr>
        <w:t>Beneficial interests in any of the notes will be shown on, and transfers will be effected only</w:t>
      </w:r>
    </w:p>
    <w:p>
      <w:pPr>
        <w:spacing w:after="0" w:line="7" w:lineRule="exact"/>
        <w:rPr>
          <w:sz w:val="20"/>
          <w:szCs w:val="20"/>
          <w:color w:val="auto"/>
        </w:rPr>
      </w:pPr>
    </w:p>
    <w:p>
      <w:pPr>
        <w:ind w:left="1080" w:right="60" w:firstLine="3115"/>
        <w:spacing w:after="0" w:line="189" w:lineRule="auto"/>
        <w:rPr>
          <w:sz w:val="20"/>
          <w:szCs w:val="20"/>
          <w:color w:val="auto"/>
        </w:rPr>
      </w:pPr>
      <w:r>
        <w:rPr>
          <w:rFonts w:ascii="Arial" w:cs="Arial" w:eastAsia="Arial" w:hAnsi="Arial"/>
          <w:sz w:val="12"/>
          <w:szCs w:val="12"/>
          <w:color w:val="auto"/>
        </w:rPr>
        <w:t>through, records maintained by DTC or its nominee, and these beneficial interests may not We intend to use the proceeds from this offering, after deducting fees and expenses related to this offering, for working capital and</w:t>
      </w:r>
    </w:p>
    <w:p>
      <w:pPr>
        <w:ind w:left="700" w:right="180" w:firstLine="3512"/>
        <w:spacing w:after="0" w:line="180" w:lineRule="auto"/>
        <w:rPr>
          <w:sz w:val="20"/>
          <w:szCs w:val="20"/>
          <w:color w:val="auto"/>
        </w:rPr>
      </w:pPr>
      <w:r>
        <w:rPr>
          <w:rFonts w:ascii="Arial" w:cs="Arial" w:eastAsia="Arial" w:hAnsi="Arial"/>
          <w:sz w:val="11"/>
          <w:szCs w:val="11"/>
          <w:color w:val="auto"/>
        </w:rPr>
        <w:t>be exchanged for certificated notes, except in limited circumstanc</w:t>
      </w:r>
      <w:r>
        <w:rPr>
          <w:rFonts w:ascii="Arial" w:cs="Arial" w:eastAsia="Arial" w:hAnsi="Arial"/>
          <w:sz w:val="14"/>
          <w:szCs w:val="14"/>
          <w:color w:val="auto"/>
          <w:vertAlign w:val="superscript"/>
        </w:rPr>
        <w:t>e</w:t>
      </w:r>
      <w:r>
        <w:rPr>
          <w:rFonts w:ascii="Arial" w:cs="Arial" w:eastAsia="Arial" w:hAnsi="Arial"/>
          <w:sz w:val="11"/>
          <w:szCs w:val="11"/>
          <w:color w:val="auto"/>
        </w:rPr>
        <w:t>s. Se</w:t>
      </w:r>
      <w:r>
        <w:rPr>
          <w:rFonts w:ascii="Arial" w:cs="Arial" w:eastAsia="Arial" w:hAnsi="Arial"/>
          <w:sz w:val="14"/>
          <w:szCs w:val="14"/>
          <w:color w:val="auto"/>
          <w:vertAlign w:val="superscript"/>
        </w:rPr>
        <w:t>e</w:t>
      </w:r>
      <w:r>
        <w:rPr>
          <w:rFonts w:ascii="Arial" w:cs="Arial" w:eastAsia="Arial" w:hAnsi="Arial"/>
          <w:sz w:val="11"/>
          <w:szCs w:val="11"/>
          <w:color w:val="auto"/>
        </w:rPr>
        <w:t xml:space="preserve"> “Description of general corporate purposes, which may include funding repayment of commercial paper as well as bank indebtedn ss us d to fund the</w:t>
      </w:r>
    </w:p>
    <w:p>
      <w:pPr>
        <w:ind w:left="4200"/>
        <w:spacing w:after="0" w:line="213" w:lineRule="auto"/>
        <w:rPr>
          <w:sz w:val="20"/>
          <w:szCs w:val="20"/>
          <w:color w:val="auto"/>
        </w:rPr>
      </w:pPr>
      <w:r>
        <w:rPr>
          <w:rFonts w:ascii="Arial" w:cs="Arial" w:eastAsia="Arial" w:hAnsi="Arial"/>
          <w:sz w:val="2"/>
          <w:szCs w:val="2"/>
          <w:color w:val="auto"/>
        </w:rPr>
        <w:t>the Note</w:t>
      </w:r>
      <w:r>
        <w:rPr>
          <w:rFonts w:ascii="Arial" w:cs="Arial" w:eastAsia="Arial" w:hAnsi="Arial"/>
          <w:sz w:val="4"/>
          <w:szCs w:val="4"/>
          <w:color w:val="auto"/>
          <w:vertAlign w:val="superscript"/>
        </w:rPr>
        <w:t>s</w:t>
      </w:r>
      <w:r>
        <w:rPr>
          <w:rFonts w:ascii="Arial" w:cs="Arial" w:eastAsia="Arial" w:hAnsi="Arial"/>
          <w:sz w:val="2"/>
          <w:szCs w:val="2"/>
          <w:color w:val="auto"/>
        </w:rPr>
        <w:t xml:space="preserve"> — Book-Entry System” in this prospectus supplement.</w:t>
      </w:r>
    </w:p>
    <w:p>
      <w:pPr>
        <w:ind w:left="700" w:right="160"/>
        <w:spacing w:after="0" w:line="254" w:lineRule="auto"/>
        <w:rPr>
          <w:sz w:val="20"/>
          <w:szCs w:val="20"/>
          <w:color w:val="auto"/>
        </w:rPr>
      </w:pPr>
      <w:r>
        <w:rPr>
          <w:rFonts w:ascii="Arial" w:cs="Arial" w:eastAsia="Arial" w:hAnsi="Arial"/>
          <w:sz w:val="18"/>
          <w:szCs w:val="18"/>
          <w:color w:val="auto"/>
        </w:rPr>
        <w:t>acquisition of certain of Patriot Media’s cable systems. A of August 20, 2007, our commercial paper had a weighted average interest rate of 6.02% and an average maturity of 3 days and our bank indebtedness had a weighted average interest rate of 5.81% and an average maturity of 63 days.</w:t>
      </w:r>
    </w:p>
    <w:p>
      <w:pPr>
        <w:spacing w:after="0" w:line="38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419" w:right="8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30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RATIO OF EARNINGS TO FIXED CHARGES</w:t>
            </w: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6860" w:type="dxa"/>
            <w:vAlign w:val="bottom"/>
            <w:gridSpan w:val="7"/>
          </w:tcPr>
          <w:p>
            <w:pPr>
              <w:jc w:val="right"/>
              <w:ind w:right="60"/>
              <w:spacing w:after="0"/>
              <w:rPr>
                <w:sz w:val="20"/>
                <w:szCs w:val="20"/>
                <w:color w:val="auto"/>
              </w:rPr>
            </w:pPr>
            <w:r>
              <w:rPr>
                <w:rFonts w:ascii="Arial" w:cs="Arial" w:eastAsia="Arial" w:hAnsi="Arial"/>
                <w:sz w:val="18"/>
                <w:szCs w:val="18"/>
                <w:color w:val="auto"/>
                <w:w w:val="95"/>
              </w:rPr>
              <w:t>Our ratio of earnings to fixed charges was as follows for the respective periods indicated:</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2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3"/>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13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40" w:type="dxa"/>
            <w:vAlign w:val="bottom"/>
          </w:tcPr>
          <w:p>
            <w:pPr>
              <w:jc w:val="right"/>
              <w:ind w:right="1696"/>
              <w:spacing w:after="0" w:line="155" w:lineRule="exact"/>
              <w:rPr>
                <w:sz w:val="20"/>
                <w:szCs w:val="20"/>
                <w:color w:val="auto"/>
              </w:rPr>
            </w:pPr>
            <w:r>
              <w:rPr>
                <w:rFonts w:ascii="Arial" w:cs="Arial" w:eastAsia="Arial" w:hAnsi="Arial"/>
                <w:sz w:val="14"/>
                <w:szCs w:val="14"/>
                <w:b w:val="1"/>
                <w:bCs w:val="1"/>
                <w:color w:val="auto"/>
                <w:w w:val="76"/>
              </w:rPr>
              <w:t>2002</w:t>
            </w:r>
          </w:p>
        </w:tc>
        <w:tc>
          <w:tcPr>
            <w:tcW w:w="52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2003</w:t>
            </w:r>
          </w:p>
        </w:tc>
        <w:tc>
          <w:tcPr>
            <w:tcW w:w="920" w:type="dxa"/>
            <w:vAlign w:val="bottom"/>
          </w:tcPr>
          <w:p>
            <w:pPr>
              <w:spacing w:after="0"/>
              <w:rPr>
                <w:sz w:val="13"/>
                <w:szCs w:val="13"/>
                <w:color w:val="auto"/>
              </w:rPr>
            </w:pPr>
          </w:p>
        </w:tc>
        <w:tc>
          <w:tcPr>
            <w:tcW w:w="76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2004</w:t>
            </w:r>
          </w:p>
        </w:tc>
        <w:tc>
          <w:tcPr>
            <w:tcW w:w="940" w:type="dxa"/>
            <w:vAlign w:val="bottom"/>
          </w:tcPr>
          <w:p>
            <w:pPr>
              <w:spacing w:after="0"/>
              <w:rPr>
                <w:sz w:val="13"/>
                <w:szCs w:val="13"/>
                <w:color w:val="auto"/>
              </w:rPr>
            </w:pPr>
          </w:p>
        </w:tc>
        <w:tc>
          <w:tcPr>
            <w:tcW w:w="76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2005</w:t>
            </w:r>
          </w:p>
        </w:tc>
        <w:tc>
          <w:tcPr>
            <w:tcW w:w="920" w:type="dxa"/>
            <w:vAlign w:val="bottom"/>
          </w:tcPr>
          <w:p>
            <w:pPr>
              <w:spacing w:after="0"/>
              <w:rPr>
                <w:sz w:val="13"/>
                <w:szCs w:val="13"/>
                <w:color w:val="auto"/>
              </w:rPr>
            </w:pPr>
          </w:p>
        </w:tc>
        <w:tc>
          <w:tcPr>
            <w:tcW w:w="76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2006</w:t>
            </w:r>
          </w:p>
        </w:tc>
        <w:tc>
          <w:tcPr>
            <w:tcW w:w="940" w:type="dxa"/>
            <w:vAlign w:val="bottom"/>
          </w:tcPr>
          <w:p>
            <w:pPr>
              <w:spacing w:after="0"/>
              <w:rPr>
                <w:sz w:val="13"/>
                <w:szCs w:val="13"/>
                <w:color w:val="auto"/>
              </w:rPr>
            </w:pPr>
          </w:p>
        </w:tc>
        <w:tc>
          <w:tcPr>
            <w:tcW w:w="1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June 30, 2007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040" w:type="dxa"/>
            <w:vAlign w:val="bottom"/>
          </w:tcPr>
          <w:p>
            <w:pPr>
              <w:jc w:val="right"/>
              <w:ind w:right="1176"/>
              <w:spacing w:after="0"/>
              <w:rPr>
                <w:sz w:val="20"/>
                <w:szCs w:val="20"/>
                <w:color w:val="auto"/>
              </w:rPr>
            </w:pPr>
            <w:r>
              <w:rPr>
                <w:rFonts w:ascii="Arial" w:cs="Arial" w:eastAsia="Arial" w:hAnsi="Arial"/>
                <w:sz w:val="18"/>
                <w:szCs w:val="18"/>
                <w:color w:val="auto"/>
              </w:rPr>
              <w:t>—(1)</w:t>
            </w:r>
          </w:p>
        </w:tc>
        <w:tc>
          <w:tcPr>
            <w:tcW w:w="520" w:type="dxa"/>
            <w:vAlign w:val="bottom"/>
          </w:tcPr>
          <w:p>
            <w:pPr>
              <w:ind w:left="100"/>
              <w:spacing w:after="0"/>
              <w:rPr>
                <w:sz w:val="20"/>
                <w:szCs w:val="20"/>
                <w:color w:val="auto"/>
              </w:rPr>
            </w:pPr>
            <w:r>
              <w:rPr>
                <w:rFonts w:ascii="Arial" w:cs="Arial" w:eastAsia="Arial" w:hAnsi="Arial"/>
                <w:sz w:val="18"/>
                <w:szCs w:val="18"/>
                <w:color w:val="auto"/>
                <w:w w:val="99"/>
              </w:rPr>
              <w:t>—(1)</w:t>
            </w:r>
          </w:p>
        </w:tc>
        <w:tc>
          <w:tcPr>
            <w:tcW w:w="920" w:type="dxa"/>
            <w:vAlign w:val="bottom"/>
          </w:tcPr>
          <w:p>
            <w:pPr>
              <w:spacing w:after="0"/>
              <w:rPr>
                <w:sz w:val="22"/>
                <w:szCs w:val="22"/>
                <w:color w:val="auto"/>
              </w:rPr>
            </w:pPr>
          </w:p>
        </w:tc>
        <w:tc>
          <w:tcPr>
            <w:tcW w:w="1700" w:type="dxa"/>
            <w:vAlign w:val="bottom"/>
            <w:gridSpan w:val="2"/>
          </w:tcPr>
          <w:p>
            <w:pPr>
              <w:jc w:val="center"/>
              <w:ind w:right="940"/>
              <w:spacing w:after="0"/>
              <w:rPr>
                <w:sz w:val="20"/>
                <w:szCs w:val="20"/>
                <w:color w:val="auto"/>
              </w:rPr>
            </w:pPr>
            <w:r>
              <w:rPr>
                <w:rFonts w:ascii="Arial" w:cs="Arial" w:eastAsia="Arial" w:hAnsi="Arial"/>
                <w:sz w:val="18"/>
                <w:szCs w:val="18"/>
                <w:color w:val="auto"/>
                <w:w w:val="90"/>
              </w:rPr>
              <w:t>1.94x</w:t>
            </w:r>
          </w:p>
        </w:tc>
        <w:tc>
          <w:tcPr>
            <w:tcW w:w="1680" w:type="dxa"/>
            <w:vAlign w:val="bottom"/>
            <w:gridSpan w:val="2"/>
          </w:tcPr>
          <w:p>
            <w:pPr>
              <w:jc w:val="center"/>
              <w:ind w:right="940"/>
              <w:spacing w:after="0"/>
              <w:rPr>
                <w:sz w:val="20"/>
                <w:szCs w:val="20"/>
                <w:color w:val="auto"/>
              </w:rPr>
            </w:pPr>
            <w:r>
              <w:rPr>
                <w:rFonts w:ascii="Arial" w:cs="Arial" w:eastAsia="Arial" w:hAnsi="Arial"/>
                <w:sz w:val="18"/>
                <w:szCs w:val="18"/>
                <w:color w:val="auto"/>
                <w:w w:val="95"/>
              </w:rPr>
              <w:t>1.92x</w:t>
            </w: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2.75x</w:t>
            </w:r>
          </w:p>
        </w:tc>
        <w:tc>
          <w:tcPr>
            <w:tcW w:w="94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3.11x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-179705</wp:posOffset>
            </wp:positionV>
            <wp:extent cx="8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77" w:lineRule="exact"/>
        <w:rPr>
          <w:sz w:val="20"/>
          <w:szCs w:val="20"/>
          <w:color w:val="auto"/>
        </w:rPr>
      </w:pPr>
    </w:p>
    <w:p>
      <w:pPr>
        <w:ind w:left="900" w:hanging="207"/>
        <w:spacing w:after="0"/>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years ended December 31, 2003 and 2002, we had a $88 million and $470 million deficiency, respectively, of earnings to fixed charges.</w:t>
      </w:r>
    </w:p>
    <w:p>
      <w:pPr>
        <w:ind w:left="900" w:right="240" w:hanging="207"/>
        <w:spacing w:after="0" w:line="229"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July 2006, in connection with certain transactions with Adelphia and Time Warner, we transferred our previously owned cable systems located in Los Angeles, Cleveland and Dallas to Time Warner Cable. These cable systems are presented as discontinued operations for the years ended on or before December 31, 2006. Accordingly, we have adjusted the ratio of earnings to fixed charges to reflect the impact of discontinued operations. Prior to this adjustment, the ratio of earnings to fixed charges for the years ended December 31, 2005 and 2004 was 2.01x and 1.97x, respectively.</w:t>
      </w:r>
    </w:p>
    <w:p>
      <w:pPr>
        <w:spacing w:after="0" w:line="94" w:lineRule="exact"/>
        <w:rPr>
          <w:sz w:val="20"/>
          <w:szCs w:val="20"/>
          <w:color w:val="auto"/>
        </w:rPr>
      </w:pPr>
    </w:p>
    <w:p>
      <w:pPr>
        <w:ind w:left="700" w:right="20" w:firstLine="397"/>
        <w:spacing w:after="0" w:line="284" w:lineRule="auto"/>
        <w:rPr>
          <w:sz w:val="20"/>
          <w:szCs w:val="20"/>
          <w:color w:val="auto"/>
        </w:rPr>
      </w:pPr>
      <w:r>
        <w:rPr>
          <w:rFonts w:ascii="Arial" w:cs="Arial" w:eastAsia="Arial" w:hAnsi="Arial"/>
          <w:sz w:val="16"/>
          <w:szCs w:val="16"/>
          <w:color w:val="auto"/>
        </w:rPr>
        <w:t>For purposes of calculating the ratio of earnings to fixed charges, earnings is the amount resulting from (1) adding (a) pretax income from continuing operations before adjustment for minority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 (w) interest expensed and capitalized, (x) amortized premiums, discounts and capitalized expenses related to indebtedness, (y) an estimate of the interest within rental expense and</w:t>
      </w:r>
    </w:p>
    <w:p>
      <w:pPr>
        <w:spacing w:after="0" w:line="3" w:lineRule="exact"/>
        <w:rPr>
          <w:sz w:val="20"/>
          <w:szCs w:val="20"/>
          <w:color w:val="auto"/>
        </w:rPr>
      </w:pPr>
    </w:p>
    <w:p>
      <w:pPr>
        <w:ind w:left="700" w:right="500" w:hanging="7"/>
        <w:spacing w:after="0" w:line="261" w:lineRule="auto"/>
        <w:tabs>
          <w:tab w:leader="none" w:pos="945"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preference security dividend requirements of our consolidated subsidiaries. Preferred security dividend is the amount of pre-tax earnings that is required to pay the dividends on outstanding preference securities.</w:t>
      </w:r>
    </w:p>
    <w:p>
      <w:pPr>
        <w:spacing w:after="0" w:line="30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THE NOTES</w:t>
      </w:r>
    </w:p>
    <w:p>
      <w:pPr>
        <w:spacing w:after="0" w:line="135" w:lineRule="exact"/>
        <w:rPr>
          <w:sz w:val="20"/>
          <w:szCs w:val="20"/>
          <w:color w:val="auto"/>
        </w:rPr>
      </w:pPr>
    </w:p>
    <w:p>
      <w:pPr>
        <w:ind w:left="700" w:right="120" w:firstLine="397"/>
        <w:spacing w:after="0" w:line="269" w:lineRule="auto"/>
        <w:rPr>
          <w:sz w:val="20"/>
          <w:szCs w:val="20"/>
          <w:color w:val="auto"/>
        </w:rPr>
      </w:pPr>
      <w:r>
        <w:rPr>
          <w:rFonts w:ascii="Arial" w:cs="Arial" w:eastAsia="Arial" w:hAnsi="Arial"/>
          <w:sz w:val="17"/>
          <w:szCs w:val="17"/>
          <w:color w:val="auto"/>
        </w:rPr>
        <w:t>We are offering $1,000,000,000 aggregate principal amount of our 6.30% Notes due 2017 and $2,000,000,000 aggregate principal amount of our 6.95% Notes due 2037. The Notes due 2017 and Notes due 2037 will each be a separate series of securities issued under an indenture, dated as of January 7, 2003 and amended as of March 25, 2003, among us, the cable guarantors and The Bank of New York, as trustee. The notes will be our direct unsecured and unsubordinated obligations and will be fully and unconditionally guaranteed by Comcast Cable Communications, LLC, Comcast Cable Communications Holdings, Inc., Comcast Cable Holdings, LLC, Comcast MO Group, Inc. and Comcast MO of Delaware, LLC, referred to as the cable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Copies of the indenture and the form of notes are available from us upon request.</w:t>
      </w:r>
    </w:p>
    <w:p>
      <w:pPr>
        <w:spacing w:after="0" w:line="88"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Cable Guarantees,” is a summary of the material provisions of the indenture, the notes and the cable guarantees. Because this is a summary, it may not contain all the information that is important to you. For further information, you should read the notes and the indenture.</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Basic Terms of the Notes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notes:</w:t>
      </w:r>
    </w:p>
    <w:p>
      <w:pPr>
        <w:spacing w:after="0" w:line="131" w:lineRule="exact"/>
        <w:rPr>
          <w:sz w:val="20"/>
          <w:szCs w:val="20"/>
          <w:color w:val="auto"/>
        </w:rPr>
      </w:pPr>
    </w:p>
    <w:p>
      <w:pPr>
        <w:ind w:left="1300" w:right="640" w:hanging="20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rank equally with all of our other unsecured and unsubordinated debt and will be entitled to the benefits of the cable guarantees described below;</w:t>
      </w:r>
    </w:p>
    <w:p>
      <w:pPr>
        <w:spacing w:after="0" w:line="34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$3,000,000,000, comprised as follows:</w:t>
      </w:r>
    </w:p>
    <w:p>
      <w:pPr>
        <w:spacing w:after="0" w:line="130" w:lineRule="exact"/>
        <w:rPr>
          <w:rFonts w:ascii="Arial" w:cs="Arial" w:eastAsia="Arial" w:hAnsi="Arial"/>
          <w:sz w:val="18"/>
          <w:szCs w:val="18"/>
          <w:color w:val="auto"/>
        </w:rPr>
      </w:pPr>
    </w:p>
    <w:p>
      <w:pPr>
        <w:ind w:left="1700" w:right="20" w:hanging="211"/>
        <w:spacing w:after="0" w:line="264" w:lineRule="auto"/>
        <w:tabs>
          <w:tab w:leader="none" w:pos="1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$1,000,000,000 initial aggregate principal amount of 6.30% Notes due 2017, maturing on November 15, 2017, with interest payable semiannually on each May 15 and November 15, beginning November 15, 2007, to holders of record on the preceding May 1 and November 1;</w:t>
      </w:r>
    </w:p>
    <w:p>
      <w:pPr>
        <w:spacing w:after="0" w:line="73" w:lineRule="exact"/>
        <w:rPr>
          <w:rFonts w:ascii="Arial" w:cs="Arial" w:eastAsia="Arial" w:hAnsi="Arial"/>
          <w:sz w:val="18"/>
          <w:szCs w:val="18"/>
          <w:color w:val="auto"/>
        </w:rPr>
      </w:pPr>
    </w:p>
    <w:p>
      <w:pPr>
        <w:ind w:left="1700" w:right="300" w:hanging="211"/>
        <w:spacing w:after="0" w:line="264" w:lineRule="auto"/>
        <w:tabs>
          <w:tab w:leader="none" w:pos="1700" w:val="left"/>
        </w:tabs>
        <w:numPr>
          <w:ilvl w:val="1"/>
          <w:numId w:val="8"/>
        </w:numPr>
        <w:rPr>
          <w:rFonts w:ascii="Arial" w:cs="Arial" w:eastAsia="Arial" w:hAnsi="Arial"/>
          <w:sz w:val="18"/>
          <w:szCs w:val="18"/>
          <w:color w:val="auto"/>
        </w:rPr>
      </w:pPr>
      <w:r>
        <w:rPr>
          <w:rFonts w:ascii="Arial" w:cs="Arial" w:eastAsia="Arial" w:hAnsi="Arial"/>
          <w:sz w:val="18"/>
          <w:szCs w:val="18"/>
          <w:color w:val="auto"/>
        </w:rPr>
        <w:t>$2,000,000,000 initial aggregate principal amount of 6.95% Notes due 2037 maturing on August 15, 2037, with interest payable semiannually on each February 15 and August 15, beginning February 15, 2008, to holders of record on the preceding February 1 and August 1; and</w:t>
      </w:r>
    </w:p>
    <w:p>
      <w:pPr>
        <w:spacing w:after="0" w:line="86"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in multiples of $1,000 in excess thereof.</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Payments</w:t>
      </w:r>
    </w:p>
    <w:p>
      <w:pPr>
        <w:spacing w:after="0" w:line="135" w:lineRule="exact"/>
        <w:rPr>
          <w:sz w:val="20"/>
          <w:szCs w:val="20"/>
          <w:color w:val="auto"/>
        </w:rPr>
      </w:pPr>
    </w:p>
    <w:p>
      <w:pPr>
        <w:ind w:left="700" w:right="100" w:firstLine="397"/>
        <w:spacing w:after="0" w:line="312" w:lineRule="auto"/>
        <w:rPr>
          <w:sz w:val="20"/>
          <w:szCs w:val="20"/>
          <w:color w:val="auto"/>
        </w:rPr>
      </w:pPr>
      <w:r>
        <w:rPr>
          <w:rFonts w:ascii="Arial" w:cs="Arial" w:eastAsia="Arial" w:hAnsi="Arial"/>
          <w:sz w:val="16"/>
          <w:szCs w:val="16"/>
          <w:color w:val="auto"/>
        </w:rPr>
        <w:t>Interest on the notes will be computed on the basis of a 360-day year consisting of twelve 30-day months. Interest on the notes will accrue from (i) the earlier of August 23, 2007 and the date of original issuance, or (ii) from the most recent interest payment date to which interest has been paid, and will be payable semiannually on interest payment dates described for each year.</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more information on payment and transfer procedures for the notes, see “— Book-Entry System” below.</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Cable Guarantees</w:t>
      </w:r>
    </w:p>
    <w:p>
      <w:pPr>
        <w:spacing w:after="0" w:line="135" w:lineRule="exact"/>
        <w:rPr>
          <w:sz w:val="20"/>
          <w:szCs w:val="20"/>
          <w:color w:val="auto"/>
        </w:rPr>
      </w:pPr>
    </w:p>
    <w:p>
      <w:pPr>
        <w:jc w:val="both"/>
        <w:ind w:left="700" w:right="160" w:firstLine="397"/>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cable guarantors as described in the accompanying prospectus.</w:t>
      </w:r>
    </w:p>
    <w:p>
      <w:pPr>
        <w:spacing w:after="0" w:line="76" w:lineRule="exact"/>
        <w:rPr>
          <w:sz w:val="20"/>
          <w:szCs w:val="20"/>
          <w:color w:val="auto"/>
        </w:rPr>
      </w:pPr>
    </w:p>
    <w:p>
      <w:pPr>
        <w:jc w:val="both"/>
        <w:ind w:left="700" w:right="160" w:firstLine="397"/>
        <w:spacing w:after="0" w:line="312" w:lineRule="auto"/>
        <w:rPr>
          <w:sz w:val="20"/>
          <w:szCs w:val="20"/>
          <w:color w:val="auto"/>
        </w:rPr>
      </w:pPr>
      <w:r>
        <w:rPr>
          <w:rFonts w:ascii="Arial" w:cs="Arial" w:eastAsia="Arial" w:hAnsi="Arial"/>
          <w:sz w:val="16"/>
          <w:szCs w:val="16"/>
          <w:color w:val="auto"/>
        </w:rPr>
        <w:t>The cable guarantees will not contain any restrictions on the ability of any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Optional Redemption</w:t>
      </w:r>
    </w:p>
    <w:p>
      <w:pPr>
        <w:spacing w:after="0" w:line="135"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We will have the right at our option to redeem any of the notes in whole or in part, at any time or from time to time prior to their maturity, on at least 30 days, but not more than 60 days, prior notice mailed to the registered address of each holder of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the Treasury Rate plus 25 basis points for the Notes due 2017 (the “2017 Make-Whole Amount”) and 30 basis points for the Notes due 2037 (the “2037 Make-Whole Amount” and, each of the 2017 Make-Whole Amount and 2037 Make-Whole Amount, a “Make-Whole Amount”), plus, in each case, accrued and unpaid interest thereon to the date of redemption.</w:t>
      </w:r>
    </w:p>
    <w:p>
      <w:pPr>
        <w:spacing w:after="0" w:line="84" w:lineRule="exact"/>
        <w:rPr>
          <w:sz w:val="20"/>
          <w:szCs w:val="20"/>
          <w:color w:val="auto"/>
        </w:rPr>
      </w:pPr>
    </w:p>
    <w:p>
      <w:pPr>
        <w:ind w:left="700" w:right="280" w:firstLine="397"/>
        <w:spacing w:after="0" w:line="312" w:lineRule="auto"/>
        <w:rPr>
          <w:sz w:val="20"/>
          <w:szCs w:val="20"/>
          <w:color w:val="auto"/>
        </w:rPr>
      </w:pPr>
      <w:r>
        <w:rPr>
          <w:rFonts w:ascii="Arial" w:cs="Arial" w:eastAsia="Arial" w:hAnsi="Arial"/>
          <w:sz w:val="16"/>
          <w:szCs w:val="16"/>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52"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“Comparable Treasury Issue” means the United States Treasury security or securities selected by an Independent Investment Banker as having an actual or interpolated maturity comparable to the remaining 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60" w:firstLine="397"/>
        <w:spacing w:after="0" w:line="312" w:lineRule="auto"/>
        <w:rPr>
          <w:sz w:val="20"/>
          <w:szCs w:val="20"/>
          <w:color w:val="auto"/>
        </w:rPr>
      </w:pPr>
      <w:r>
        <w:rPr>
          <w:rFonts w:ascii="Arial" w:cs="Arial" w:eastAsia="Arial" w:hAnsi="Arial"/>
          <w:sz w:val="16"/>
          <w:szCs w:val="16"/>
          <w:color w:val="auto"/>
        </w:rPr>
        <w:t>“Comparable Treasury Price” means, with respect to any redemption date, (i) the average of the Reference Treasury Dealer Quotations for such redemption date, after excluding the highest and lowest such Reference Treasury Dealer Quotation or (ii) if the trustee obtains fewer than four such Reference Treasury Dealer Quotations, the average of all such quotations.</w:t>
      </w:r>
    </w:p>
    <w:p>
      <w:pPr>
        <w:spacing w:after="0" w:line="52"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“Reference Treasury Dealer” means each of Barclays Capital Inc., Goldman, Sachs &amp; Co., and Morgan Stanley &amp; Co. Incorporated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9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average, as determined by the trustee, of the bid and asked prices for the Comparable Treasury Issue (expressed in case as a percentage of its principal amount) quoted in writing to the trustee by such Reference Treasury Dealer at 3:30 pm New York time on the third business day preceding such redemption date.</w:t>
      </w:r>
    </w:p>
    <w:p>
      <w:pPr>
        <w:spacing w:after="0" w:line="92"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Additionally, we may at any time repurchase notes in the open market and may hold or surrender such notes to the trustee for cancellation.</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Additional Debt</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Book-Entry System</w:t>
      </w:r>
    </w:p>
    <w:p>
      <w:pPr>
        <w:spacing w:after="0" w:line="135"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94" w:lineRule="exact"/>
        <w:rPr>
          <w:sz w:val="20"/>
          <w:szCs w:val="20"/>
          <w:color w:val="auto"/>
        </w:rPr>
      </w:pPr>
    </w:p>
    <w:p>
      <w:pPr>
        <w:ind w:left="700" w:right="140" w:firstLine="397"/>
        <w:spacing w:after="0" w:line="273" w:lineRule="auto"/>
        <w:rPr>
          <w:sz w:val="20"/>
          <w:szCs w:val="20"/>
          <w:color w:val="auto"/>
        </w:rPr>
      </w:pPr>
      <w:r>
        <w:rPr>
          <w:rFonts w:ascii="Arial" w:cs="Arial" w:eastAsia="Arial" w:hAnsi="Arial"/>
          <w:sz w:val="17"/>
          <w:szCs w:val="17"/>
          <w:color w:val="auto"/>
        </w:rPr>
        <w:t>Holders may hold interests in the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DTC</w:t>
      </w:r>
    </w:p>
    <w:p>
      <w:pPr>
        <w:spacing w:after="0" w:line="131" w:lineRule="exact"/>
        <w:rPr>
          <w:sz w:val="20"/>
          <w:szCs w:val="20"/>
          <w:color w:val="auto"/>
        </w:rPr>
      </w:pPr>
    </w:p>
    <w:p>
      <w:pPr>
        <w:ind w:left="700" w:right="280" w:firstLine="397"/>
        <w:spacing w:after="0" w:line="259" w:lineRule="auto"/>
        <w:rPr>
          <w:sz w:val="20"/>
          <w:szCs w:val="20"/>
          <w:color w:val="auto"/>
        </w:rPr>
      </w:pPr>
      <w:r>
        <w:rPr>
          <w:rFonts w:ascii="Arial" w:cs="Arial" w:eastAsia="Arial" w:hAnsi="Arial"/>
          <w:sz w:val="18"/>
          <w:szCs w:val="18"/>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w:t>
      </w:r>
    </w:p>
    <w:p>
      <w:pPr>
        <w:spacing w:after="0" w:line="37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255" w:lineRule="auto"/>
        <w:rPr>
          <w:sz w:val="20"/>
          <w:szCs w:val="20"/>
          <w:color w:val="auto"/>
        </w:rPr>
      </w:pPr>
      <w:r>
        <w:rPr>
          <w:rFonts w:ascii="Arial" w:cs="Arial" w:eastAsia="Arial" w:hAnsi="Arial"/>
          <w:sz w:val="18"/>
          <w:szCs w:val="18"/>
          <w:color w:val="auto"/>
        </w:rPr>
        <w:t>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99" w:lineRule="exact"/>
        <w:rPr>
          <w:sz w:val="20"/>
          <w:szCs w:val="20"/>
          <w:color w:val="auto"/>
        </w:rPr>
      </w:pPr>
    </w:p>
    <w:p>
      <w:pPr>
        <w:ind w:left="700" w:right="60" w:firstLine="397"/>
        <w:spacing w:after="0" w:line="272" w:lineRule="auto"/>
        <w:rPr>
          <w:sz w:val="20"/>
          <w:szCs w:val="20"/>
          <w:color w:val="auto"/>
        </w:rPr>
      </w:pPr>
      <w:r>
        <w:rPr>
          <w:rFonts w:ascii="Arial" w:cs="Arial" w:eastAsia="Arial" w:hAnsi="Arial"/>
          <w:sz w:val="17"/>
          <w:szCs w:val="17"/>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83" w:lineRule="exact"/>
        <w:rPr>
          <w:sz w:val="20"/>
          <w:szCs w:val="20"/>
          <w:color w:val="auto"/>
        </w:rPr>
      </w:pPr>
    </w:p>
    <w:p>
      <w:pPr>
        <w:ind w:left="700" w:right="720" w:firstLine="397"/>
        <w:spacing w:after="0" w:line="342" w:lineRule="auto"/>
        <w:rPr>
          <w:sz w:val="20"/>
          <w:szCs w:val="20"/>
          <w:color w:val="auto"/>
        </w:rPr>
      </w:pPr>
      <w:r>
        <w:rPr>
          <w:rFonts w:ascii="Arial" w:cs="Arial" w:eastAsia="Arial" w:hAnsi="Arial"/>
          <w:sz w:val="16"/>
          <w:szCs w:val="16"/>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29"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03"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87" w:lineRule="exact"/>
        <w:rPr>
          <w:sz w:val="20"/>
          <w:szCs w:val="20"/>
          <w:color w:val="auto"/>
        </w:rPr>
      </w:pPr>
    </w:p>
    <w:p>
      <w:pPr>
        <w:ind w:left="700" w:right="20" w:firstLine="397"/>
        <w:spacing w:after="0" w:line="288" w:lineRule="auto"/>
        <w:rPr>
          <w:sz w:val="20"/>
          <w:szCs w:val="20"/>
          <w:color w:val="auto"/>
        </w:rPr>
      </w:pPr>
      <w:r>
        <w:rPr>
          <w:rFonts w:ascii="Arial" w:cs="Arial" w:eastAsia="Arial" w:hAnsi="Arial"/>
          <w:sz w:val="16"/>
          <w:szCs w:val="16"/>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75"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cable guarantors or any of our or their respective agents shall</w:t>
      </w:r>
    </w:p>
    <w:p>
      <w:pPr>
        <w:spacing w:after="0" w:line="37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64" w:lineRule="auto"/>
        <w:rPr>
          <w:sz w:val="20"/>
          <w:szCs w:val="20"/>
          <w:color w:val="auto"/>
        </w:rPr>
      </w:pPr>
      <w:r>
        <w:rPr>
          <w:rFonts w:ascii="Arial" w:cs="Arial" w:eastAsia="Arial" w:hAnsi="Arial"/>
          <w:sz w:val="18"/>
          <w:szCs w:val="18"/>
          <w:color w:val="auto"/>
        </w:rPr>
        <w:t>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31" w:lineRule="exact"/>
        <w:rPr>
          <w:sz w:val="20"/>
          <w:szCs w:val="20"/>
          <w:color w:val="auto"/>
        </w:rPr>
      </w:pPr>
    </w:p>
    <w:p>
      <w:pPr>
        <w:ind w:left="700" w:right="40" w:firstLine="397"/>
        <w:spacing w:after="0" w:line="308" w:lineRule="auto"/>
        <w:rPr>
          <w:sz w:val="20"/>
          <w:szCs w:val="20"/>
          <w:color w:val="auto"/>
        </w:rPr>
      </w:pPr>
      <w:r>
        <w:rPr>
          <w:rFonts w:ascii="Arial" w:cs="Arial" w:eastAsia="Arial" w:hAnsi="Arial"/>
          <w:sz w:val="17"/>
          <w:szCs w:val="17"/>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52" w:lineRule="exact"/>
        <w:rPr>
          <w:sz w:val="20"/>
          <w:szCs w:val="20"/>
          <w:color w:val="auto"/>
        </w:rPr>
      </w:pPr>
    </w:p>
    <w:p>
      <w:pPr>
        <w:ind w:left="1700" w:right="80" w:hanging="400"/>
        <w:spacing w:after="0" w:line="342" w:lineRule="auto"/>
        <w:tabs>
          <w:tab w:leader="none" w:pos="1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15" w:lineRule="exact"/>
        <w:rPr>
          <w:rFonts w:ascii="Arial" w:cs="Arial" w:eastAsia="Arial" w:hAnsi="Arial"/>
          <w:sz w:val="16"/>
          <w:szCs w:val="16"/>
          <w:color w:val="auto"/>
        </w:rPr>
      </w:pPr>
    </w:p>
    <w:p>
      <w:pPr>
        <w:ind w:left="1700" w:hanging="400"/>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117" w:lineRule="exact"/>
        <w:rPr>
          <w:rFonts w:ascii="Arial" w:cs="Arial" w:eastAsia="Arial" w:hAnsi="Arial"/>
          <w:sz w:val="18"/>
          <w:szCs w:val="18"/>
          <w:color w:val="auto"/>
        </w:rPr>
      </w:pPr>
    </w:p>
    <w:p>
      <w:pPr>
        <w:ind w:left="1700" w:hanging="400"/>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default entitling the holders of the applicable notes to accelerate the maturity thereof has occurred and is continuing.</w:t>
      </w:r>
    </w:p>
    <w:p>
      <w:pPr>
        <w:spacing w:after="0" w:line="142"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Same-Day Payment</w:t>
      </w:r>
    </w:p>
    <w:p>
      <w:pPr>
        <w:spacing w:after="0" w:line="131"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87" w:lineRule="exact"/>
        <w:rPr>
          <w:sz w:val="20"/>
          <w:szCs w:val="20"/>
          <w:color w:val="auto"/>
        </w:rPr>
      </w:pPr>
    </w:p>
    <w:p>
      <w:pPr>
        <w:ind w:left="700" w:right="40" w:firstLine="397"/>
        <w:spacing w:after="0" w:line="291"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3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UNDERWRITING</w:t>
      </w:r>
    </w:p>
    <w:p>
      <w:pPr>
        <w:spacing w:after="0" w:line="108" w:lineRule="exact"/>
        <w:rPr>
          <w:sz w:val="20"/>
          <w:szCs w:val="20"/>
          <w:color w:val="auto"/>
        </w:rPr>
      </w:pPr>
    </w:p>
    <w:p>
      <w:pPr>
        <w:ind w:left="700" w:right="200" w:firstLine="397"/>
        <w:spacing w:after="0" w:line="264"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3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52"/>
              <w:spacing w:after="0"/>
              <w:rPr>
                <w:sz w:val="20"/>
                <w:szCs w:val="20"/>
                <w:color w:val="auto"/>
              </w:rPr>
            </w:pPr>
            <w:r>
              <w:rPr>
                <w:rFonts w:ascii="Arial" w:cs="Arial" w:eastAsia="Arial" w:hAnsi="Arial"/>
                <w:sz w:val="14"/>
                <w:szCs w:val="14"/>
                <w:b w:val="1"/>
                <w:bCs w:val="1"/>
                <w:color w:val="auto"/>
                <w:w w:val="94"/>
              </w:rPr>
              <w:t>Principal Amount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Principal Amount</w:t>
            </w:r>
          </w:p>
        </w:tc>
        <w:tc>
          <w:tcPr>
            <w:tcW w:w="0" w:type="dxa"/>
            <w:vAlign w:val="bottom"/>
          </w:tcPr>
          <w:p>
            <w:pPr>
              <w:spacing w:after="0"/>
              <w:rPr>
                <w:sz w:val="1"/>
                <w:szCs w:val="1"/>
                <w:color w:val="auto"/>
              </w:rPr>
            </w:pPr>
          </w:p>
        </w:tc>
      </w:tr>
      <w:tr>
        <w:trPr>
          <w:trHeight w:val="162"/>
        </w:trPr>
        <w:tc>
          <w:tcPr>
            <w:tcW w:w="64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U</w:t>
            </w:r>
            <w:r>
              <w:rPr>
                <w:rFonts w:ascii="Arial" w:cs="Arial" w:eastAsia="Arial" w:hAnsi="Arial"/>
                <w:sz w:val="14"/>
                <w:szCs w:val="14"/>
                <w:b w:val="1"/>
                <w:bCs w:val="1"/>
                <w:color w:val="auto"/>
              </w:rPr>
              <w:t>nderwriter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of Notes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of Notes</w:t>
            </w:r>
          </w:p>
        </w:tc>
        <w:tc>
          <w:tcPr>
            <w:tcW w:w="0" w:type="dxa"/>
            <w:vAlign w:val="bottom"/>
          </w:tcPr>
          <w:p>
            <w:pPr>
              <w:spacing w:after="0"/>
              <w:rPr>
                <w:sz w:val="1"/>
                <w:szCs w:val="1"/>
                <w:color w:val="auto"/>
              </w:rPr>
            </w:pPr>
          </w:p>
        </w:tc>
      </w:tr>
      <w:tr>
        <w:trPr>
          <w:trHeight w:val="171"/>
        </w:trPr>
        <w:tc>
          <w:tcPr>
            <w:tcW w:w="64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52"/>
              <w:spacing w:after="0"/>
              <w:rPr>
                <w:sz w:val="20"/>
                <w:szCs w:val="20"/>
                <w:color w:val="auto"/>
              </w:rPr>
            </w:pPr>
            <w:r>
              <w:rPr>
                <w:rFonts w:ascii="Arial" w:cs="Arial" w:eastAsia="Arial" w:hAnsi="Arial"/>
                <w:sz w:val="14"/>
                <w:szCs w:val="14"/>
                <w:b w:val="1"/>
                <w:bCs w:val="1"/>
                <w:color w:val="auto"/>
                <w:w w:val="90"/>
              </w:rPr>
              <w:t>due 2017</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due 2037</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Barclays Capital Inc.</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200,000,000</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127,777,778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437,142,857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Morgan Stanley &amp; Co. Incorporated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200,000,000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ABN AMRO Incorporated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Banc of America Securities LLC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25,000,000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25,000,000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Daiwa Securities America Inc.</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25,000,000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Inc.</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Lehman Brothers Inc.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62,857,143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920"/>
              <w:spacing w:after="0"/>
              <w:rPr>
                <w:sz w:val="20"/>
                <w:szCs w:val="20"/>
                <w:color w:val="auto"/>
              </w:rPr>
            </w:pPr>
            <w:r>
              <w:rPr>
                <w:rFonts w:ascii="Arial" w:cs="Arial" w:eastAsia="Arial" w:hAnsi="Arial"/>
                <w:sz w:val="18"/>
                <w:szCs w:val="18"/>
                <w:color w:val="auto"/>
              </w:rPr>
              <w:t>Incorporated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122,222,222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Mitsubishi UFJ Securities International plc</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The Royal Bank of Scotland plc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25,000,000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Wachovia Capital Markets, LLC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25,000,000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BNY Capital Markets, Inc.</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SunTrust Capital Markets, Inc.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17,000,000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Guzman &amp; Company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Samuel A. Ramirez &amp; Co., Inc.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7,000,000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Blaylock &amp; Company, Inc.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Cabrera Capital Markets, Inc.</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Loop Capital Markets, LLC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Muriel Siebert &amp; Co., Inc.</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M.R. Beal &amp; Company</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1,000,000,000</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00" w:right="420" w:firstLine="397"/>
        <w:spacing w:after="0" w:line="264"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87" w:lineRule="exact"/>
        <w:rPr>
          <w:sz w:val="20"/>
          <w:szCs w:val="20"/>
          <w:color w:val="auto"/>
        </w:rPr>
      </w:pPr>
    </w:p>
    <w:p>
      <w:pPr>
        <w:ind w:left="700" w:right="280" w:firstLine="397"/>
        <w:spacing w:after="0" w:line="308"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52"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3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Mitsubishi UFJ Securities International plc is not a U.S. registered broker-dealer and, therefore, to the extent that it intends to effect any sales of the notes in the United States, it will do so through one or more U.S. registered broker-dealers as permitted by NASD regulations.</w:t>
      </w:r>
    </w:p>
    <w:p>
      <w:pPr>
        <w:spacing w:after="0" w:line="87" w:lineRule="exact"/>
        <w:rPr>
          <w:sz w:val="20"/>
          <w:szCs w:val="20"/>
          <w:color w:val="auto"/>
        </w:rPr>
      </w:pPr>
    </w:p>
    <w:p>
      <w:pPr>
        <w:ind w:left="700" w:right="100" w:firstLine="397"/>
        <w:spacing w:after="0" w:line="286" w:lineRule="auto"/>
        <w:rPr>
          <w:sz w:val="20"/>
          <w:szCs w:val="20"/>
          <w:color w:val="auto"/>
        </w:rPr>
      </w:pPr>
      <w:r>
        <w:rPr>
          <w:rFonts w:ascii="Arial" w:cs="Arial" w:eastAsia="Arial" w:hAnsi="Arial"/>
          <w:sz w:val="17"/>
          <w:szCs w:val="17"/>
          <w:color w:val="auto"/>
        </w:rPr>
        <w:t>Daiwa Securities America Inc. (“DSA”) has entered into an agreement with SMBC Securities, Inc. (“SMBCSI”) pursuant to which SMBCSI provides certain advisory and/or other services to DSA, including services with respect to this offering. In return for the provision of such services by SMBCSI to DSA, DSA will play to SMBCSI a mutually agreed-upon fee.</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Selling Restrictions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European Union Prospectus Directive</w:t>
      </w:r>
    </w:p>
    <w:p>
      <w:pPr>
        <w:spacing w:after="0" w:line="131"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Each underwriter has represented, warranted and agreed that 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it has not made and will not make an offer of notes to the public in that Relevant Member State prior to the publication of a prospectus in relation to the notes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w:t>
      </w:r>
    </w:p>
    <w:p>
      <w:pPr>
        <w:spacing w:after="0" w:line="84" w:lineRule="exact"/>
        <w:rPr>
          <w:sz w:val="20"/>
          <w:szCs w:val="20"/>
          <w:color w:val="auto"/>
        </w:rPr>
      </w:pPr>
    </w:p>
    <w:p>
      <w:pPr>
        <w:ind w:left="1480" w:right="620" w:firstLine="372"/>
        <w:spacing w:after="0" w:line="277" w:lineRule="auto"/>
        <w:tabs>
          <w:tab w:leader="none" w:pos="2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75" w:lineRule="exact"/>
        <w:rPr>
          <w:rFonts w:ascii="Arial" w:cs="Arial" w:eastAsia="Arial" w:hAnsi="Arial"/>
          <w:sz w:val="18"/>
          <w:szCs w:val="18"/>
          <w:color w:val="auto"/>
        </w:rPr>
      </w:pPr>
    </w:p>
    <w:p>
      <w:pPr>
        <w:ind w:left="2120" w:hanging="268"/>
        <w:spacing w:after="0"/>
        <w:tabs>
          <w:tab w:leader="none" w:pos="21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w:t>
      </w:r>
    </w:p>
    <w:p>
      <w:pPr>
        <w:spacing w:after="0" w:line="46" w:lineRule="exact"/>
        <w:rPr>
          <w:rFonts w:ascii="Arial" w:cs="Arial" w:eastAsia="Arial" w:hAnsi="Arial"/>
          <w:sz w:val="16"/>
          <w:szCs w:val="16"/>
          <w:color w:val="auto"/>
        </w:rPr>
      </w:pPr>
    </w:p>
    <w:p>
      <w:pPr>
        <w:ind w:left="1480" w:right="240" w:firstLine="7"/>
        <w:spacing w:after="0" w:line="261" w:lineRule="auto"/>
        <w:tabs>
          <w:tab w:leader="none" w:pos="17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total balance sheet of more than €43,000,000 and (3) an annual net turnover of more than €50,000,000, as shown in its last annual or consolidated accounts;</w:t>
      </w:r>
    </w:p>
    <w:p>
      <w:pPr>
        <w:spacing w:after="0" w:line="89" w:lineRule="exact"/>
        <w:rPr>
          <w:rFonts w:ascii="Arial" w:cs="Arial" w:eastAsia="Arial" w:hAnsi="Arial"/>
          <w:sz w:val="18"/>
          <w:szCs w:val="18"/>
          <w:color w:val="auto"/>
        </w:rPr>
      </w:pPr>
    </w:p>
    <w:p>
      <w:pPr>
        <w:ind w:left="1480" w:right="420" w:firstLine="372"/>
        <w:spacing w:after="0" w:line="277" w:lineRule="auto"/>
        <w:tabs>
          <w:tab w:leader="none" w:pos="21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1480" w:right="60" w:firstLine="372"/>
        <w:spacing w:after="0" w:line="277" w:lineRule="auto"/>
        <w:tabs>
          <w:tab w:leader="none" w:pos="215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 any other circumstances which do not require the publication by the Issuer of a prospectus pursuant to Article 3 of the Prospectus Directive.</w:t>
      </w:r>
    </w:p>
    <w:p>
      <w:pPr>
        <w:spacing w:after="0" w:line="76" w:lineRule="exact"/>
        <w:rPr>
          <w:sz w:val="20"/>
          <w:szCs w:val="20"/>
          <w:color w:val="auto"/>
        </w:rPr>
      </w:pPr>
    </w:p>
    <w:p>
      <w:pPr>
        <w:ind w:left="700" w:right="120" w:firstLine="397"/>
        <w:spacing w:after="0" w:line="276" w:lineRule="auto"/>
        <w:rPr>
          <w:sz w:val="20"/>
          <w:szCs w:val="20"/>
          <w:color w:val="auto"/>
        </w:rPr>
      </w:pPr>
      <w:r>
        <w:rPr>
          <w:rFonts w:ascii="Arial" w:cs="Arial" w:eastAsia="Arial" w:hAnsi="Arial"/>
          <w:sz w:val="17"/>
          <w:szCs w:val="17"/>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that Member State by any means implementing the Prospectus Directive in that Member State, and the expression “Prospectus Directive” means Directive 2003/71/EC and includes any relevant implementing measure in each Relevant Member State.</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United Kingdom</w:t>
      </w:r>
    </w:p>
    <w:p>
      <w:pPr>
        <w:spacing w:after="0" w:line="13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cable guarantors; and it has complied with and will comply with all applicable provisions of FSMA with respect to anything done by it in relation to the notes in, from or otherwise involving the United Kingdom.</w:t>
      </w:r>
    </w:p>
    <w:p>
      <w:pPr>
        <w:spacing w:after="0" w:line="38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Hong Kong</w:t>
      </w:r>
    </w:p>
    <w:p>
      <w:pPr>
        <w:spacing w:after="0" w:line="131" w:lineRule="exact"/>
        <w:rPr>
          <w:sz w:val="20"/>
          <w:szCs w:val="20"/>
          <w:color w:val="auto"/>
        </w:rPr>
      </w:pPr>
    </w:p>
    <w:p>
      <w:pPr>
        <w:ind w:left="700" w:right="80" w:firstLine="397"/>
        <w:spacing w:after="0" w:line="272" w:lineRule="auto"/>
        <w:rPr>
          <w:sz w:val="20"/>
          <w:szCs w:val="20"/>
          <w:color w:val="auto"/>
        </w:rPr>
      </w:pPr>
      <w:r>
        <w:rPr>
          <w:rFonts w:ascii="Arial" w:cs="Arial" w:eastAsia="Arial" w:hAnsi="Arial"/>
          <w:sz w:val="17"/>
          <w:szCs w:val="17"/>
          <w:color w:val="auto"/>
        </w:rPr>
        <w:t>The notes may not be offered or sold by means of any document other than to persons whose ordinary business is to buy or sell shares or debentures, whether as principal or agent, or in circumstances which do not constitute an offer to the public within the meaning of the Companies Ordinance (Cap. 32) of Hong Kong, and no advertisement, invitation or document relating to the notes may be issued,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within the meaning of the Securities and Futures Ordinance (Cap. 571) of Hong Kong and any rules made thereunder.</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Japan</w:t>
      </w:r>
    </w:p>
    <w:p>
      <w:pPr>
        <w:spacing w:after="0" w:line="131"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The notes have not been and will not be registered under the Securities and Exchange Law of Japan,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the Securities and Exchange Law available thereunder and in compliance with the other relevant laws and regulations of Japan.</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Singapore</w:t>
      </w:r>
    </w:p>
    <w:p>
      <w:pPr>
        <w:spacing w:after="0" w:line="131"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77" w:lineRule="exact"/>
        <w:rPr>
          <w:sz w:val="20"/>
          <w:szCs w:val="20"/>
          <w:color w:val="auto"/>
        </w:rPr>
      </w:pPr>
    </w:p>
    <w:p>
      <w:pPr>
        <w:ind w:left="1680" w:hanging="209"/>
        <w:spacing w:after="0"/>
        <w:tabs>
          <w:tab w:leader="none" w:pos="16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an institutional investor under Section 274 of the Securities and Futures Act, Chapter 289 of Singapore (the “SFA”);</w:t>
      </w:r>
    </w:p>
    <w:p>
      <w:pPr>
        <w:spacing w:after="0" w:line="142" w:lineRule="exact"/>
        <w:rPr>
          <w:rFonts w:ascii="Arial" w:cs="Arial" w:eastAsia="Arial" w:hAnsi="Arial"/>
          <w:sz w:val="17"/>
          <w:szCs w:val="17"/>
          <w:color w:val="auto"/>
        </w:rPr>
      </w:pPr>
    </w:p>
    <w:p>
      <w:pPr>
        <w:ind w:left="1080" w:right="580" w:firstLine="391"/>
        <w:spacing w:after="0" w:line="277" w:lineRule="auto"/>
        <w:tabs>
          <w:tab w:leader="none" w:pos="17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 relevant person, or any person pursuant to Section 257(1A), and in accordance with the conditions, specified in Section 275 of the SFA; or</w:t>
      </w:r>
    </w:p>
    <w:p>
      <w:pPr>
        <w:spacing w:after="0" w:line="75" w:lineRule="exact"/>
        <w:rPr>
          <w:rFonts w:ascii="Arial" w:cs="Arial" w:eastAsia="Arial" w:hAnsi="Arial"/>
          <w:sz w:val="18"/>
          <w:szCs w:val="18"/>
          <w:color w:val="auto"/>
        </w:rPr>
      </w:pPr>
    </w:p>
    <w:p>
      <w:pPr>
        <w:ind w:left="1780" w:hanging="309"/>
        <w:spacing w:after="0"/>
        <w:tabs>
          <w:tab w:leader="none" w:pos="1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Whether the notes are subscribed or purchased under Section 275 by a relevant person which is:</w:t>
      </w:r>
    </w:p>
    <w:p>
      <w:pPr>
        <w:spacing w:after="0" w:line="131" w:lineRule="exact"/>
        <w:rPr>
          <w:sz w:val="20"/>
          <w:szCs w:val="20"/>
          <w:color w:val="auto"/>
        </w:rPr>
      </w:pPr>
    </w:p>
    <w:p>
      <w:pPr>
        <w:ind w:left="1080" w:right="280" w:firstLine="391"/>
        <w:spacing w:after="0" w:line="277" w:lineRule="auto"/>
        <w:tabs>
          <w:tab w:leader="none" w:pos="17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1080" w:firstLine="391"/>
        <w:spacing w:after="0" w:line="255" w:lineRule="auto"/>
        <w:tabs>
          <w:tab w:leader="none" w:pos="17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Commissions and Discounts</w:t>
      </w:r>
    </w:p>
    <w:p>
      <w:pPr>
        <w:spacing w:after="0" w:line="135"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The underwriters have advised us that they propose initially to offer the notes to the public at the public offering price on the cover page of this prospectus supplement, and to dealers at that price less a concession not in excess of 0.30% and 0.50% of the principal amount of the Notes due 2017 and Notes due 2037, respectively. The underwriters may allow, and the dealers may reallow, a discount not in excess of 0.25% and 0.25% of the principal amount of the Notes due 2017 and Notes due 2037, respectively, to other dealers. After the initial public offering, the public offering prices, concessions and discounts may be changed.</w:t>
      </w:r>
    </w:p>
    <w:p>
      <w:pPr>
        <w:spacing w:after="0" w:line="36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expenses of the offering, not including the underwriting discount, are estimated to be $300,000 and are payable by us.</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New Issue of Notes</w:t>
      </w:r>
    </w:p>
    <w:p>
      <w:pPr>
        <w:spacing w:after="0" w:line="135"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The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35" w:lineRule="exact"/>
        <w:rPr>
          <w:sz w:val="20"/>
          <w:szCs w:val="20"/>
          <w:color w:val="auto"/>
        </w:rPr>
      </w:pPr>
    </w:p>
    <w:p>
      <w:pPr>
        <w:ind w:left="700" w:right="80" w:firstLine="397"/>
        <w:spacing w:after="0" w:line="297" w:lineRule="auto"/>
        <w:rPr>
          <w:sz w:val="20"/>
          <w:szCs w:val="20"/>
          <w:color w:val="auto"/>
        </w:rPr>
      </w:pPr>
      <w:r>
        <w:rPr>
          <w:rFonts w:ascii="Arial" w:cs="Arial" w:eastAsia="Arial" w:hAnsi="Arial"/>
          <w:sz w:val="16"/>
          <w:szCs w:val="16"/>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w:t>
      </w:r>
    </w:p>
    <w:p>
      <w:pPr>
        <w:spacing w:after="0" w:line="64"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Relationships</w:t>
      </w:r>
    </w:p>
    <w:p>
      <w:pPr>
        <w:spacing w:after="0" w:line="135" w:lineRule="exact"/>
        <w:rPr>
          <w:sz w:val="20"/>
          <w:szCs w:val="20"/>
          <w:color w:val="auto"/>
        </w:rPr>
      </w:pPr>
    </w:p>
    <w:p>
      <w:pPr>
        <w:ind w:left="700" w:right="220" w:firstLine="397"/>
        <w:spacing w:after="0" w:line="342" w:lineRule="auto"/>
        <w:rPr>
          <w:sz w:val="20"/>
          <w:szCs w:val="20"/>
          <w:color w:val="auto"/>
        </w:rPr>
      </w:pPr>
      <w:r>
        <w:rPr>
          <w:rFonts w:ascii="Arial" w:cs="Arial" w:eastAsia="Arial" w:hAnsi="Arial"/>
          <w:sz w:val="16"/>
          <w:szCs w:val="16"/>
          <w:color w:val="auto"/>
        </w:rPr>
        <w:t>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24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jc w:val="both"/>
        <w:ind w:left="700" w:right="360" w:firstLine="397"/>
        <w:spacing w:after="0" w:line="312" w:lineRule="auto"/>
        <w:rPr>
          <w:sz w:val="20"/>
          <w:szCs w:val="20"/>
          <w:color w:val="auto"/>
        </w:rPr>
      </w:pPr>
      <w:r>
        <w:rPr>
          <w:rFonts w:ascii="Arial" w:cs="Arial" w:eastAsia="Arial" w:hAnsi="Arial"/>
          <w:sz w:val="16"/>
          <w:szCs w:val="16"/>
          <w:color w:val="auto"/>
        </w:rPr>
        <w:t xml:space="preserve">Various legal matters relating to the offering will be passed upon for us by Arthur R. Block, Esquire, Senior Vice President and General Counsel of Comcast Corporation, Thomas R. Nathan, Esquire, Senior Vice President of the cable guarantors, and by Davis Polk &amp; Wardwell, Menlo Park, California. Cahill Gordon &amp; Reindel </w:t>
      </w:r>
      <w:r>
        <w:rPr>
          <w:rFonts w:ascii="Arial" w:cs="Arial" w:eastAsia="Arial" w:hAnsi="Arial"/>
          <w:sz w:val="11"/>
          <w:szCs w:val="11"/>
          <w:color w:val="auto"/>
        </w:rPr>
        <w:t>LLP</w:t>
      </w:r>
      <w:r>
        <w:rPr>
          <w:rFonts w:ascii="Arial" w:cs="Arial" w:eastAsia="Arial" w:hAnsi="Arial"/>
          <w:sz w:val="16"/>
          <w:szCs w:val="16"/>
          <w:color w:val="auto"/>
        </w:rPr>
        <w:t>, New York, New York, is representing the underwriters.</w:t>
      </w:r>
    </w:p>
    <w:p>
      <w:pPr>
        <w:spacing w:after="0" w:line="33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549275</wp:posOffset>
            </wp:positionV>
            <wp:extent cx="63030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03010" cy="889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94615</wp:posOffset>
            </wp:positionV>
            <wp:extent cx="1431925" cy="3689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3192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are types of securities that may be offered and sold under this prospectus:</w:t>
      </w:r>
    </w:p>
    <w:p>
      <w:pPr>
        <w:spacing w:after="0" w:line="131" w:lineRule="exact"/>
        <w:rPr>
          <w:sz w:val="20"/>
          <w:szCs w:val="20"/>
          <w:color w:val="auto"/>
        </w:rPr>
      </w:pPr>
    </w:p>
    <w:p>
      <w:pPr>
        <w:ind w:left="1080" w:hanging="16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Unsecured senior debt securities</w:t>
      </w:r>
    </w:p>
    <w:p>
      <w:pPr>
        <w:spacing w:after="0" w:line="23" w:lineRule="exact"/>
        <w:rPr>
          <w:rFonts w:ascii="Arial" w:cs="Arial" w:eastAsia="Arial" w:hAnsi="Arial"/>
          <w:sz w:val="18"/>
          <w:szCs w:val="18"/>
          <w:color w:val="auto"/>
        </w:rPr>
      </w:pPr>
    </w:p>
    <w:p>
      <w:pPr>
        <w:ind w:left="1080" w:hanging="16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Unsecured subordinated debt securities</w:t>
      </w:r>
    </w:p>
    <w:p>
      <w:pPr>
        <w:spacing w:after="0" w:line="9" w:lineRule="exact"/>
        <w:rPr>
          <w:rFonts w:ascii="Arial" w:cs="Arial" w:eastAsia="Arial" w:hAnsi="Arial"/>
          <w:sz w:val="18"/>
          <w:szCs w:val="18"/>
          <w:color w:val="auto"/>
        </w:rPr>
      </w:pPr>
    </w:p>
    <w:p>
      <w:pPr>
        <w:ind w:left="1060" w:hanging="142"/>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1080" w:hanging="16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 contracts</w:t>
      </w:r>
    </w:p>
    <w:p>
      <w:pPr>
        <w:spacing w:after="0" w:line="9" w:lineRule="exact"/>
        <w:rPr>
          <w:rFonts w:ascii="Arial" w:cs="Arial" w:eastAsia="Arial" w:hAnsi="Arial"/>
          <w:sz w:val="18"/>
          <w:szCs w:val="18"/>
          <w:color w:val="auto"/>
        </w:rPr>
      </w:pPr>
    </w:p>
    <w:p>
      <w:pPr>
        <w:ind w:left="1080" w:hanging="16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Units</w:t>
      </w:r>
    </w:p>
    <w:p>
      <w:pPr>
        <w:spacing w:after="0" w:line="9" w:lineRule="exact"/>
        <w:rPr>
          <w:rFonts w:ascii="Arial" w:cs="Arial" w:eastAsia="Arial" w:hAnsi="Arial"/>
          <w:sz w:val="18"/>
          <w:szCs w:val="18"/>
          <w:color w:val="auto"/>
        </w:rPr>
      </w:pPr>
    </w:p>
    <w:p>
      <w:pPr>
        <w:ind w:left="1080" w:hanging="16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1080" w:hanging="16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1080" w:hanging="16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Class A Common Stock</w:t>
      </w:r>
    </w:p>
    <w:p>
      <w:pPr>
        <w:spacing w:after="0" w:line="9" w:lineRule="exact"/>
        <w:rPr>
          <w:rFonts w:ascii="Arial" w:cs="Arial" w:eastAsia="Arial" w:hAnsi="Arial"/>
          <w:sz w:val="18"/>
          <w:szCs w:val="18"/>
          <w:color w:val="auto"/>
        </w:rPr>
      </w:pPr>
    </w:p>
    <w:p>
      <w:pPr>
        <w:ind w:left="1080" w:hanging="16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Class A Special Common Stock</w:t>
      </w:r>
    </w:p>
    <w:p>
      <w:pPr>
        <w:spacing w:after="0" w:line="224" w:lineRule="exact"/>
        <w:rPr>
          <w:sz w:val="20"/>
          <w:szCs w:val="20"/>
          <w:color w:val="auto"/>
        </w:rPr>
      </w:pPr>
    </w:p>
    <w:p>
      <w:pPr>
        <w:ind w:left="700" w:right="380" w:firstLine="225"/>
        <w:spacing w:after="0" w:line="277"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wholly-owned cable subsidiaries named in this prospectus.</w:t>
      </w:r>
    </w:p>
    <w:p>
      <w:pPr>
        <w:spacing w:after="0" w:line="184" w:lineRule="exact"/>
        <w:rPr>
          <w:sz w:val="20"/>
          <w:szCs w:val="20"/>
          <w:color w:val="auto"/>
        </w:rPr>
      </w:pPr>
    </w:p>
    <w:p>
      <w:pPr>
        <w:ind w:left="700" w:right="20" w:firstLine="225"/>
        <w:spacing w:after="0" w:line="264" w:lineRule="auto"/>
        <w:rPr>
          <w:sz w:val="20"/>
          <w:szCs w:val="20"/>
          <w:color w:val="auto"/>
        </w:rPr>
      </w:pPr>
      <w:r>
        <w:rPr>
          <w:rFonts w:ascii="Arial" w:cs="Arial" w:eastAsia="Arial" w:hAnsi="Arial"/>
          <w:sz w:val="18"/>
          <w:szCs w:val="18"/>
          <w:color w:val="auto"/>
        </w:rPr>
        <w:t>Our Class A Common Stock and Class A Special Common Stock are quoted on The Nasdaq National Market under the ticker symbols “CMCSA” and “CMCSK”. On March 27, 2006, the reported last sale prices on The Nasdaq National Market for our Class A Common Stock and our Class A Special Common Stock were $26.72 and $26.64.</w:t>
      </w:r>
    </w:p>
    <w:p>
      <w:pPr>
        <w:spacing w:after="0" w:line="195" w:lineRule="exact"/>
        <w:rPr>
          <w:sz w:val="20"/>
          <w:szCs w:val="20"/>
          <w:color w:val="auto"/>
        </w:rPr>
      </w:pPr>
    </w:p>
    <w:p>
      <w:pPr>
        <w:ind w:left="700" w:right="340" w:firstLine="222"/>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97"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40"/>
              <w:spacing w:after="0"/>
              <w:rPr>
                <w:sz w:val="20"/>
                <w:szCs w:val="20"/>
                <w:color w:val="auto"/>
              </w:rPr>
            </w:pPr>
            <w:r>
              <w:rPr>
                <w:rFonts w:ascii="Arial" w:cs="Arial" w:eastAsia="Arial" w:hAnsi="Arial"/>
                <w:sz w:val="18"/>
                <w:szCs w:val="18"/>
                <w:color w:val="auto"/>
              </w:rPr>
              <w:t>Maturity</w:t>
            </w:r>
          </w:p>
        </w:tc>
        <w:tc>
          <w:tcPr>
            <w:tcW w:w="940" w:type="dxa"/>
            <w:vAlign w:val="bottom"/>
          </w:tcPr>
          <w:p>
            <w:pPr>
              <w:ind w:left="820"/>
              <w:spacing w:after="0"/>
              <w:rPr>
                <w:sz w:val="20"/>
                <w:szCs w:val="20"/>
                <w:color w:val="auto"/>
              </w:rPr>
            </w:pPr>
            <w:r>
              <w:rPr>
                <w:rFonts w:ascii="Arial" w:cs="Arial" w:eastAsia="Arial" w:hAnsi="Arial"/>
                <w:sz w:val="18"/>
                <w:szCs w:val="18"/>
                <w:color w:val="auto"/>
              </w:rPr>
              <w:t>•</w:t>
            </w:r>
          </w:p>
        </w:tc>
        <w:tc>
          <w:tcPr>
            <w:tcW w:w="2840" w:type="dxa"/>
            <w:vAlign w:val="bottom"/>
          </w:tcPr>
          <w:p>
            <w:pPr>
              <w:ind w:left="40"/>
              <w:spacing w:after="0"/>
              <w:rPr>
                <w:sz w:val="20"/>
                <w:szCs w:val="20"/>
                <w:color w:val="auto"/>
              </w:rPr>
            </w:pPr>
            <w:r>
              <w:rPr>
                <w:rFonts w:ascii="Arial" w:cs="Arial" w:eastAsia="Arial" w:hAnsi="Arial"/>
                <w:sz w:val="18"/>
                <w:szCs w:val="18"/>
                <w:color w:val="auto"/>
              </w:rPr>
              <w:t>Dividends</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1800" w:type="dxa"/>
            <w:vAlign w:val="bottom"/>
          </w:tcPr>
          <w:p>
            <w:pPr>
              <w:ind w:left="40"/>
              <w:spacing w:after="0"/>
              <w:rPr>
                <w:sz w:val="20"/>
                <w:szCs w:val="20"/>
                <w:color w:val="auto"/>
              </w:rPr>
            </w:pPr>
            <w:r>
              <w:rPr>
                <w:rFonts w:ascii="Arial" w:cs="Arial" w:eastAsia="Arial" w:hAnsi="Arial"/>
                <w:sz w:val="18"/>
                <w:szCs w:val="18"/>
                <w:color w:val="auto"/>
                <w:w w:val="89"/>
              </w:rPr>
              <w:t>Conversion or exchange</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940" w:type="dxa"/>
            <w:vAlign w:val="bottom"/>
          </w:tcPr>
          <w:p>
            <w:pPr>
              <w:ind w:left="820"/>
              <w:spacing w:after="0"/>
              <w:rPr>
                <w:sz w:val="20"/>
                <w:szCs w:val="20"/>
                <w:color w:val="auto"/>
              </w:rPr>
            </w:pPr>
            <w:r>
              <w:rPr>
                <w:rFonts w:ascii="Arial" w:cs="Arial" w:eastAsia="Arial" w:hAnsi="Arial"/>
                <w:sz w:val="18"/>
                <w:szCs w:val="18"/>
                <w:color w:val="auto"/>
              </w:rPr>
              <w:t>•</w:t>
            </w:r>
          </w:p>
        </w:tc>
        <w:tc>
          <w:tcPr>
            <w:tcW w:w="2840" w:type="dxa"/>
            <w:vAlign w:val="bottom"/>
          </w:tcPr>
          <w:p>
            <w:pPr>
              <w:ind w:left="40"/>
              <w:spacing w:after="0"/>
              <w:rPr>
                <w:sz w:val="20"/>
                <w:szCs w:val="20"/>
                <w:color w:val="auto"/>
              </w:rPr>
            </w:pPr>
            <w:r>
              <w:rPr>
                <w:rFonts w:ascii="Arial" w:cs="Arial" w:eastAsia="Arial" w:hAnsi="Arial"/>
                <w:sz w:val="18"/>
                <w:szCs w:val="18"/>
                <w:color w:val="auto"/>
              </w:rPr>
              <w:t>Redemption terms</w:t>
            </w:r>
          </w:p>
        </w:tc>
        <w:tc>
          <w:tcPr>
            <w:tcW w:w="620" w:type="dxa"/>
            <w:vAlign w:val="bottom"/>
          </w:tcPr>
          <w:p>
            <w:pPr>
              <w:spacing w:after="0"/>
              <w:rPr>
                <w:sz w:val="18"/>
                <w:szCs w:val="18"/>
                <w:color w:val="auto"/>
              </w:rPr>
            </w:pPr>
          </w:p>
        </w:tc>
        <w:tc>
          <w:tcPr>
            <w:tcW w:w="1800" w:type="dxa"/>
            <w:vAlign w:val="bottom"/>
          </w:tcPr>
          <w:p>
            <w:pPr>
              <w:ind w:left="80"/>
              <w:spacing w:after="0"/>
              <w:rPr>
                <w:sz w:val="20"/>
                <w:szCs w:val="20"/>
                <w:color w:val="auto"/>
              </w:rPr>
            </w:pPr>
            <w:r>
              <w:rPr>
                <w:rFonts w:ascii="Arial" w:cs="Arial" w:eastAsia="Arial" w:hAnsi="Arial"/>
                <w:sz w:val="18"/>
                <w:szCs w:val="18"/>
                <w:color w:val="auto"/>
              </w:rPr>
              <w:t>rights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940" w:type="dxa"/>
            <w:vAlign w:val="bottom"/>
          </w:tcPr>
          <w:p>
            <w:pPr>
              <w:ind w:left="820"/>
              <w:spacing w:after="0"/>
              <w:rPr>
                <w:sz w:val="20"/>
                <w:szCs w:val="20"/>
                <w:color w:val="auto"/>
              </w:rPr>
            </w:pPr>
            <w:r>
              <w:rPr>
                <w:rFonts w:ascii="Arial" w:cs="Arial" w:eastAsia="Arial" w:hAnsi="Arial"/>
                <w:sz w:val="18"/>
                <w:szCs w:val="18"/>
                <w:color w:val="auto"/>
              </w:rPr>
              <w:t>•</w:t>
            </w:r>
          </w:p>
        </w:tc>
        <w:tc>
          <w:tcPr>
            <w:tcW w:w="2840" w:type="dxa"/>
            <w:vAlign w:val="bottom"/>
          </w:tcPr>
          <w:p>
            <w:pPr>
              <w:ind w:left="40"/>
              <w:spacing w:after="0"/>
              <w:rPr>
                <w:sz w:val="20"/>
                <w:szCs w:val="20"/>
                <w:color w:val="auto"/>
              </w:rPr>
            </w:pPr>
            <w:r>
              <w:rPr>
                <w:rFonts w:ascii="Arial" w:cs="Arial" w:eastAsia="Arial" w:hAnsi="Arial"/>
                <w:sz w:val="18"/>
                <w:szCs w:val="18"/>
                <w:color w:val="auto"/>
              </w:rPr>
              <w:t>Listing on a securities exchange</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1800" w:type="dxa"/>
            <w:vAlign w:val="bottom"/>
          </w:tcPr>
          <w:p>
            <w:pPr>
              <w:ind w:left="40"/>
              <w:spacing w:after="0"/>
              <w:rPr>
                <w:sz w:val="20"/>
                <w:szCs w:val="20"/>
                <w:color w:val="auto"/>
              </w:rPr>
            </w:pPr>
            <w:r>
              <w:rPr>
                <w:rFonts w:ascii="Arial" w:cs="Arial" w:eastAsia="Arial" w:hAnsi="Arial"/>
                <w:sz w:val="18"/>
                <w:szCs w:val="18"/>
                <w:color w:val="auto"/>
              </w:rPr>
              <w:t>Liquidation amount</w:t>
            </w:r>
          </w:p>
        </w:tc>
      </w:tr>
      <w:tr>
        <w:trPr>
          <w:trHeight w:val="230"/>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ind w:left="40"/>
              <w:spacing w:after="0"/>
              <w:rPr>
                <w:sz w:val="20"/>
                <w:szCs w:val="20"/>
                <w:color w:val="auto"/>
              </w:rPr>
            </w:pPr>
            <w:r>
              <w:rPr>
                <w:rFonts w:ascii="Arial" w:cs="Arial" w:eastAsia="Arial" w:hAnsi="Arial"/>
                <w:sz w:val="18"/>
                <w:szCs w:val="18"/>
                <w:color w:val="auto"/>
              </w:rPr>
              <w:t>Currency of payments</w:t>
            </w:r>
          </w:p>
        </w:tc>
        <w:tc>
          <w:tcPr>
            <w:tcW w:w="3780" w:type="dxa"/>
            <w:vAlign w:val="bottom"/>
            <w:gridSpan w:val="2"/>
          </w:tcPr>
          <w:p>
            <w:pPr>
              <w:ind w:left="820"/>
              <w:spacing w:after="0"/>
              <w:rPr>
                <w:sz w:val="20"/>
                <w:szCs w:val="20"/>
                <w:color w:val="auto"/>
              </w:rPr>
            </w:pPr>
            <w:r>
              <w:rPr>
                <w:rFonts w:ascii="Arial" w:cs="Arial" w:eastAsia="Arial" w:hAnsi="Arial"/>
                <w:sz w:val="18"/>
                <w:szCs w:val="18"/>
                <w:color w:val="auto"/>
              </w:rPr>
              <w:t>• Amount payable at maturity</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1800" w:type="dxa"/>
            <w:vAlign w:val="bottom"/>
          </w:tcPr>
          <w:p>
            <w:pPr>
              <w:ind w:left="40"/>
              <w:spacing w:after="0"/>
              <w:rPr>
                <w:sz w:val="20"/>
                <w:szCs w:val="20"/>
                <w:color w:val="auto"/>
              </w:rPr>
            </w:pPr>
            <w:r>
              <w:rPr>
                <w:rFonts w:ascii="Arial" w:cs="Arial" w:eastAsia="Arial" w:hAnsi="Arial"/>
                <w:sz w:val="18"/>
                <w:szCs w:val="18"/>
                <w:color w:val="auto"/>
                <w:w w:val="97"/>
              </w:rPr>
              <w:t>Subsidiary guarantees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77470</wp:posOffset>
            </wp:positionV>
            <wp:extent cx="63030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164" w:lineRule="exact"/>
        <w:rPr>
          <w:sz w:val="20"/>
          <w:szCs w:val="20"/>
          <w:color w:val="auto"/>
        </w:rPr>
      </w:pPr>
    </w:p>
    <w:p>
      <w:pPr>
        <w:ind w:left="700" w:right="160" w:firstLine="225"/>
        <w:spacing w:after="0" w:line="282" w:lineRule="auto"/>
        <w:rPr>
          <w:sz w:val="20"/>
          <w:szCs w:val="20"/>
          <w:color w:val="auto"/>
        </w:rPr>
      </w:pPr>
      <w:r>
        <w:rPr>
          <w:rFonts w:ascii="Arial" w:cs="Arial" w:eastAsia="Arial" w:hAnsi="Arial"/>
          <w:sz w:val="18"/>
          <w:szCs w:val="18"/>
          <w:b w:val="1"/>
          <w:bCs w:val="1"/>
          <w:color w:val="auto"/>
        </w:rPr>
        <w:t>Investing in these securities involves certain risks. See “Item 1A — Risk Factors” beginning on page 18 of our annual report on Form 10-K for the year ended December 31, 2005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54610</wp:posOffset>
            </wp:positionV>
            <wp:extent cx="63030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128" w:lineRule="exact"/>
        <w:rPr>
          <w:sz w:val="20"/>
          <w:szCs w:val="20"/>
          <w:color w:val="auto"/>
        </w:rPr>
      </w:pPr>
    </w:p>
    <w:p>
      <w:pPr>
        <w:ind w:left="700" w:right="20" w:firstLine="225"/>
        <w:spacing w:after="0" w:line="347" w:lineRule="auto"/>
        <w:rPr>
          <w:sz w:val="20"/>
          <w:szCs w:val="20"/>
          <w:color w:val="auto"/>
        </w:rPr>
      </w:pPr>
      <w:r>
        <w:rPr>
          <w:rFonts w:ascii="Arial" w:cs="Arial" w:eastAsia="Arial" w:hAnsi="Arial"/>
          <w:sz w:val="16"/>
          <w:szCs w:val="16"/>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34290</wp:posOffset>
            </wp:positionV>
            <wp:extent cx="63030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100" w:lineRule="exact"/>
        <w:rPr>
          <w:sz w:val="20"/>
          <w:szCs w:val="20"/>
          <w:color w:val="auto"/>
        </w:rPr>
      </w:pPr>
    </w:p>
    <w:p>
      <w:pPr>
        <w:ind w:left="700" w:firstLine="222"/>
        <w:spacing w:after="0" w:line="286" w:lineRule="auto"/>
        <w:rPr>
          <w:sz w:val="20"/>
          <w:szCs w:val="20"/>
          <w:color w:val="auto"/>
        </w:rPr>
      </w:pPr>
      <w:r>
        <w:rPr>
          <w:rFonts w:ascii="Arial" w:cs="Arial" w:eastAsia="Arial" w:hAnsi="Arial"/>
          <w:sz w:val="17"/>
          <w:szCs w:val="17"/>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7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date of this prospectus is March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250430" cy="4109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410972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700" w:type="dxa"/>
            <w:vAlign w:val="bottom"/>
            <w:gridSpan w:val="2"/>
          </w:tcPr>
          <w:p>
            <w:pPr>
              <w:ind w:left="48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r>
      <w:tr>
        <w:trPr>
          <w:trHeight w:val="284"/>
        </w:trPr>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9500" w:type="dxa"/>
            <w:vAlign w:val="bottom"/>
            <w:gridSpan w:val="1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The Companies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9500" w:type="dxa"/>
            <w:vAlign w:val="bottom"/>
            <w:gridSpan w:val="1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Caution Concerning 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4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Use of Proceeds</w:t>
              </w:r>
            </w:hyperlink>
          </w:p>
        </w:tc>
        <w:tc>
          <w:tcPr>
            <w:tcW w:w="60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9500" w:type="dxa"/>
            <w:vAlign w:val="bottom"/>
            <w:gridSpan w:val="1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Dividend Policy</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9500" w:type="dxa"/>
            <w:vAlign w:val="bottom"/>
            <w:gridSpan w:val="1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Ratios of Earnings to Fixed Charges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51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Ratio of Earnings to Combined Fixed Charges and Preferred Dividends</w:t>
              </w:r>
            </w:hyperlink>
          </w:p>
        </w:tc>
        <w:tc>
          <w:tcPr>
            <w:tcW w:w="43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9500" w:type="dxa"/>
            <w:vAlign w:val="bottom"/>
            <w:gridSpan w:val="14"/>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Debt Securities and Cable Guarantees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Global Securities</w:t>
              </w:r>
            </w:hyperlink>
          </w:p>
        </w:tc>
        <w:tc>
          <w:tcPr>
            <w:tcW w:w="2560" w:type="dxa"/>
            <w:vAlign w:val="bottom"/>
            <w:tcBorders>
              <w:top w:val="single" w:sz="8" w:color="0000EE"/>
            </w:tcBorders>
            <w:gridSpan w:val="7"/>
          </w:tcPr>
          <w:p>
            <w:pPr>
              <w:spacing w:after="0"/>
              <w:rPr>
                <w:sz w:val="17"/>
                <w:szCs w:val="17"/>
                <w:color w:val="auto"/>
              </w:rPr>
            </w:pPr>
          </w:p>
        </w:tc>
        <w:tc>
          <w:tcPr>
            <w:tcW w:w="57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9500" w:type="dxa"/>
            <w:vAlign w:val="bottom"/>
            <w:gridSpan w:val="1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Description of Capital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20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Plan of Distribution</w:t>
              </w:r>
            </w:hyperlink>
          </w:p>
        </w:tc>
        <w:tc>
          <w:tcPr>
            <w:tcW w:w="746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Legal Matters</w:t>
              </w:r>
            </w:hyperlink>
          </w:p>
        </w:tc>
        <w:tc>
          <w:tcPr>
            <w:tcW w:w="420" w:type="dxa"/>
            <w:vAlign w:val="bottom"/>
            <w:tcBorders>
              <w:top w:val="single" w:sz="8" w:color="0000EE"/>
            </w:tcBorders>
            <w:gridSpan w:val="4"/>
          </w:tcPr>
          <w:p>
            <w:pPr>
              <w:spacing w:after="0"/>
              <w:rPr>
                <w:sz w:val="17"/>
                <w:szCs w:val="17"/>
                <w:color w:val="auto"/>
              </w:rPr>
            </w:pPr>
          </w:p>
        </w:tc>
        <w:tc>
          <w:tcPr>
            <w:tcW w:w="808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9500" w:type="dxa"/>
            <w:vAlign w:val="bottom"/>
            <w:gridSpan w:val="1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Experts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9500" w:type="dxa"/>
            <w:vAlign w:val="bottom"/>
            <w:gridSpan w:val="1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Available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580" w:type="dxa"/>
            <w:vAlign w:val="bottom"/>
            <w:gridSpan w:val="7"/>
            <w:shd w:val="clear" w:color="auto" w:fill="0000EE"/>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9500" w:type="dxa"/>
            <w:vAlign w:val="bottom"/>
            <w:gridSpan w:val="1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Incorporation of Certain Documents by Reference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88" w:lineRule="exact"/>
        <w:rPr>
          <w:sz w:val="20"/>
          <w:szCs w:val="20"/>
          <w:color w:val="auto"/>
        </w:rPr>
      </w:pPr>
    </w:p>
    <w:p>
      <w:pPr>
        <w:ind w:right="80" w:firstLine="397"/>
        <w:spacing w:after="0" w:line="259"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92"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color w:val="auto"/>
        </w:rPr>
        <w:t>We refer to Comcast Corporation in this prospectus as “Comcast” or “we,” “us,” “our” or comparable terms and to Comcast Holdings Corporation as “Comcast Holdings.” We refer to Comcast Cable Communications, LLC, Comcast Cable Communications Holdings, Inc., Comcast Cable Holdings, LLC, Comcast MO Group, Inc. and Comcast MO of Delaware, LLC collectively as the “Cable Guarantors.”</w:t>
      </w: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20"/>
          </w:cols>
          <w:pgMar w:left="940" w:top="931" w:right="11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THE COMPANIES</w:t>
      </w:r>
    </w:p>
    <w:p>
      <w:pPr>
        <w:spacing w:after="0" w:line="23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Comcast Corporation</w:t>
      </w:r>
    </w:p>
    <w:p>
      <w:pPr>
        <w:spacing w:after="0" w:line="135" w:lineRule="exact"/>
        <w:rPr>
          <w:sz w:val="20"/>
          <w:szCs w:val="20"/>
          <w:color w:val="auto"/>
        </w:rPr>
      </w:pPr>
    </w:p>
    <w:p>
      <w:pPr>
        <w:ind w:left="920" w:firstLine="397"/>
        <w:spacing w:after="0" w:line="257" w:lineRule="auto"/>
        <w:rPr>
          <w:sz w:val="20"/>
          <w:szCs w:val="20"/>
          <w:color w:val="auto"/>
        </w:rPr>
      </w:pPr>
      <w:r>
        <w:rPr>
          <w:rFonts w:ascii="Arial" w:cs="Arial" w:eastAsia="Arial" w:hAnsi="Arial"/>
          <w:sz w:val="18"/>
          <w:szCs w:val="18"/>
          <w:color w:val="auto"/>
        </w:rPr>
        <w:t>We are the largest broadband cable provider in the United States and offer a wide variety of consumer entertainment and communication products and services. As of December 31, 2005, we served more than 21 million video subscribers, 8 million high-speed Internet subscribers and 1 million phone subscribers. We were incorporated under the laws of Pennsylvania in December 2001. Through our predecessors (including our immediate predecessor Comcast Holdings), we have developed, managed and operated broadband cable systems since 1963.</w:t>
      </w:r>
    </w:p>
    <w:p>
      <w:pPr>
        <w:spacing w:after="0" w:line="94" w:lineRule="exact"/>
        <w:rPr>
          <w:sz w:val="20"/>
          <w:szCs w:val="20"/>
          <w:color w:val="auto"/>
        </w:rPr>
      </w:pPr>
    </w:p>
    <w:p>
      <w:pPr>
        <w:ind w:left="920" w:right="160" w:firstLine="397"/>
        <w:spacing w:after="0" w:line="277" w:lineRule="auto"/>
        <w:rPr>
          <w:sz w:val="20"/>
          <w:szCs w:val="20"/>
          <w:color w:val="auto"/>
        </w:rPr>
      </w:pPr>
      <w:r>
        <w:rPr>
          <w:rFonts w:ascii="Arial" w:cs="Arial" w:eastAsia="Arial" w:hAnsi="Arial"/>
          <w:sz w:val="18"/>
          <w:szCs w:val="18"/>
          <w:color w:val="auto"/>
        </w:rPr>
        <w:t>We manage our operations through two reportable segments, “Cable” and “Content”. The Cable segment generates approximately 95% of our consolidated revenues.</w:t>
      </w:r>
    </w:p>
    <w:p>
      <w:pPr>
        <w:spacing w:after="0" w:line="76" w:lineRule="exact"/>
        <w:rPr>
          <w:sz w:val="20"/>
          <w:szCs w:val="20"/>
          <w:color w:val="auto"/>
        </w:rPr>
      </w:pPr>
    </w:p>
    <w:p>
      <w:pPr>
        <w:ind w:left="920" w:right="160" w:firstLine="397"/>
        <w:spacing w:after="0" w:line="277" w:lineRule="auto"/>
        <w:rPr>
          <w:sz w:val="20"/>
          <w:szCs w:val="20"/>
          <w:color w:val="auto"/>
        </w:rPr>
      </w:pPr>
      <w:r>
        <w:rPr>
          <w:rFonts w:ascii="Arial" w:cs="Arial" w:eastAsia="Arial" w:hAnsi="Arial"/>
          <w:sz w:val="18"/>
          <w:szCs w:val="18"/>
          <w:color w:val="auto"/>
        </w:rPr>
        <w:t>Our Cable segment develops, manages and operates our broadband cable systems, including video, high-speed Internet and phone services.</w:t>
      </w:r>
    </w:p>
    <w:p>
      <w:pPr>
        <w:spacing w:after="0" w:line="76" w:lineRule="exact"/>
        <w:rPr>
          <w:sz w:val="20"/>
          <w:szCs w:val="20"/>
          <w:color w:val="auto"/>
        </w:rPr>
      </w:pPr>
    </w:p>
    <w:p>
      <w:pPr>
        <w:ind w:left="920" w:right="360" w:firstLine="397"/>
        <w:spacing w:after="0" w:line="277" w:lineRule="auto"/>
        <w:rPr>
          <w:sz w:val="20"/>
          <w:szCs w:val="20"/>
          <w:color w:val="auto"/>
        </w:rPr>
      </w:pPr>
      <w:r>
        <w:rPr>
          <w:rFonts w:ascii="Arial" w:cs="Arial" w:eastAsia="Arial" w:hAnsi="Arial"/>
          <w:sz w:val="18"/>
          <w:szCs w:val="18"/>
          <w:color w:val="auto"/>
        </w:rPr>
        <w:t>Our Content segment includes our six national cable networks: E! Entertainment Television, Style Network, The Golf Channel, OLN, G4, and AZN Television.</w:t>
      </w:r>
    </w:p>
    <w:p>
      <w:pPr>
        <w:spacing w:after="0" w:line="76" w:lineRule="exact"/>
        <w:rPr>
          <w:sz w:val="20"/>
          <w:szCs w:val="20"/>
          <w:color w:val="auto"/>
        </w:rPr>
      </w:pPr>
    </w:p>
    <w:p>
      <w:pPr>
        <w:ind w:left="920" w:right="160" w:firstLine="397"/>
        <w:spacing w:after="0" w:line="308" w:lineRule="auto"/>
        <w:rPr>
          <w:sz w:val="20"/>
          <w:szCs w:val="20"/>
          <w:color w:val="auto"/>
        </w:rPr>
      </w:pPr>
      <w:r>
        <w:rPr>
          <w:rFonts w:ascii="Arial" w:cs="Arial" w:eastAsia="Arial" w:hAnsi="Arial"/>
          <w:sz w:val="17"/>
          <w:szCs w:val="17"/>
          <w:color w:val="auto"/>
        </w:rPr>
        <w:t>Our other business interests include Comcast Spectacor, which owns the Philadelphia Flyers, the Philadelphia 76ers and two large multipurpose arenas in Philadelphia, and manages other facilities for sporting events, concerts and other events.</w:t>
      </w:r>
    </w:p>
    <w:p>
      <w:pPr>
        <w:spacing w:after="0" w:line="52" w:lineRule="exact"/>
        <w:rPr>
          <w:sz w:val="20"/>
          <w:szCs w:val="20"/>
          <w:color w:val="auto"/>
        </w:rPr>
      </w:pPr>
    </w:p>
    <w:p>
      <w:pPr>
        <w:jc w:val="both"/>
        <w:ind w:left="920" w:right="260" w:firstLine="397"/>
        <w:spacing w:after="0" w:line="286" w:lineRule="auto"/>
        <w:rPr>
          <w:sz w:val="20"/>
          <w:szCs w:val="20"/>
          <w:color w:val="auto"/>
        </w:rPr>
      </w:pPr>
      <w:r>
        <w:rPr>
          <w:rFonts w:ascii="Arial" w:cs="Arial" w:eastAsia="Arial" w:hAnsi="Arial"/>
          <w:sz w:val="17"/>
          <w:szCs w:val="17"/>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 in the accompanying prospectus.</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Cable Guarantors</w:t>
      </w:r>
    </w:p>
    <w:p>
      <w:pPr>
        <w:spacing w:after="0" w:line="135" w:lineRule="exact"/>
        <w:rPr>
          <w:sz w:val="20"/>
          <w:szCs w:val="20"/>
          <w:color w:val="auto"/>
        </w:rPr>
      </w:pPr>
    </w:p>
    <w:p>
      <w:pPr>
        <w:ind w:left="920" w:right="80" w:firstLine="397"/>
        <w:spacing w:after="0" w:line="273" w:lineRule="auto"/>
        <w:rPr>
          <w:sz w:val="20"/>
          <w:szCs w:val="20"/>
          <w:color w:val="auto"/>
        </w:rPr>
      </w:pPr>
      <w:r>
        <w:rPr>
          <w:rFonts w:ascii="Arial" w:cs="Arial" w:eastAsia="Arial" w:hAnsi="Arial"/>
          <w:sz w:val="17"/>
          <w:szCs w:val="17"/>
          <w:color w:val="auto"/>
        </w:rPr>
        <w:t>Our obligations, including the payment of principal, premium, if any, and interest on the debt securities issued pursuant to this prospectus will be fully and unconditionally guaranteed by each of Comcast Cable, Comcast Cable Communications Holdings, Comcast Cable Holdings, Comcast MO Group and Comcast MO of Delaware. In this prospectus, we refer to these guarantors as the cable guarantors and to these guarantees as the cable guarantees. We have numerous other subsidiaries that will not be guarantors on the debt securities. If indicated in the relevant prospectus supplement, our obligations under the other securities we are offering and selling may be fully and unconditionally guaranteed by specified cable guarantors.</w:t>
      </w:r>
    </w:p>
    <w:p>
      <w:pPr>
        <w:spacing w:after="0" w:line="8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31" w:lineRule="exact"/>
        <w:rPr>
          <w:sz w:val="20"/>
          <w:szCs w:val="20"/>
          <w:color w:val="auto"/>
        </w:rPr>
      </w:pPr>
    </w:p>
    <w:p>
      <w:pPr>
        <w:ind w:left="1620" w:hanging="293"/>
        <w:spacing w:after="0" w:line="277"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62" w:lineRule="exact"/>
        <w:rPr>
          <w:rFonts w:ascii="Arial" w:cs="Arial" w:eastAsia="Arial" w:hAnsi="Arial"/>
          <w:sz w:val="18"/>
          <w:szCs w:val="18"/>
          <w:color w:val="auto"/>
        </w:rPr>
      </w:pPr>
    </w:p>
    <w:p>
      <w:pPr>
        <w:ind w:left="1620" w:right="120" w:hanging="293"/>
        <w:spacing w:after="0" w:line="277"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any payment of principal, interest or premium, if any, on or repay, repurchase or redeem any debt securities of that cable guarantor.</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131" w:lineRule="exact"/>
        <w:rPr>
          <w:sz w:val="20"/>
          <w:szCs w:val="20"/>
          <w:color w:val="auto"/>
        </w:rPr>
      </w:pPr>
    </w:p>
    <w:p>
      <w:pPr>
        <w:ind w:left="920" w:right="140" w:firstLine="397"/>
        <w:spacing w:after="0" w:line="277"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wholly-owned subsidiary of ours.</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131"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Comcast Cable Communications Holdings is a Delaware corporation (formerly known as AT&amp;T Broadband Corp.) incorporated in</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2001 and a wholly-owned subsidiary of ours.</w:t>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131"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Comcast Cable Holdings is a Delaware limited liability company (formerly known as AT&amp;T Broadband, LLC) formed in 1994.</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Cable Holdings is a wholly-owned subsidiary of Comcast Cable Communications Holdings.</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131" w:lineRule="exact"/>
        <w:rPr>
          <w:sz w:val="20"/>
          <w:szCs w:val="20"/>
          <w:color w:val="auto"/>
        </w:rPr>
      </w:pPr>
    </w:p>
    <w:p>
      <w:pPr>
        <w:ind w:left="920" w:right="120" w:firstLine="397"/>
        <w:spacing w:after="0" w:line="277"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wholly-owned subsidiary of Comcast Cable Communications Holdings.</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131" w:lineRule="exact"/>
        <w:rPr>
          <w:sz w:val="20"/>
          <w:szCs w:val="20"/>
          <w:color w:val="auto"/>
        </w:rPr>
      </w:pPr>
    </w:p>
    <w:p>
      <w:pPr>
        <w:ind w:left="920" w:right="400" w:firstLine="397"/>
        <w:spacing w:after="0" w:line="308" w:lineRule="auto"/>
        <w:rPr>
          <w:sz w:val="20"/>
          <w:szCs w:val="20"/>
          <w:color w:val="auto"/>
        </w:rPr>
      </w:pPr>
      <w:r>
        <w:rPr>
          <w:rFonts w:ascii="Arial" w:cs="Arial" w:eastAsia="Arial" w:hAnsi="Arial"/>
          <w:sz w:val="17"/>
          <w:szCs w:val="17"/>
          <w:color w:val="auto"/>
        </w:rPr>
        <w:t>Comcast MO of Delaware, which was incorporated in 1996 as a Delaware corporation, became a Delaware limited liability company in 2003. Comcast MO of Delaware is an indirect wholly-owned subsidiary of Comcast MO Group.</w:t>
      </w:r>
    </w:p>
    <w:p>
      <w:pPr>
        <w:spacing w:after="0" w:line="200" w:lineRule="exact"/>
        <w:rPr>
          <w:sz w:val="20"/>
          <w:szCs w:val="20"/>
          <w:color w:val="auto"/>
        </w:rPr>
      </w:pPr>
    </w:p>
    <w:p>
      <w:pPr>
        <w:spacing w:after="0" w:line="217" w:lineRule="exact"/>
        <w:rPr>
          <w:sz w:val="20"/>
          <w:szCs w:val="20"/>
          <w:color w:val="auto"/>
        </w:rPr>
      </w:pPr>
    </w:p>
    <w:p>
      <w:pPr>
        <w:ind w:left="920" w:firstLine="397"/>
        <w:spacing w:after="0" w:line="264" w:lineRule="auto"/>
        <w:rPr>
          <w:sz w:val="20"/>
          <w:szCs w:val="20"/>
          <w:color w:val="auto"/>
        </w:rPr>
      </w:pPr>
      <w:r>
        <w:rPr>
          <w:rFonts w:ascii="Arial" w:cs="Arial" w:eastAsia="Arial" w:hAnsi="Arial"/>
          <w:sz w:val="18"/>
          <w:szCs w:val="18"/>
          <w:color w:val="auto"/>
        </w:rPr>
        <w:t>Our principal executive offices are located at 1500 Market Street, Philadelphia, Pennsylvania 19102-2148, and our telephone number is (215) 665-1700. We maintain a website at http://www.comcast.com where general information about us is available. We are not incorporating the contents of the website into this prospectus.</w:t>
      </w:r>
    </w:p>
    <w:p>
      <w:pPr>
        <w:spacing w:after="0" w:line="8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Each cable guarantor’s principal place of business is 1500 Market Street, Philadelphia, Pennsylvania 19102-2148.</w:t>
      </w:r>
    </w:p>
    <w:p>
      <w:pPr>
        <w:sectPr>
          <w:pgSz w:w="11900" w:h="16838" w:orient="portrait"/>
          <w:cols w:equalWidth="0" w:num="1">
            <w:col w:w="10600"/>
          </w:cols>
          <w:pgMar w:left="240" w:top="419"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1080" w:right="2320" w:firstLine="1916"/>
        <w:spacing w:after="0" w:line="393" w:lineRule="auto"/>
        <w:rPr>
          <w:sz w:val="20"/>
          <w:szCs w:val="20"/>
          <w:color w:val="auto"/>
        </w:rPr>
      </w:pPr>
      <w:r>
        <w:rPr>
          <w:rFonts w:ascii="Arial" w:cs="Arial" w:eastAsia="Arial" w:hAnsi="Arial"/>
          <w:sz w:val="18"/>
          <w:szCs w:val="18"/>
          <w:b w:val="1"/>
          <w:bCs w:val="1"/>
          <w:color w:val="auto"/>
        </w:rPr>
        <w:t xml:space="preserve">CAUTION CONCERNING FORWARD-LOOKING STATEMENTS </w:t>
      </w:r>
      <w:r>
        <w:rPr>
          <w:rFonts w:ascii="Arial" w:cs="Arial" w:eastAsia="Arial" w:hAnsi="Arial"/>
          <w:sz w:val="18"/>
          <w:szCs w:val="18"/>
          <w:color w:val="auto"/>
        </w:rPr>
        <w:t>Our businesses may be affected by, among other things, the following:</w:t>
      </w:r>
    </w:p>
    <w:p>
      <w:pPr>
        <w:spacing w:after="0" w:line="1" w:lineRule="exact"/>
        <w:rPr>
          <w:sz w:val="20"/>
          <w:szCs w:val="20"/>
          <w:color w:val="auto"/>
        </w:rPr>
      </w:pPr>
    </w:p>
    <w:p>
      <w:pPr>
        <w:ind w:left="1400" w:right="180" w:hanging="302"/>
        <w:spacing w:after="0" w:line="277"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the services offered by our cable systems face a wide range of competition that could adversely affect our future results of operations.</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Programming costs are increasing, which could adversely affect our future results of operations.</w:t>
      </w:r>
    </w:p>
    <w:p>
      <w:pPr>
        <w:spacing w:after="0" w:line="117" w:lineRule="exact"/>
        <w:rPr>
          <w:rFonts w:ascii="Arial" w:cs="Arial" w:eastAsia="Arial" w:hAnsi="Arial"/>
          <w:sz w:val="18"/>
          <w:szCs w:val="18"/>
          <w:color w:val="auto"/>
        </w:rPr>
      </w:pPr>
    </w:p>
    <w:p>
      <w:pPr>
        <w:ind w:left="1400" w:right="720" w:hanging="302"/>
        <w:spacing w:after="0" w:line="277"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change and cause increased costs and restrictions.</w:t>
      </w:r>
    </w:p>
    <w:p>
      <w:pPr>
        <w:spacing w:after="0" w:line="62" w:lineRule="exact"/>
        <w:rPr>
          <w:rFonts w:ascii="Arial" w:cs="Arial" w:eastAsia="Arial" w:hAnsi="Arial"/>
          <w:sz w:val="18"/>
          <w:szCs w:val="18"/>
          <w:color w:val="auto"/>
        </w:rPr>
      </w:pPr>
    </w:p>
    <w:p>
      <w:pPr>
        <w:ind w:left="1400" w:right="380" w:hanging="302"/>
        <w:spacing w:after="0" w:line="277"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changing regulatory requirements, which could adversely affect our future results of operations.</w:t>
      </w:r>
    </w:p>
    <w:p>
      <w:pPr>
        <w:spacing w:after="0" w:line="62" w:lineRule="exact"/>
        <w:rPr>
          <w:rFonts w:ascii="Arial" w:cs="Arial" w:eastAsia="Arial" w:hAnsi="Arial"/>
          <w:sz w:val="18"/>
          <w:szCs w:val="18"/>
          <w:color w:val="auto"/>
        </w:rPr>
      </w:pPr>
    </w:p>
    <w:p>
      <w:pPr>
        <w:ind w:left="1400" w:right="440" w:hanging="302"/>
        <w:spacing w:after="0" w:line="277"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 including litigation associated with our acquisition of AT&amp;T’s Broadband operations.</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Chairman and CEO has considerable influence over our operations.</w:t>
      </w:r>
    </w:p>
    <w:p>
      <w:pPr>
        <w:spacing w:after="0" w:line="117" w:lineRule="exact"/>
        <w:rPr>
          <w:rFonts w:ascii="Arial" w:cs="Arial" w:eastAsia="Arial" w:hAnsi="Arial"/>
          <w:sz w:val="18"/>
          <w:szCs w:val="18"/>
          <w:color w:val="auto"/>
        </w:rPr>
      </w:pPr>
    </w:p>
    <w:p>
      <w:pPr>
        <w:ind w:left="1400" w:right="240" w:hanging="302"/>
        <w:spacing w:after="0" w:line="277" w:lineRule="auto"/>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76" w:lineRule="exact"/>
        <w:rPr>
          <w:sz w:val="20"/>
          <w:szCs w:val="20"/>
          <w:color w:val="auto"/>
        </w:rPr>
      </w:pPr>
    </w:p>
    <w:p>
      <w:pPr>
        <w:ind w:left="700" w:right="100" w:firstLine="397"/>
        <w:spacing w:after="0" w:line="285" w:lineRule="auto"/>
        <w:rPr>
          <w:sz w:val="20"/>
          <w:szCs w:val="20"/>
          <w:color w:val="auto"/>
        </w:rPr>
      </w:pPr>
      <w:r>
        <w:rPr>
          <w:rFonts w:ascii="Arial" w:cs="Arial" w:eastAsia="Arial" w:hAnsi="Arial"/>
          <w:sz w:val="16"/>
          <w:szCs w:val="16"/>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“Item 1A — Risk Factors” in our Annual Report on Form 10-K for the year ended December 31, 2005 incorporated herein by reference.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Those factors may cause our actual results to differ materially from any of our forward-looking statements.</w:t>
      </w:r>
    </w:p>
    <w:p>
      <w:pPr>
        <w:spacing w:after="0" w:line="328"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304"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DIVIDEND POLICY</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343" w:lineRule="exact"/>
        <w:rPr>
          <w:sz w:val="20"/>
          <w:szCs w:val="20"/>
          <w:color w:val="auto"/>
        </w:rPr>
      </w:pPr>
    </w:p>
    <w:p>
      <w:pPr>
        <w:jc w:val="right"/>
        <w:ind w:left="1080" w:right="3060"/>
        <w:spacing w:after="0" w:line="396" w:lineRule="auto"/>
        <w:rPr>
          <w:sz w:val="20"/>
          <w:szCs w:val="20"/>
          <w:color w:val="auto"/>
        </w:rPr>
      </w:pPr>
      <w:r>
        <w:rPr>
          <w:rFonts w:ascii="Arial" w:cs="Arial" w:eastAsia="Arial" w:hAnsi="Arial"/>
          <w:sz w:val="18"/>
          <w:szCs w:val="18"/>
          <w:b w:val="1"/>
          <w:bCs w:val="1"/>
          <w:color w:val="auto"/>
        </w:rPr>
        <w:t xml:space="preserve">RATIOS OF EARNINGS TO FIXED CHARGES </w:t>
      </w:r>
      <w:r>
        <w:rPr>
          <w:rFonts w:ascii="Arial" w:cs="Arial" w:eastAsia="Arial" w:hAnsi="Arial"/>
          <w:sz w:val="18"/>
          <w:szCs w:val="18"/>
          <w:color w:val="auto"/>
        </w:rPr>
        <w:t>Our ratio of earnings to fixed charges was as follows for the respective periods indicated:</w:t>
      </w:r>
    </w:p>
    <w:p>
      <w:pPr>
        <w:spacing w:after="0" w:line="1" w:lineRule="exact"/>
        <w:rPr>
          <w:sz w:val="20"/>
          <w:szCs w:val="20"/>
          <w:color w:val="auto"/>
        </w:rPr>
      </w:pPr>
    </w:p>
    <w:p>
      <w:pPr>
        <w:ind w:left="4580"/>
        <w:spacing w:after="0"/>
        <w:rPr>
          <w:sz w:val="20"/>
          <w:szCs w:val="20"/>
          <w:color w:val="auto"/>
        </w:rPr>
      </w:pPr>
      <w:r>
        <w:rPr>
          <w:rFonts w:ascii="Arial" w:cs="Arial" w:eastAsia="Arial" w:hAnsi="Arial"/>
          <w:sz w:val="14"/>
          <w:szCs w:val="14"/>
          <w:b w:val="1"/>
          <w:bCs w:val="1"/>
          <w:color w:val="auto"/>
        </w:rPr>
        <w:t>For the Years Ended December 31,</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42"/>
        </w:trPr>
        <w:tc>
          <w:tcPr>
            <w:tcW w:w="920" w:type="dxa"/>
            <w:vAlign w:val="bottom"/>
            <w:tcBorders>
              <w:top w:val="single" w:sz="8" w:color="auto"/>
            </w:tcBorders>
          </w:tcPr>
          <w:p>
            <w:pPr>
              <w:jc w:val="right"/>
              <w:ind w:right="559"/>
              <w:spacing w:after="0" w:line="142" w:lineRule="exact"/>
              <w:rPr>
                <w:sz w:val="20"/>
                <w:szCs w:val="20"/>
                <w:color w:val="auto"/>
              </w:rPr>
            </w:pPr>
            <w:r>
              <w:rPr>
                <w:rFonts w:ascii="Arial" w:cs="Arial" w:eastAsia="Arial" w:hAnsi="Arial"/>
                <w:sz w:val="14"/>
                <w:szCs w:val="14"/>
                <w:b w:val="1"/>
                <w:bCs w:val="1"/>
                <w:color w:val="auto"/>
                <w:w w:val="83"/>
              </w:rPr>
              <w:t>2005</w:t>
            </w:r>
          </w:p>
        </w:tc>
        <w:tc>
          <w:tcPr>
            <w:tcW w:w="22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2004</w:t>
            </w:r>
          </w:p>
        </w:tc>
        <w:tc>
          <w:tcPr>
            <w:tcW w:w="22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2003</w:t>
            </w:r>
          </w:p>
        </w:tc>
        <w:tc>
          <w:tcPr>
            <w:tcW w:w="22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2002</w:t>
            </w:r>
          </w:p>
        </w:tc>
        <w:tc>
          <w:tcPr>
            <w:tcW w:w="22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2001</w:t>
            </w:r>
          </w:p>
        </w:tc>
      </w:tr>
      <w:tr>
        <w:trPr>
          <w:trHeight w:val="264"/>
        </w:trPr>
        <w:tc>
          <w:tcPr>
            <w:tcW w:w="920" w:type="dxa"/>
            <w:vAlign w:val="bottom"/>
            <w:tcBorders>
              <w:top w:val="single" w:sz="8" w:color="auto"/>
            </w:tcBorders>
          </w:tcPr>
          <w:p>
            <w:pPr>
              <w:jc w:val="right"/>
              <w:ind w:right="179"/>
              <w:spacing w:after="0"/>
              <w:rPr>
                <w:sz w:val="20"/>
                <w:szCs w:val="20"/>
                <w:color w:val="auto"/>
              </w:rPr>
            </w:pPr>
            <w:r>
              <w:rPr>
                <w:rFonts w:ascii="Arial" w:cs="Arial" w:eastAsia="Arial" w:hAnsi="Arial"/>
                <w:sz w:val="18"/>
                <w:szCs w:val="18"/>
                <w:color w:val="auto"/>
              </w:rPr>
              <w:t>2.01x</w:t>
            </w:r>
          </w:p>
        </w:tc>
        <w:tc>
          <w:tcPr>
            <w:tcW w:w="1660" w:type="dxa"/>
            <w:vAlign w:val="bottom"/>
          </w:tcPr>
          <w:p>
            <w:pPr>
              <w:spacing w:after="0"/>
              <w:rPr>
                <w:sz w:val="22"/>
                <w:szCs w:val="22"/>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1.97x</w:t>
            </w:r>
          </w:p>
        </w:tc>
        <w:tc>
          <w:tcPr>
            <w:tcW w:w="1660" w:type="dxa"/>
            <w:vAlign w:val="bottom"/>
          </w:tcPr>
          <w:p>
            <w:pPr>
              <w:spacing w:after="0"/>
              <w:rPr>
                <w:sz w:val="22"/>
                <w:szCs w:val="22"/>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660" w:type="dxa"/>
            <w:vAlign w:val="bottom"/>
          </w:tcPr>
          <w:p>
            <w:pPr>
              <w:spacing w:after="0"/>
              <w:rPr>
                <w:sz w:val="22"/>
                <w:szCs w:val="22"/>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660" w:type="dxa"/>
            <w:vAlign w:val="bottom"/>
          </w:tcPr>
          <w:p>
            <w:pPr>
              <w:spacing w:after="0"/>
              <w:rPr>
                <w:sz w:val="22"/>
                <w:szCs w:val="22"/>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1.33x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13804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82" w:lineRule="exact"/>
        <w:rPr>
          <w:sz w:val="20"/>
          <w:szCs w:val="20"/>
          <w:color w:val="auto"/>
        </w:rPr>
      </w:pPr>
    </w:p>
    <w:p>
      <w:pPr>
        <w:ind w:left="1100" w:right="240" w:hanging="407"/>
        <w:spacing w:after="0" w:line="277"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 years ended December 31, 2003 and 2002, we had a $76 million and $490 million deficiency, respectively, of earnings to fixed charges.</w:t>
      </w:r>
    </w:p>
    <w:p>
      <w:pPr>
        <w:spacing w:after="0" w:line="76"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For purposes of calculating the ratio of earnings to fixed charges, earnings is the amount resulting from (1) adding (a) pretax income from continuing operations before adjustment for minority interests in consolidated subsidiaries or income or loss from equity investees, (b) fixed charges, (c) amortization of capitalized interest, (d) distributed income of equity investees and (e) our share of pre-tax losses of equity</w:t>
      </w:r>
    </w:p>
    <w:p>
      <w:pPr>
        <w:spacing w:after="0" w:line="3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investees for which charges arising from guarantees are included in fixed charges and (2) subtracting (i) interest capitalized,</w:t>
      </w:r>
    </w:p>
    <w:p>
      <w:pPr>
        <w:spacing w:after="0" w:line="23" w:lineRule="exact"/>
        <w:rPr>
          <w:sz w:val="20"/>
          <w:szCs w:val="20"/>
          <w:color w:val="auto"/>
        </w:rPr>
      </w:pPr>
    </w:p>
    <w:p>
      <w:pPr>
        <w:ind w:left="700" w:right="60" w:hanging="7"/>
        <w:spacing w:after="0" w:line="253" w:lineRule="auto"/>
        <w:tabs>
          <w:tab w:leader="none" w:pos="9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preference security dividend requirements of consolidated subsidiaries and (iii) the minority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30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RATIOS OF EARNINGS TO COMBINED FIXED CHARGES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AND PREFERRED DIVIDENDS</w:t>
      </w:r>
    </w:p>
    <w:p>
      <w:pPr>
        <w:spacing w:after="0" w:line="121" w:lineRule="exact"/>
        <w:rPr>
          <w:sz w:val="20"/>
          <w:szCs w:val="20"/>
          <w:color w:val="auto"/>
        </w:rPr>
      </w:pPr>
    </w:p>
    <w:p>
      <w:pPr>
        <w:ind w:left="4580"/>
        <w:spacing w:after="0"/>
        <w:rPr>
          <w:sz w:val="20"/>
          <w:szCs w:val="20"/>
          <w:color w:val="auto"/>
        </w:rPr>
      </w:pPr>
      <w:r>
        <w:rPr>
          <w:rFonts w:ascii="Arial" w:cs="Arial" w:eastAsia="Arial" w:hAnsi="Arial"/>
          <w:sz w:val="14"/>
          <w:szCs w:val="14"/>
          <w:b w:val="1"/>
          <w:bCs w:val="1"/>
          <w:color w:val="auto"/>
        </w:rPr>
        <w:t>For the Years Ended December 31,</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42"/>
        </w:trPr>
        <w:tc>
          <w:tcPr>
            <w:tcW w:w="920" w:type="dxa"/>
            <w:vAlign w:val="bottom"/>
            <w:tcBorders>
              <w:top w:val="single" w:sz="8" w:color="auto"/>
            </w:tcBorders>
          </w:tcPr>
          <w:p>
            <w:pPr>
              <w:jc w:val="right"/>
              <w:ind w:right="559"/>
              <w:spacing w:after="0" w:line="142" w:lineRule="exact"/>
              <w:rPr>
                <w:sz w:val="20"/>
                <w:szCs w:val="20"/>
                <w:color w:val="auto"/>
              </w:rPr>
            </w:pPr>
            <w:r>
              <w:rPr>
                <w:rFonts w:ascii="Arial" w:cs="Arial" w:eastAsia="Arial" w:hAnsi="Arial"/>
                <w:sz w:val="14"/>
                <w:szCs w:val="14"/>
                <w:b w:val="1"/>
                <w:bCs w:val="1"/>
                <w:color w:val="auto"/>
                <w:w w:val="83"/>
              </w:rPr>
              <w:t>2005</w:t>
            </w:r>
          </w:p>
        </w:tc>
        <w:tc>
          <w:tcPr>
            <w:tcW w:w="22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2004</w:t>
            </w:r>
          </w:p>
        </w:tc>
        <w:tc>
          <w:tcPr>
            <w:tcW w:w="22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2003</w:t>
            </w:r>
          </w:p>
        </w:tc>
        <w:tc>
          <w:tcPr>
            <w:tcW w:w="22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2002</w:t>
            </w:r>
          </w:p>
        </w:tc>
        <w:tc>
          <w:tcPr>
            <w:tcW w:w="22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2001</w:t>
            </w:r>
          </w:p>
        </w:tc>
      </w:tr>
      <w:tr>
        <w:trPr>
          <w:trHeight w:val="264"/>
        </w:trPr>
        <w:tc>
          <w:tcPr>
            <w:tcW w:w="920" w:type="dxa"/>
            <w:vAlign w:val="bottom"/>
            <w:tcBorders>
              <w:top w:val="single" w:sz="8" w:color="auto"/>
            </w:tcBorders>
          </w:tcPr>
          <w:p>
            <w:pPr>
              <w:jc w:val="right"/>
              <w:ind w:right="179"/>
              <w:spacing w:after="0"/>
              <w:rPr>
                <w:sz w:val="20"/>
                <w:szCs w:val="20"/>
                <w:color w:val="auto"/>
              </w:rPr>
            </w:pPr>
            <w:r>
              <w:rPr>
                <w:rFonts w:ascii="Arial" w:cs="Arial" w:eastAsia="Arial" w:hAnsi="Arial"/>
                <w:sz w:val="18"/>
                <w:szCs w:val="18"/>
                <w:color w:val="auto"/>
              </w:rPr>
              <w:t>2.01x</w:t>
            </w:r>
          </w:p>
        </w:tc>
        <w:tc>
          <w:tcPr>
            <w:tcW w:w="1660" w:type="dxa"/>
            <w:vAlign w:val="bottom"/>
          </w:tcPr>
          <w:p>
            <w:pPr>
              <w:spacing w:after="0"/>
              <w:rPr>
                <w:sz w:val="22"/>
                <w:szCs w:val="22"/>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1.97x</w:t>
            </w:r>
          </w:p>
        </w:tc>
        <w:tc>
          <w:tcPr>
            <w:tcW w:w="1660" w:type="dxa"/>
            <w:vAlign w:val="bottom"/>
          </w:tcPr>
          <w:p>
            <w:pPr>
              <w:spacing w:after="0"/>
              <w:rPr>
                <w:sz w:val="22"/>
                <w:szCs w:val="22"/>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660" w:type="dxa"/>
            <w:vAlign w:val="bottom"/>
          </w:tcPr>
          <w:p>
            <w:pPr>
              <w:spacing w:after="0"/>
              <w:rPr>
                <w:sz w:val="22"/>
                <w:szCs w:val="22"/>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660" w:type="dxa"/>
            <w:vAlign w:val="bottom"/>
          </w:tcPr>
          <w:p>
            <w:pPr>
              <w:spacing w:after="0"/>
              <w:rPr>
                <w:sz w:val="22"/>
                <w:szCs w:val="22"/>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1.33x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13804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82" w:lineRule="exact"/>
        <w:rPr>
          <w:sz w:val="20"/>
          <w:szCs w:val="20"/>
          <w:color w:val="auto"/>
        </w:rPr>
      </w:pPr>
    </w:p>
    <w:p>
      <w:pPr>
        <w:ind w:left="1100" w:right="240" w:hanging="407"/>
        <w:spacing w:after="0" w:line="277"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the years ended December 31, 2003 and 2002, we had a $76 million and $490 million deficiency, respectively, of earnings to combined fixed charges and preferred dividends.</w:t>
      </w:r>
    </w:p>
    <w:p>
      <w:pPr>
        <w:spacing w:after="0" w:line="76" w:lineRule="exact"/>
        <w:rPr>
          <w:sz w:val="20"/>
          <w:szCs w:val="20"/>
          <w:color w:val="auto"/>
        </w:rPr>
      </w:pPr>
    </w:p>
    <w:p>
      <w:pPr>
        <w:ind w:left="700" w:right="20" w:firstLine="397"/>
        <w:spacing w:after="0" w:line="289" w:lineRule="auto"/>
        <w:rPr>
          <w:sz w:val="20"/>
          <w:szCs w:val="20"/>
          <w:color w:val="auto"/>
        </w:rPr>
      </w:pPr>
      <w:r>
        <w:rPr>
          <w:rFonts w:ascii="Arial" w:cs="Arial" w:eastAsia="Arial" w:hAnsi="Arial"/>
          <w:sz w:val="16"/>
          <w:szCs w:val="16"/>
          <w:color w:val="auto"/>
        </w:rPr>
        <w:t>For purposes of calculating the ratio of earnings to combined fixed charges and preferred dividends, earnings is the amount resulting from (1) adding (a) pretax income from continuing operations before adjustment for minority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minority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w:t>
      </w:r>
    </w:p>
    <w:p>
      <w:pPr>
        <w:spacing w:after="0" w:line="3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DEBT SECURITIES AND CABLE GUARANTEES</w:t>
      </w:r>
    </w:p>
    <w:p>
      <w:pPr>
        <w:spacing w:after="0" w:line="135"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w:t>
      </w:r>
    </w:p>
    <w:p>
      <w:pPr>
        <w:spacing w:after="0" w:line="76" w:lineRule="exact"/>
        <w:rPr>
          <w:sz w:val="20"/>
          <w:szCs w:val="20"/>
          <w:color w:val="auto"/>
        </w:rPr>
      </w:pPr>
    </w:p>
    <w:p>
      <w:pPr>
        <w:ind w:left="1400" w:right="240" w:hanging="302"/>
        <w:spacing w:after="0" w:line="342" w:lineRule="auto"/>
        <w:tabs>
          <w:tab w:leader="none" w:pos="14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the case of senior debt securities, under a senior indenture dated January 7, 2003, as amended by a supplemental indenture dated March 25, 2003, entered into among us, the cable guarantors and The Bank of New York, as trustee; and</w:t>
      </w:r>
    </w:p>
    <w:p>
      <w:pPr>
        <w:spacing w:after="0" w:line="15" w:lineRule="exact"/>
        <w:rPr>
          <w:rFonts w:ascii="Arial" w:cs="Arial" w:eastAsia="Arial" w:hAnsi="Arial"/>
          <w:sz w:val="16"/>
          <w:szCs w:val="16"/>
          <w:color w:val="auto"/>
        </w:rPr>
      </w:pPr>
    </w:p>
    <w:p>
      <w:pPr>
        <w:ind w:left="1400" w:hanging="302"/>
        <w:spacing w:after="0" w:line="277" w:lineRule="auto"/>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subordinated debt securities, under a subordinated indenture to be entered into among us, the cable guarantors and The Bank of New York, as trustee.</w:t>
      </w:r>
    </w:p>
    <w:p>
      <w:pPr>
        <w:spacing w:after="0" w:line="76"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color w:val="auto"/>
        </w:rPr>
        <w:t>The senior indenture and supplemental indenture are included, and the subordinated indenture will be substantially in the form included, as exhibits to the registration statement of which this prospectus is a part.</w:t>
      </w:r>
    </w:p>
    <w:p>
      <w:pPr>
        <w:spacing w:after="0" w:line="76"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 “Description of Common Stock,” the terms “we,” “us” and “our” refer solely to Comcast Corporation and such references do not include any subsidiaries of Comcast Corporation.</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 The debt securities will not be guaranteed by any of our other subsidiaries.</w:t>
      </w:r>
    </w:p>
    <w:p>
      <w:pPr>
        <w:spacing w:after="0" w:line="99" w:lineRule="exact"/>
        <w:rPr>
          <w:sz w:val="20"/>
          <w:szCs w:val="20"/>
          <w:color w:val="auto"/>
        </w:rPr>
      </w:pPr>
    </w:p>
    <w:p>
      <w:pPr>
        <w:ind w:left="700" w:right="120" w:firstLine="397"/>
        <w:spacing w:after="0" w:line="270" w:lineRule="auto"/>
        <w:rPr>
          <w:sz w:val="20"/>
          <w:szCs w:val="20"/>
          <w:color w:val="auto"/>
        </w:rPr>
      </w:pPr>
      <w:r>
        <w:rPr>
          <w:rFonts w:ascii="Arial" w:cs="Arial" w:eastAsia="Arial" w:hAnsi="Arial"/>
          <w:sz w:val="17"/>
          <w:szCs w:val="17"/>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131" w:lineRule="exact"/>
        <w:rPr>
          <w:sz w:val="20"/>
          <w:szCs w:val="20"/>
          <w:color w:val="auto"/>
        </w:rPr>
      </w:pPr>
    </w:p>
    <w:p>
      <w:pPr>
        <w:ind w:left="1400" w:hanging="302"/>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percentage of their principal amount (</w:t>
      </w:r>
      <w:r>
        <w:rPr>
          <w:rFonts w:ascii="Arial" w:cs="Arial" w:eastAsia="Arial" w:hAnsi="Arial"/>
          <w:sz w:val="18"/>
          <w:szCs w:val="18"/>
          <w:i w:val="1"/>
          <w:iCs w:val="1"/>
          <w:color w:val="auto"/>
        </w:rPr>
        <w:t>i.e.</w:t>
      </w:r>
      <w:r>
        <w:rPr>
          <w:rFonts w:ascii="Arial" w:cs="Arial" w:eastAsia="Arial" w:hAnsi="Arial"/>
          <w:sz w:val="18"/>
          <w:szCs w:val="18"/>
          <w:color w:val="auto"/>
        </w:rPr>
        <w:t>, price) at which the debt securities will be issued;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rate or rates, if any, per year, at which the debt securities will bear interest, or the method of determining such rate or rates;</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400" w:right="100" w:hanging="302"/>
        <w:spacing w:after="0" w:line="264" w:lineRule="auto"/>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73" w:lineRule="exact"/>
        <w:rPr>
          <w:rFonts w:ascii="Arial" w:cs="Arial" w:eastAsia="Arial" w:hAnsi="Arial"/>
          <w:sz w:val="18"/>
          <w:szCs w:val="18"/>
          <w:color w:val="auto"/>
        </w:rPr>
      </w:pPr>
    </w:p>
    <w:p>
      <w:pPr>
        <w:ind w:left="1400" w:hanging="302"/>
        <w:spacing w:after="0"/>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17" w:lineRule="exact"/>
        <w:rPr>
          <w:rFonts w:ascii="Arial" w:cs="Arial" w:eastAsia="Arial" w:hAnsi="Arial"/>
          <w:sz w:val="18"/>
          <w:szCs w:val="18"/>
          <w:color w:val="auto"/>
        </w:rPr>
      </w:pPr>
    </w:p>
    <w:p>
      <w:pPr>
        <w:ind w:left="1400" w:right="420" w:hanging="302"/>
        <w:spacing w:after="0" w:line="277" w:lineRule="auto"/>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17" w:lineRule="exact"/>
        <w:rPr>
          <w:rFonts w:ascii="Arial" w:cs="Arial" w:eastAsia="Arial" w:hAnsi="Arial"/>
          <w:sz w:val="18"/>
          <w:szCs w:val="18"/>
          <w:color w:val="auto"/>
        </w:rPr>
      </w:pPr>
    </w:p>
    <w:p>
      <w:pPr>
        <w:ind w:left="1400" w:right="180" w:hanging="302"/>
        <w:spacing w:after="0" w:line="277" w:lineRule="auto"/>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62" w:lineRule="exact"/>
        <w:rPr>
          <w:rFonts w:ascii="Arial" w:cs="Arial" w:eastAsia="Arial" w:hAnsi="Arial"/>
          <w:sz w:val="18"/>
          <w:szCs w:val="18"/>
          <w:color w:val="auto"/>
        </w:rPr>
      </w:pPr>
    </w:p>
    <w:p>
      <w:pPr>
        <w:ind w:left="1400" w:right="400" w:hanging="302"/>
        <w:spacing w:after="0" w:line="277" w:lineRule="auto"/>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62" w:lineRule="exact"/>
        <w:rPr>
          <w:rFonts w:ascii="Arial" w:cs="Arial" w:eastAsia="Arial" w:hAnsi="Arial"/>
          <w:sz w:val="18"/>
          <w:szCs w:val="18"/>
          <w:color w:val="auto"/>
        </w:rPr>
      </w:pPr>
    </w:p>
    <w:p>
      <w:pPr>
        <w:ind w:left="1400" w:right="520" w:hanging="302"/>
        <w:spacing w:after="0" w:line="277" w:lineRule="auto"/>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62" w:lineRule="exact"/>
        <w:rPr>
          <w:rFonts w:ascii="Arial" w:cs="Arial" w:eastAsia="Arial" w:hAnsi="Arial"/>
          <w:sz w:val="18"/>
          <w:szCs w:val="18"/>
          <w:color w:val="auto"/>
        </w:rPr>
      </w:pPr>
    </w:p>
    <w:p>
      <w:pPr>
        <w:ind w:left="1400" w:right="360" w:hanging="302"/>
        <w:spacing w:after="0" w:line="277" w:lineRule="auto"/>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117" w:lineRule="exact"/>
        <w:rPr>
          <w:rFonts w:ascii="Arial" w:cs="Arial" w:eastAsia="Arial" w:hAnsi="Arial"/>
          <w:sz w:val="18"/>
          <w:szCs w:val="18"/>
          <w:color w:val="auto"/>
        </w:rPr>
      </w:pPr>
    </w:p>
    <w:p>
      <w:pPr>
        <w:ind w:left="1400" w:right="180" w:hanging="302"/>
        <w:spacing w:after="0" w:line="308" w:lineRule="auto"/>
        <w:tabs>
          <w:tab w:leader="none" w:pos="14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52" w:lineRule="exact"/>
        <w:rPr>
          <w:sz w:val="20"/>
          <w:szCs w:val="20"/>
          <w:color w:val="auto"/>
        </w:rPr>
      </w:pPr>
    </w:p>
    <w:p>
      <w:pPr>
        <w:jc w:val="both"/>
        <w:ind w:left="700" w:right="40" w:firstLine="397"/>
        <w:spacing w:after="0" w:line="312" w:lineRule="auto"/>
        <w:rPr>
          <w:sz w:val="20"/>
          <w:szCs w:val="20"/>
          <w:color w:val="auto"/>
        </w:rPr>
      </w:pPr>
      <w:r>
        <w:rPr>
          <w:rFonts w:ascii="Arial" w:cs="Arial" w:eastAsia="Arial" w:hAnsi="Arial"/>
          <w:sz w:val="16"/>
          <w:szCs w:val="16"/>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52"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94"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3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Cable Guarantees</w:t>
      </w:r>
    </w:p>
    <w:p>
      <w:pPr>
        <w:spacing w:after="0" w:line="131" w:lineRule="exact"/>
        <w:rPr>
          <w:sz w:val="20"/>
          <w:szCs w:val="20"/>
          <w:color w:val="auto"/>
        </w:rPr>
      </w:pPr>
    </w:p>
    <w:p>
      <w:pPr>
        <w:jc w:val="both"/>
        <w:ind w:left="700" w:right="80" w:firstLine="397"/>
        <w:spacing w:after="0" w:line="264"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131" w:lineRule="exact"/>
        <w:rPr>
          <w:sz w:val="20"/>
          <w:szCs w:val="20"/>
          <w:color w:val="auto"/>
        </w:rPr>
      </w:pPr>
    </w:p>
    <w:p>
      <w:pPr>
        <w:ind w:left="1400" w:hanging="302"/>
        <w:spacing w:after="0" w:line="277" w:lineRule="auto"/>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62" w:lineRule="exact"/>
        <w:rPr>
          <w:rFonts w:ascii="Arial" w:cs="Arial" w:eastAsia="Arial" w:hAnsi="Arial"/>
          <w:sz w:val="18"/>
          <w:szCs w:val="18"/>
          <w:color w:val="auto"/>
        </w:rPr>
      </w:pPr>
    </w:p>
    <w:p>
      <w:pPr>
        <w:ind w:left="1400" w:right="100" w:hanging="302"/>
        <w:spacing w:after="0" w:line="277" w:lineRule="auto"/>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any payment of principal, interest or premium, if any, on or repay, repurchase or redeem any debt securities of that cable guarantor.</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31" w:lineRule="exact"/>
        <w:rPr>
          <w:sz w:val="20"/>
          <w:szCs w:val="20"/>
          <w:color w:val="auto"/>
        </w:rPr>
      </w:pPr>
    </w:p>
    <w:p>
      <w:pPr>
        <w:jc w:val="both"/>
        <w:ind w:left="700" w:right="140" w:firstLine="397"/>
        <w:spacing w:after="0" w:line="264" w:lineRule="auto"/>
        <w:rPr>
          <w:sz w:val="20"/>
          <w:szCs w:val="20"/>
          <w:color w:val="auto"/>
        </w:rPr>
      </w:pPr>
      <w:r>
        <w:rPr>
          <w:rFonts w:ascii="Arial" w:cs="Arial" w:eastAsia="Arial" w:hAnsi="Arial"/>
          <w:sz w:val="18"/>
          <w:szCs w:val="18"/>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87"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87" w:lineRule="exact"/>
        <w:rPr>
          <w:sz w:val="20"/>
          <w:szCs w:val="20"/>
          <w:color w:val="auto"/>
        </w:rPr>
      </w:pPr>
    </w:p>
    <w:p>
      <w:pPr>
        <w:ind w:left="700" w:right="160" w:firstLine="397"/>
        <w:spacing w:after="0" w:line="302" w:lineRule="auto"/>
        <w:rPr>
          <w:sz w:val="20"/>
          <w:szCs w:val="20"/>
          <w:color w:val="auto"/>
        </w:rPr>
      </w:pPr>
      <w:r>
        <w:rPr>
          <w:rFonts w:ascii="Arial" w:cs="Arial" w:eastAsia="Arial" w:hAnsi="Arial"/>
          <w:sz w:val="16"/>
          <w:szCs w:val="16"/>
          <w:i w:val="1"/>
          <w:iCs w:val="1"/>
          <w:color w:val="auto"/>
        </w:rPr>
        <w:t xml:space="preserve">Limitation on Liens Securing Indebtedness. </w:t>
      </w:r>
      <w:r>
        <w:rPr>
          <w:rFonts w:ascii="Arial" w:cs="Arial" w:eastAsia="Arial" w:hAnsi="Arial"/>
          <w:sz w:val="16"/>
          <w:szCs w:val="16"/>
          <w:color w:val="auto"/>
        </w:rPr>
        <w:t>Neither we nor any cable guarantor shall create, incur or assume any Lien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any Permitted Lien) on such person’s assets, including the Capital Stock of such person’s wholly-owned subsidiaries, to secure the payment of our Indebtedness or that of any cable guarantor, unless we secure the outstanding senior debt securities equally and ratably with (or prior to) all Indebtedness secured by such Lien, so long as such Indebtedness shall be so secured.</w:t>
      </w:r>
    </w:p>
    <w:p>
      <w:pPr>
        <w:spacing w:after="0" w:line="60" w:lineRule="exact"/>
        <w:rPr>
          <w:sz w:val="20"/>
          <w:szCs w:val="20"/>
          <w:color w:val="auto"/>
        </w:rPr>
      </w:pPr>
    </w:p>
    <w:p>
      <w:pPr>
        <w:ind w:left="700" w:right="520" w:firstLine="397"/>
        <w:spacing w:after="0" w:line="342" w:lineRule="auto"/>
        <w:rPr>
          <w:sz w:val="20"/>
          <w:szCs w:val="20"/>
          <w:color w:val="auto"/>
        </w:rPr>
      </w:pPr>
      <w:r>
        <w:rPr>
          <w:rFonts w:ascii="Arial" w:cs="Arial" w:eastAsia="Arial" w:hAnsi="Arial"/>
          <w:sz w:val="16"/>
          <w:szCs w:val="16"/>
          <w:i w:val="1"/>
          <w:iCs w:val="1"/>
          <w:color w:val="auto"/>
        </w:rPr>
        <w:t xml:space="preserve">Limitation on Sale and Leaseback Transactions. </w:t>
      </w:r>
      <w:r>
        <w:rPr>
          <w:rFonts w:ascii="Arial" w:cs="Arial" w:eastAsia="Arial" w:hAnsi="Arial"/>
          <w:sz w:val="16"/>
          <w:szCs w:val="16"/>
          <w:color w:val="auto"/>
        </w:rPr>
        <w:t>Neither we nor any cable guarantor shall enter into any Sale and Leaseback</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involving any of such person’s assets, including the Capital Stock of such person’s wholly-owned subsidiaries.</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restriction in the foregoing paragraph shall not apply to any Sale and Leaseback Transaction if:</w:t>
      </w:r>
    </w:p>
    <w:p>
      <w:pPr>
        <w:spacing w:after="0" w:line="131" w:lineRule="exact"/>
        <w:rPr>
          <w:sz w:val="20"/>
          <w:szCs w:val="20"/>
          <w:color w:val="auto"/>
        </w:rPr>
      </w:pPr>
    </w:p>
    <w:p>
      <w:pPr>
        <w:ind w:left="1400" w:hanging="302"/>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lease is for a period not in excess of three years, including renewal of rights;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similar financing;</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transaction is solely between us and a cable guarantor or between or among cable guarantors; or</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or the applicable cable guarantor, within 270 days after the sale is completed, applies an amount equal to or greater than</w:t>
      </w:r>
    </w:p>
    <w:p>
      <w:pPr>
        <w:spacing w:after="0" w:line="46" w:lineRule="exact"/>
        <w:rPr>
          <w:rFonts w:ascii="Arial" w:cs="Arial" w:eastAsia="Arial" w:hAnsi="Arial"/>
          <w:sz w:val="16"/>
          <w:szCs w:val="16"/>
          <w:color w:val="auto"/>
        </w:rPr>
      </w:pPr>
    </w:p>
    <w:p>
      <w:pPr>
        <w:ind w:left="1400" w:right="20"/>
        <w:spacing w:after="0" w:line="261" w:lineRule="auto"/>
        <w:rPr>
          <w:rFonts w:ascii="Arial" w:cs="Arial" w:eastAsia="Arial" w:hAnsi="Arial"/>
          <w:sz w:val="16"/>
          <w:szCs w:val="16"/>
          <w:color w:val="auto"/>
        </w:rPr>
      </w:pPr>
      <w:r>
        <w:rPr>
          <w:rFonts w:ascii="Arial" w:cs="Arial" w:eastAsia="Arial" w:hAnsi="Arial"/>
          <w:sz w:val="18"/>
          <w:szCs w:val="18"/>
          <w:color w:val="auto"/>
        </w:rPr>
        <w:t>(a) the net proceeds of the sale of the assets or part thereof leased or (b) the fair market value of the assets or part thereof leased (as determined in good faith by our Board of Directors) either to:</w:t>
      </w:r>
    </w:p>
    <w:p>
      <w:pPr>
        <w:spacing w:after="0" w:line="89" w:lineRule="exact"/>
        <w:rPr>
          <w:sz w:val="20"/>
          <w:szCs w:val="20"/>
          <w:color w:val="auto"/>
        </w:rPr>
      </w:pPr>
    </w:p>
    <w:p>
      <w:pPr>
        <w:ind w:left="1780" w:right="220" w:hanging="385"/>
        <w:spacing w:after="0" w:line="251" w:lineRule="auto"/>
        <w:tabs>
          <w:tab w:leader="none" w:pos="1780" w:val="left"/>
        </w:tabs>
        <w:numPr>
          <w:ilvl w:val="0"/>
          <w:numId w:val="25"/>
        </w:numPr>
        <w:rPr>
          <w:rFonts w:ascii="Arial" w:cs="Arial" w:eastAsia="Arial" w:hAnsi="Arial"/>
          <w:sz w:val="21"/>
          <w:szCs w:val="21"/>
          <w:color w:val="auto"/>
        </w:rPr>
      </w:pPr>
      <w:r>
        <w:rPr>
          <w:rFonts w:ascii="Arial" w:cs="Arial" w:eastAsia="Arial" w:hAnsi="Arial"/>
          <w:sz w:val="17"/>
          <w:szCs w:val="17"/>
          <w:color w:val="auto"/>
        </w:rPr>
        <w:t>the retirement (or open market purchase) of senior debt securities, our other long-term Indebtedness ranking on a parity with or senior to the senior debt securities or long-term Indebtedness of a cable guarantor; or</w:t>
      </w:r>
    </w:p>
    <w:p>
      <w:pPr>
        <w:spacing w:after="0" w:line="83" w:lineRule="exact"/>
        <w:rPr>
          <w:rFonts w:ascii="Arial" w:cs="Arial" w:eastAsia="Arial" w:hAnsi="Arial"/>
          <w:sz w:val="21"/>
          <w:szCs w:val="21"/>
          <w:color w:val="auto"/>
        </w:rPr>
      </w:pPr>
    </w:p>
    <w:p>
      <w:pPr>
        <w:ind w:left="1780" w:right="140" w:hanging="385"/>
        <w:spacing w:after="0" w:line="251" w:lineRule="auto"/>
        <w:tabs>
          <w:tab w:leader="none" w:pos="1780" w:val="left"/>
        </w:tabs>
        <w:numPr>
          <w:ilvl w:val="0"/>
          <w:numId w:val="25"/>
        </w:numPr>
        <w:rPr>
          <w:rFonts w:ascii="Arial" w:cs="Arial" w:eastAsia="Arial" w:hAnsi="Arial"/>
          <w:sz w:val="21"/>
          <w:szCs w:val="21"/>
          <w:color w:val="auto"/>
        </w:rPr>
      </w:pPr>
      <w:r>
        <w:rPr>
          <w:rFonts w:ascii="Arial" w:cs="Arial" w:eastAsia="Arial" w:hAnsi="Arial"/>
          <w:sz w:val="17"/>
          <w:szCs w:val="17"/>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97" w:lineRule="exact"/>
        <w:rPr>
          <w:sz w:val="20"/>
          <w:szCs w:val="20"/>
          <w:color w:val="auto"/>
        </w:rPr>
      </w:pPr>
    </w:p>
    <w:p>
      <w:pPr>
        <w:ind w:left="700" w:right="580" w:firstLine="397"/>
        <w:spacing w:after="0" w:line="277" w:lineRule="auto"/>
        <w:rPr>
          <w:sz w:val="20"/>
          <w:szCs w:val="20"/>
          <w:color w:val="auto"/>
        </w:rPr>
      </w:pPr>
      <w:r>
        <w:rPr>
          <w:rFonts w:ascii="Arial" w:cs="Arial" w:eastAsia="Arial" w:hAnsi="Arial"/>
          <w:sz w:val="18"/>
          <w:szCs w:val="18"/>
          <w:color w:val="auto"/>
        </w:rPr>
        <w:t>This provision and the provision described under “—Limitation on Liens Securing Indebtedness” do not apply to any of our subsidiaries other than the cable guarantors.</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firstLine="397"/>
        <w:spacing w:after="0" w:line="314" w:lineRule="auto"/>
        <w:rPr>
          <w:sz w:val="20"/>
          <w:szCs w:val="20"/>
          <w:color w:val="auto"/>
        </w:rPr>
      </w:pPr>
      <w:r>
        <w:rPr>
          <w:rFonts w:ascii="Arial" w:cs="Arial" w:eastAsia="Arial" w:hAnsi="Arial"/>
          <w:sz w:val="16"/>
          <w:szCs w:val="16"/>
          <w:b w:val="1"/>
          <w:bCs w:val="1"/>
          <w:color w:val="auto"/>
        </w:rPr>
        <w:t xml:space="preserve">“Capitalized Lease” </w:t>
      </w:r>
      <w:r>
        <w:rPr>
          <w:rFonts w:ascii="Arial" w:cs="Arial" w:eastAsia="Arial" w:hAnsi="Arial"/>
          <w:sz w:val="16"/>
          <w:szCs w:val="16"/>
          <w:color w:val="auto"/>
        </w:rPr>
        <w:t>means, as applied to any person, any lease of any property (whether real, personal, or mixed) of which the</w:t>
      </w:r>
      <w:r>
        <w:rPr>
          <w:rFonts w:ascii="Arial" w:cs="Arial" w:eastAsia="Arial" w:hAnsi="Arial"/>
          <w:sz w:val="16"/>
          <w:szCs w:val="16"/>
          <w:b w:val="1"/>
          <w:bCs w:val="1"/>
          <w:color w:val="auto"/>
        </w:rPr>
        <w:t xml:space="preserve"> </w:t>
      </w:r>
      <w:r>
        <w:rPr>
          <w:rFonts w:ascii="Arial" w:cs="Arial" w:eastAsia="Arial" w:hAnsi="Arial"/>
          <w:sz w:val="16"/>
          <w:szCs w:val="16"/>
          <w:color w:val="auto"/>
        </w:rPr>
        <w:t>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48" w:lineRule="exact"/>
        <w:rPr>
          <w:sz w:val="20"/>
          <w:szCs w:val="20"/>
          <w:color w:val="auto"/>
        </w:rPr>
      </w:pPr>
    </w:p>
    <w:p>
      <w:pPr>
        <w:ind w:left="700" w:right="60" w:firstLine="397"/>
        <w:spacing w:after="0" w:line="289" w:lineRule="auto"/>
        <w:rPr>
          <w:sz w:val="20"/>
          <w:szCs w:val="20"/>
          <w:color w:val="auto"/>
        </w:rPr>
      </w:pPr>
      <w:r>
        <w:rPr>
          <w:rFonts w:ascii="Arial" w:cs="Arial" w:eastAsia="Arial" w:hAnsi="Arial"/>
          <w:sz w:val="17"/>
          <w:szCs w:val="17"/>
          <w:b w:val="1"/>
          <w:bCs w:val="1"/>
          <w:color w:val="auto"/>
        </w:rPr>
        <w:t xml:space="preserve">“Capital Stock” </w:t>
      </w:r>
      <w:r>
        <w:rPr>
          <w:rFonts w:ascii="Arial" w:cs="Arial" w:eastAsia="Arial" w:hAnsi="Arial"/>
          <w:sz w:val="17"/>
          <w:szCs w:val="17"/>
          <w:color w:val="auto"/>
        </w:rPr>
        <w:t>means, with respect to any person, any and all shares, interests, participations, or other equivalents (however</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whether voting or nonvoting) of such person’s capital stock or other ownership interests, whether outstanding as of, or issued after, the date of the senior indenture, including, without limitation, all common stock and preferred stock.</w:t>
      </w:r>
    </w:p>
    <w:p>
      <w:pPr>
        <w:spacing w:after="0" w:line="64" w:lineRule="exact"/>
        <w:rPr>
          <w:sz w:val="20"/>
          <w:szCs w:val="20"/>
          <w:color w:val="auto"/>
        </w:rPr>
      </w:pPr>
    </w:p>
    <w:p>
      <w:pPr>
        <w:ind w:left="700" w:right="880" w:firstLine="397"/>
        <w:spacing w:after="0" w:line="282" w:lineRule="auto"/>
        <w:rPr>
          <w:sz w:val="20"/>
          <w:szCs w:val="20"/>
          <w:color w:val="auto"/>
        </w:rPr>
      </w:pPr>
      <w:r>
        <w:rPr>
          <w:rFonts w:ascii="Arial" w:cs="Arial" w:eastAsia="Arial" w:hAnsi="Arial"/>
          <w:sz w:val="18"/>
          <w:szCs w:val="18"/>
          <w:b w:val="1"/>
          <w:bCs w:val="1"/>
          <w:color w:val="auto"/>
        </w:rPr>
        <w:t xml:space="preserve">“Currency Agreement” </w:t>
      </w:r>
      <w:r>
        <w:rPr>
          <w:rFonts w:ascii="Arial" w:cs="Arial" w:eastAsia="Arial" w:hAnsi="Arial"/>
          <w:sz w:val="18"/>
          <w:szCs w:val="18"/>
          <w:color w:val="auto"/>
        </w:rPr>
        <w:t>means any foreign exchange contract, currency swap agreement, or other similar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 designed to protect against the fluctuation in currency values.</w:t>
      </w:r>
    </w:p>
    <w:p>
      <w:pPr>
        <w:spacing w:after="0" w:line="67" w:lineRule="exact"/>
        <w:rPr>
          <w:sz w:val="20"/>
          <w:szCs w:val="20"/>
          <w:color w:val="auto"/>
        </w:rPr>
      </w:pPr>
    </w:p>
    <w:p>
      <w:pPr>
        <w:ind w:left="700" w:right="40" w:firstLine="397"/>
        <w:spacing w:after="0" w:line="298" w:lineRule="auto"/>
        <w:rPr>
          <w:sz w:val="20"/>
          <w:szCs w:val="20"/>
          <w:color w:val="auto"/>
        </w:rPr>
      </w:pPr>
      <w:r>
        <w:rPr>
          <w:rFonts w:ascii="Arial" w:cs="Arial" w:eastAsia="Arial" w:hAnsi="Arial"/>
          <w:sz w:val="16"/>
          <w:szCs w:val="16"/>
          <w:b w:val="1"/>
          <w:bCs w:val="1"/>
          <w:color w:val="auto"/>
        </w:rPr>
        <w:t xml:space="preserve">“GAAP” </w:t>
      </w:r>
      <w:r>
        <w:rPr>
          <w:rFonts w:ascii="Arial" w:cs="Arial" w:eastAsia="Arial" w:hAnsi="Arial"/>
          <w:sz w:val="16"/>
          <w:szCs w:val="16"/>
          <w:color w:val="auto"/>
        </w:rPr>
        <w:t>means generally accepted accounting principles in the United States of America as in effect as of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60" w:lineRule="exact"/>
        <w:rPr>
          <w:sz w:val="20"/>
          <w:szCs w:val="20"/>
          <w:color w:val="auto"/>
        </w:rPr>
      </w:pPr>
    </w:p>
    <w:p>
      <w:pPr>
        <w:jc w:val="both"/>
        <w:ind w:left="700" w:right="80" w:firstLine="397"/>
        <w:spacing w:after="0" w:line="266" w:lineRule="auto"/>
        <w:rPr>
          <w:sz w:val="20"/>
          <w:szCs w:val="20"/>
          <w:color w:val="auto"/>
        </w:rPr>
      </w:pPr>
      <w:r>
        <w:rPr>
          <w:rFonts w:ascii="Arial" w:cs="Arial" w:eastAsia="Arial" w:hAnsi="Arial"/>
          <w:sz w:val="18"/>
          <w:szCs w:val="18"/>
          <w:b w:val="1"/>
          <w:bCs w:val="1"/>
          <w:color w:val="auto"/>
        </w:rPr>
        <w:t xml:space="preserve">“Guarantee” </w:t>
      </w:r>
      <w:r>
        <w:rPr>
          <w:rFonts w:ascii="Arial" w:cs="Arial" w:eastAsia="Arial" w:hAnsi="Arial"/>
          <w:sz w:val="18"/>
          <w:szCs w:val="18"/>
          <w:color w:val="auto"/>
        </w:rPr>
        <w:t>means any obligation, contingent or otherwise, of any person directly or indirectly guaranteeing any Indebtedness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obligation of any other person and, without limiting the generality of the foregoing, any obligation, direct or indirect, contingent or otherwise, of such person:</w:t>
      </w:r>
    </w:p>
    <w:p>
      <w:pPr>
        <w:spacing w:after="0" w:line="86" w:lineRule="exact"/>
        <w:rPr>
          <w:sz w:val="20"/>
          <w:szCs w:val="20"/>
          <w:color w:val="auto"/>
        </w:rPr>
      </w:pPr>
    </w:p>
    <w:p>
      <w:pPr>
        <w:jc w:val="both"/>
        <w:ind w:left="1400" w:right="220" w:hanging="302"/>
        <w:spacing w:after="0" w:line="286" w:lineRule="auto"/>
        <w:tabs>
          <w:tab w:leader="none" w:pos="14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57" w:lineRule="exact"/>
        <w:rPr>
          <w:rFonts w:ascii="Arial" w:cs="Arial" w:eastAsia="Arial" w:hAnsi="Arial"/>
          <w:sz w:val="17"/>
          <w:szCs w:val="17"/>
          <w:color w:val="auto"/>
        </w:rPr>
      </w:pPr>
    </w:p>
    <w:p>
      <w:pPr>
        <w:ind w:left="1400" w:right="200" w:hanging="302"/>
        <w:spacing w:after="0" w:line="277" w:lineRule="auto"/>
        <w:tabs>
          <w:tab w:leader="none" w:pos="1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76" w:lineRule="exact"/>
        <w:rPr>
          <w:sz w:val="20"/>
          <w:szCs w:val="20"/>
          <w:color w:val="auto"/>
        </w:rPr>
      </w:pPr>
    </w:p>
    <w:p>
      <w:pPr>
        <w:ind w:left="700" w:right="140"/>
        <w:spacing w:after="0" w:line="277" w:lineRule="auto"/>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 The term “Guarantee” used as a verb has a corresponding meaning.</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means, with respect to any person at any date of determination (without duplication):</w:t>
      </w:r>
    </w:p>
    <w:p>
      <w:pPr>
        <w:spacing w:after="0" w:line="135" w:lineRule="exact"/>
        <w:rPr>
          <w:sz w:val="20"/>
          <w:szCs w:val="20"/>
          <w:color w:val="auto"/>
        </w:rPr>
      </w:pPr>
    </w:p>
    <w:p>
      <w:pPr>
        <w:ind w:left="1400" w:hanging="302"/>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117" w:lineRule="exact"/>
        <w:rPr>
          <w:rFonts w:ascii="Arial" w:cs="Arial" w:eastAsia="Arial" w:hAnsi="Arial"/>
          <w:sz w:val="18"/>
          <w:szCs w:val="18"/>
          <w:color w:val="auto"/>
        </w:rPr>
      </w:pPr>
    </w:p>
    <w:p>
      <w:pPr>
        <w:ind w:left="1400" w:right="240" w:hanging="302"/>
        <w:spacing w:after="0" w:line="277" w:lineRule="auto"/>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of such person in respect of letters of credit or other similar instruments (including reimbursement obligations with respect thereto);</w:t>
      </w:r>
    </w:p>
    <w:p>
      <w:pPr>
        <w:spacing w:after="0" w:line="62" w:lineRule="exact"/>
        <w:rPr>
          <w:rFonts w:ascii="Arial" w:cs="Arial" w:eastAsia="Arial" w:hAnsi="Arial"/>
          <w:sz w:val="18"/>
          <w:szCs w:val="18"/>
          <w:color w:val="auto"/>
        </w:rPr>
      </w:pPr>
    </w:p>
    <w:p>
      <w:pPr>
        <w:ind w:left="1400" w:right="620" w:hanging="302"/>
        <w:spacing w:after="0" w:line="277" w:lineRule="auto"/>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117" w:lineRule="exact"/>
        <w:rPr>
          <w:rFonts w:ascii="Arial" w:cs="Arial" w:eastAsia="Arial" w:hAnsi="Arial"/>
          <w:sz w:val="18"/>
          <w:szCs w:val="18"/>
          <w:color w:val="auto"/>
        </w:rPr>
      </w:pPr>
    </w:p>
    <w:p>
      <w:pPr>
        <w:ind w:left="1400" w:right="180" w:hanging="302"/>
        <w:spacing w:after="0" w:line="277" w:lineRule="auto"/>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53" w:lineRule="exact"/>
        <w:rPr>
          <w:sz w:val="20"/>
          <w:szCs w:val="20"/>
          <w:color w:val="auto"/>
        </w:rPr>
      </w:pPr>
    </w:p>
    <w:p>
      <w:pPr>
        <w:ind w:left="1780" w:hanging="385"/>
        <w:spacing w:after="0"/>
        <w:tabs>
          <w:tab w:leader="none" w:pos="17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fair market value of such asset at such date of determination; and</w:t>
      </w:r>
    </w:p>
    <w:p>
      <w:pPr>
        <w:spacing w:after="0" w:line="112" w:lineRule="exact"/>
        <w:rPr>
          <w:sz w:val="20"/>
          <w:szCs w:val="20"/>
          <w:color w:val="auto"/>
        </w:rPr>
      </w:pPr>
    </w:p>
    <w:p>
      <w:pPr>
        <w:ind w:left="2080" w:hanging="293"/>
        <w:spacing w:after="0"/>
        <w:tabs>
          <w:tab w:leader="none" w:pos="2080" w:val="left"/>
        </w:tabs>
        <w:numPr>
          <w:ilvl w:val="0"/>
          <w:numId w:val="29"/>
        </w:numPr>
        <w:rPr>
          <w:rFonts w:ascii="Arial" w:cs="Arial" w:eastAsia="Arial" w:hAnsi="Arial"/>
          <w:sz w:val="22"/>
          <w:szCs w:val="22"/>
          <w:color w:val="auto"/>
        </w:rPr>
      </w:pPr>
      <w:r>
        <w:rPr>
          <w:rFonts w:ascii="Arial" w:cs="Arial" w:eastAsia="Arial" w:hAnsi="Arial"/>
          <w:sz w:val="18"/>
          <w:szCs w:val="18"/>
          <w:color w:val="auto"/>
        </w:rPr>
        <w:t>the amount of such Indebtedness;</w:t>
      </w:r>
    </w:p>
    <w:p>
      <w:pPr>
        <w:spacing w:after="0" w:line="134" w:lineRule="exact"/>
        <w:rPr>
          <w:sz w:val="20"/>
          <w:szCs w:val="20"/>
          <w:color w:val="auto"/>
        </w:rPr>
      </w:pPr>
    </w:p>
    <w:p>
      <w:pPr>
        <w:ind w:left="2080" w:hanging="293"/>
        <w:spacing w:after="0"/>
        <w:tabs>
          <w:tab w:leader="none" w:pos="2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Indebtedness of other persons to the extent Guaranteed by such person;</w:t>
      </w:r>
    </w:p>
    <w:p>
      <w:pPr>
        <w:spacing w:after="0" w:line="130" w:lineRule="exact"/>
        <w:rPr>
          <w:rFonts w:ascii="Arial" w:cs="Arial" w:eastAsia="Arial" w:hAnsi="Arial"/>
          <w:sz w:val="18"/>
          <w:szCs w:val="18"/>
          <w:color w:val="auto"/>
        </w:rPr>
      </w:pPr>
    </w:p>
    <w:p>
      <w:pPr>
        <w:ind w:left="1400" w:hanging="302"/>
        <w:spacing w:after="0"/>
        <w:tabs>
          <w:tab w:leader="none" w:pos="14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the extent not otherwise included in this definition, obligations under Currency Agreements and Interest Rate Agreements.</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Notwithstanding the foregoing, in no event will the term “Indebtedness” be deemed to include letters of credit or bonds that secure performance or surety bonds or similar instruments that are issued in the ordinary course of business.</w:t>
      </w:r>
    </w:p>
    <w:p>
      <w:pPr>
        <w:spacing w:after="0" w:line="76" w:lineRule="exact"/>
        <w:rPr>
          <w:sz w:val="20"/>
          <w:szCs w:val="20"/>
          <w:color w:val="auto"/>
        </w:rPr>
      </w:pPr>
    </w:p>
    <w:p>
      <w:pPr>
        <w:jc w:val="both"/>
        <w:ind w:left="700" w:right="40" w:firstLine="397"/>
        <w:spacing w:after="0" w:line="264" w:lineRule="auto"/>
        <w:rPr>
          <w:sz w:val="20"/>
          <w:szCs w:val="20"/>
          <w:color w:val="auto"/>
        </w:rPr>
      </w:pPr>
      <w:r>
        <w:rPr>
          <w:rFonts w:ascii="Arial" w:cs="Arial" w:eastAsia="Arial" w:hAnsi="Arial"/>
          <w:sz w:val="18"/>
          <w:szCs w:val="18"/>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87" w:lineRule="exact"/>
        <w:rPr>
          <w:sz w:val="20"/>
          <w:szCs w:val="20"/>
          <w:color w:val="auto"/>
        </w:rPr>
      </w:pPr>
    </w:p>
    <w:p>
      <w:pPr>
        <w:ind w:left="1400" w:right="400" w:hanging="302"/>
        <w:spacing w:after="0" w:line="264" w:lineRule="auto"/>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73" w:lineRule="exact"/>
        <w:rPr>
          <w:rFonts w:ascii="Arial" w:cs="Arial" w:eastAsia="Arial" w:hAnsi="Arial"/>
          <w:sz w:val="18"/>
          <w:szCs w:val="18"/>
          <w:color w:val="auto"/>
        </w:rPr>
      </w:pPr>
    </w:p>
    <w:p>
      <w:pPr>
        <w:ind w:left="1400" w:hanging="302"/>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127" w:lineRule="exact"/>
        <w:rPr>
          <w:sz w:val="20"/>
          <w:szCs w:val="20"/>
          <w:color w:val="auto"/>
        </w:rPr>
      </w:pPr>
    </w:p>
    <w:p>
      <w:pPr>
        <w:ind w:left="700" w:right="100" w:firstLine="397"/>
        <w:spacing w:after="0" w:line="292" w:lineRule="auto"/>
        <w:rPr>
          <w:sz w:val="20"/>
          <w:szCs w:val="20"/>
          <w:color w:val="auto"/>
        </w:rPr>
      </w:pPr>
      <w:r>
        <w:rPr>
          <w:rFonts w:ascii="Arial" w:cs="Arial" w:eastAsia="Arial" w:hAnsi="Arial"/>
          <w:sz w:val="16"/>
          <w:szCs w:val="16"/>
          <w:b w:val="1"/>
          <w:bCs w:val="1"/>
          <w:color w:val="auto"/>
        </w:rPr>
        <w:t xml:space="preserve">“Interest Rate Agreements” </w:t>
      </w:r>
      <w:r>
        <w:rPr>
          <w:rFonts w:ascii="Arial" w:cs="Arial" w:eastAsia="Arial" w:hAnsi="Arial"/>
          <w:sz w:val="16"/>
          <w:szCs w:val="16"/>
          <w:color w:val="auto"/>
        </w:rPr>
        <w:t>means any obligations of any person pursuant to any interest rate swaps, caps, collars, and similar</w:t>
      </w:r>
      <w:r>
        <w:rPr>
          <w:rFonts w:ascii="Arial" w:cs="Arial" w:eastAsia="Arial" w:hAnsi="Arial"/>
          <w:sz w:val="16"/>
          <w:szCs w:val="16"/>
          <w:b w:val="1"/>
          <w:bCs w:val="1"/>
          <w:color w:val="auto"/>
        </w:rPr>
        <w:t xml:space="preserve"> </w:t>
      </w:r>
      <w:r>
        <w:rPr>
          <w:rFonts w:ascii="Arial" w:cs="Arial" w:eastAsia="Arial" w:hAnsi="Arial"/>
          <w:sz w:val="16"/>
          <w:szCs w:val="16"/>
          <w:color w:val="auto"/>
        </w:rPr>
        <w:t>arrangements providing 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67" w:lineRule="exact"/>
        <w:rPr>
          <w:sz w:val="20"/>
          <w:szCs w:val="20"/>
          <w:color w:val="auto"/>
        </w:rPr>
      </w:pPr>
    </w:p>
    <w:p>
      <w:pPr>
        <w:ind w:left="700" w:firstLine="397"/>
        <w:spacing w:after="0" w:line="303" w:lineRule="auto"/>
        <w:rPr>
          <w:sz w:val="20"/>
          <w:szCs w:val="20"/>
          <w:color w:val="auto"/>
        </w:rPr>
      </w:pPr>
      <w:r>
        <w:rPr>
          <w:rFonts w:ascii="Arial" w:cs="Arial" w:eastAsia="Arial" w:hAnsi="Arial"/>
          <w:sz w:val="16"/>
          <w:szCs w:val="16"/>
          <w:b w:val="1"/>
          <w:bCs w:val="1"/>
          <w:color w:val="auto"/>
        </w:rPr>
        <w:t xml:space="preserve">“Lien” </w:t>
      </w:r>
      <w:r>
        <w:rPr>
          <w:rFonts w:ascii="Arial" w:cs="Arial" w:eastAsia="Arial" w:hAnsi="Arial"/>
          <w:sz w:val="16"/>
          <w:szCs w:val="16"/>
          <w:color w:val="auto"/>
        </w:rPr>
        <w:t>means, with respect to any asset, any mortgage, lien, pledge, charge, security interest or encumbrance of any kind,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type of preferential 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 xml:space="preserve">“Permitted Liens” </w:t>
      </w:r>
      <w:r>
        <w:rPr>
          <w:rFonts w:ascii="Arial" w:cs="Arial" w:eastAsia="Arial" w:hAnsi="Arial"/>
          <w:sz w:val="18"/>
          <w:szCs w:val="18"/>
          <w:color w:val="auto"/>
        </w:rPr>
        <w:t>means:</w:t>
      </w:r>
    </w:p>
    <w:p>
      <w:pPr>
        <w:spacing w:after="0" w:line="135" w:lineRule="exact"/>
        <w:rPr>
          <w:sz w:val="20"/>
          <w:szCs w:val="20"/>
          <w:color w:val="auto"/>
        </w:rPr>
      </w:pPr>
    </w:p>
    <w:p>
      <w:pPr>
        <w:ind w:left="1400" w:hanging="302"/>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Lien on any asset incurred prior to the date of the senior indenture;</w:t>
      </w:r>
    </w:p>
    <w:p>
      <w:pPr>
        <w:spacing w:after="0" w:line="117" w:lineRule="exact"/>
        <w:rPr>
          <w:rFonts w:ascii="Arial" w:cs="Arial" w:eastAsia="Arial" w:hAnsi="Arial"/>
          <w:sz w:val="18"/>
          <w:szCs w:val="18"/>
          <w:color w:val="auto"/>
        </w:rPr>
      </w:pPr>
    </w:p>
    <w:p>
      <w:pPr>
        <w:ind w:left="1400" w:right="120" w:hanging="302"/>
        <w:spacing w:after="0" w:line="276" w:lineRule="auto"/>
        <w:tabs>
          <w:tab w:leader="none" w:pos="14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64" w:lineRule="exact"/>
        <w:rPr>
          <w:rFonts w:ascii="Arial" w:cs="Arial" w:eastAsia="Arial" w:hAnsi="Arial"/>
          <w:sz w:val="17"/>
          <w:szCs w:val="17"/>
          <w:color w:val="auto"/>
        </w:rPr>
      </w:pPr>
    </w:p>
    <w:p>
      <w:pPr>
        <w:ind w:left="1400" w:hanging="302"/>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Lien on any assets in favor of us or any cable guarantor;</w:t>
      </w:r>
    </w:p>
    <w:p>
      <w:pPr>
        <w:spacing w:after="0" w:line="117" w:lineRule="exact"/>
        <w:rPr>
          <w:rFonts w:ascii="Arial" w:cs="Arial" w:eastAsia="Arial" w:hAnsi="Arial"/>
          <w:sz w:val="18"/>
          <w:szCs w:val="18"/>
          <w:color w:val="auto"/>
        </w:rPr>
      </w:pPr>
    </w:p>
    <w:p>
      <w:pPr>
        <w:ind w:left="1400" w:right="560" w:hanging="302"/>
        <w:spacing w:after="0" w:line="277"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Lien on assets incurred in connection with the issuance of tax-exempt governmental obligations (including, without limitation, industrial revenue bonds and similar financing);</w:t>
      </w:r>
    </w:p>
    <w:p>
      <w:pPr>
        <w:spacing w:after="0" w:line="62" w:lineRule="exact"/>
        <w:rPr>
          <w:rFonts w:ascii="Arial" w:cs="Arial" w:eastAsia="Arial" w:hAnsi="Arial"/>
          <w:sz w:val="18"/>
          <w:szCs w:val="18"/>
          <w:color w:val="auto"/>
        </w:rPr>
      </w:pPr>
    </w:p>
    <w:p>
      <w:pPr>
        <w:ind w:left="1400" w:right="260" w:hanging="302"/>
        <w:spacing w:after="0" w:line="277" w:lineRule="auto"/>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62" w:lineRule="exact"/>
        <w:rPr>
          <w:rFonts w:ascii="Arial" w:cs="Arial" w:eastAsia="Arial" w:hAnsi="Arial"/>
          <w:sz w:val="18"/>
          <w:szCs w:val="18"/>
          <w:color w:val="auto"/>
        </w:rPr>
      </w:pPr>
    </w:p>
    <w:p>
      <w:pPr>
        <w:jc w:val="both"/>
        <w:ind w:left="1400" w:right="580" w:hanging="302"/>
        <w:spacing w:after="0" w:line="312" w:lineRule="auto"/>
        <w:tabs>
          <w:tab w:leader="none" w:pos="14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48" w:lineRule="exact"/>
        <w:rPr>
          <w:sz w:val="20"/>
          <w:szCs w:val="20"/>
          <w:color w:val="auto"/>
        </w:rPr>
      </w:pPr>
    </w:p>
    <w:p>
      <w:pPr>
        <w:ind w:left="700" w:right="60" w:firstLine="397"/>
        <w:spacing w:after="0" w:line="266" w:lineRule="auto"/>
        <w:rPr>
          <w:sz w:val="20"/>
          <w:szCs w:val="20"/>
          <w:color w:val="auto"/>
        </w:rPr>
      </w:pPr>
      <w:r>
        <w:rPr>
          <w:rFonts w:ascii="Arial" w:cs="Arial" w:eastAsia="Arial" w:hAnsi="Arial"/>
          <w:sz w:val="18"/>
          <w:szCs w:val="18"/>
          <w:b w:val="1"/>
          <w:bCs w:val="1"/>
          <w:color w:val="auto"/>
        </w:rPr>
        <w:t xml:space="preserve">“Sale and Leaseback Transaction” </w:t>
      </w:r>
      <w:r>
        <w:rPr>
          <w:rFonts w:ascii="Arial" w:cs="Arial" w:eastAsia="Arial" w:hAnsi="Arial"/>
          <w:sz w:val="18"/>
          <w:szCs w:val="18"/>
          <w:color w:val="auto"/>
        </w:rPr>
        <w:t>means any direct or indirect arrangement with any person or to which any such person is a</w:t>
      </w:r>
      <w:r>
        <w:rPr>
          <w:rFonts w:ascii="Arial" w:cs="Arial" w:eastAsia="Arial" w:hAnsi="Arial"/>
          <w:sz w:val="18"/>
          <w:szCs w:val="18"/>
          <w:b w:val="1"/>
          <w:bCs w:val="1"/>
          <w:color w:val="auto"/>
        </w:rPr>
        <w:t xml:space="preserve"> </w:t>
      </w:r>
      <w:r>
        <w:rPr>
          <w:rFonts w:ascii="Arial" w:cs="Arial" w:eastAsia="Arial" w:hAnsi="Arial"/>
          <w:sz w:val="18"/>
          <w:szCs w:val="18"/>
          <w:color w:val="auto"/>
        </w:rPr>
        <w:t>party, providing for the leasing to us or a cable guarantor of any property, whether owned by us or such cable guarantor at the date of the original issuance of the debt securities or later acquired,</w:t>
      </w:r>
    </w:p>
    <w:p>
      <w:pPr>
        <w:spacing w:after="0" w:line="3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80"/>
        <w:spacing w:after="0" w:line="277" w:lineRule="auto"/>
        <w:rPr>
          <w:sz w:val="20"/>
          <w:szCs w:val="20"/>
          <w:color w:val="auto"/>
        </w:rPr>
      </w:pPr>
      <w:r>
        <w:rPr>
          <w:rFonts w:ascii="Arial" w:cs="Arial" w:eastAsia="Arial" w:hAnsi="Arial"/>
          <w:sz w:val="18"/>
          <w:szCs w:val="18"/>
          <w:color w:val="auto"/>
        </w:rPr>
        <w:t>which has been or is to be sold or transferred by us or such cable guarantor to such person or to any other person by whom funds have been or are to be advanced on the security of such property.</w:t>
      </w:r>
    </w:p>
    <w:p>
      <w:pPr>
        <w:spacing w:after="0" w:line="76"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i w:val="1"/>
          <w:iCs w:val="1"/>
          <w:color w:val="auto"/>
        </w:rPr>
        <w:t xml:space="preserve">Financial Information. </w:t>
      </w:r>
      <w:r>
        <w:rPr>
          <w:rFonts w:ascii="Arial" w:cs="Arial" w:eastAsia="Arial" w:hAnsi="Arial"/>
          <w:sz w:val="18"/>
          <w:szCs w:val="18"/>
          <w:color w:val="auto"/>
        </w:rPr>
        <w:t>We will file, whether or not required to do so under applicable law, with the trustee, within 15 days after</w:t>
      </w:r>
      <w:r>
        <w:rPr>
          <w:rFonts w:ascii="Arial" w:cs="Arial" w:eastAsia="Arial" w:hAnsi="Arial"/>
          <w:sz w:val="18"/>
          <w:szCs w:val="18"/>
          <w:i w:val="1"/>
          <w:iCs w:val="1"/>
          <w:color w:val="auto"/>
        </w:rPr>
        <w:t xml:space="preserve"> </w:t>
      </w:r>
      <w:r>
        <w:rPr>
          <w:rFonts w:ascii="Arial" w:cs="Arial" w:eastAsia="Arial" w:hAnsi="Arial"/>
          <w:sz w:val="18"/>
          <w:szCs w:val="18"/>
          <w:color w:val="auto"/>
        </w:rPr>
        <w:t>being required to file the same under the Securities Exchange Act of 1934 (hereinafter, the “Exchange Act”), copies of the annual reports and the information, documents and other reports to be filed pursuant to Section 13 or 15(d) of the Exchange Act. We intend to file all such reports, information and documents with the SEC, whether or not required by Section 13 or 15(d), and will send copies to the trustee within such 15-day period.</w:t>
      </w:r>
    </w:p>
    <w:p>
      <w:pPr>
        <w:spacing w:after="0" w:line="94"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i w:val="1"/>
          <w:iCs w:val="1"/>
          <w:color w:val="auto"/>
        </w:rPr>
        <w:t xml:space="preserve">Consolidation, Merger and Sale of Assets. </w:t>
      </w:r>
      <w:r>
        <w:rPr>
          <w:rFonts w:ascii="Arial" w:cs="Arial" w:eastAsia="Arial" w:hAnsi="Arial"/>
          <w:sz w:val="17"/>
          <w:szCs w:val="17"/>
          <w:color w:val="auto"/>
        </w:rPr>
        <w:t>The senior indenture restricts our ability to consolidate with, merge with or into, or sell,</w:t>
      </w:r>
      <w:r>
        <w:rPr>
          <w:rFonts w:ascii="Arial" w:cs="Arial" w:eastAsia="Arial" w:hAnsi="Arial"/>
          <w:sz w:val="17"/>
          <w:szCs w:val="17"/>
          <w:i w:val="1"/>
          <w:iCs w:val="1"/>
          <w:color w:val="auto"/>
        </w:rPr>
        <w:t xml:space="preserve"> </w:t>
      </w:r>
      <w:r>
        <w:rPr>
          <w:rFonts w:ascii="Arial" w:cs="Arial" w:eastAsia="Arial" w:hAnsi="Arial"/>
          <w:sz w:val="17"/>
          <w:szCs w:val="17"/>
          <w:color w:val="auto"/>
        </w:rPr>
        <w:t>convey, transfer, lease, or otherwise dispose of all or substantially all of our property and assets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shall be issued or distributed to our stockholders) unless:</w:t>
      </w:r>
    </w:p>
    <w:p>
      <w:pPr>
        <w:spacing w:after="0" w:line="78" w:lineRule="exact"/>
        <w:rPr>
          <w:sz w:val="20"/>
          <w:szCs w:val="20"/>
          <w:color w:val="auto"/>
        </w:rPr>
      </w:pPr>
    </w:p>
    <w:p>
      <w:pPr>
        <w:ind w:left="1400" w:right="180" w:hanging="302"/>
        <w:spacing w:after="0" w:line="302" w:lineRule="auto"/>
        <w:tabs>
          <w:tab w:leader="none" w:pos="1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are the continuing person or the person formed by such consolidation or into which we are merged or that acquired all or substantially all of our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46" w:lineRule="exact"/>
        <w:rPr>
          <w:rFonts w:ascii="Arial" w:cs="Arial" w:eastAsia="Arial" w:hAnsi="Arial"/>
          <w:sz w:val="16"/>
          <w:szCs w:val="16"/>
          <w:color w:val="auto"/>
        </w:rPr>
      </w:pPr>
    </w:p>
    <w:p>
      <w:pPr>
        <w:ind w:left="1400" w:hanging="302"/>
        <w:spacing w:after="0"/>
        <w:tabs>
          <w:tab w:leader="none" w:pos="14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no default or event of default shall have occurred and be continuing; and</w:t>
      </w:r>
    </w:p>
    <w:p>
      <w:pPr>
        <w:spacing w:after="0" w:line="140" w:lineRule="exact"/>
        <w:rPr>
          <w:rFonts w:ascii="Arial" w:cs="Arial" w:eastAsia="Arial" w:hAnsi="Arial"/>
          <w:sz w:val="16"/>
          <w:szCs w:val="16"/>
          <w:color w:val="auto"/>
        </w:rPr>
      </w:pPr>
    </w:p>
    <w:p>
      <w:pPr>
        <w:ind w:left="1400" w:right="160" w:hanging="302"/>
        <w:spacing w:after="0" w:line="286" w:lineRule="auto"/>
        <w:tabs>
          <w:tab w:leader="none" w:pos="14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71" w:lineRule="exact"/>
        <w:rPr>
          <w:sz w:val="20"/>
          <w:szCs w:val="20"/>
          <w:color w:val="auto"/>
        </w:rPr>
      </w:pPr>
    </w:p>
    <w:p>
      <w:pPr>
        <w:ind w:left="700" w:right="140"/>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the foregoing limitations will not apply if, in the good faith determination of our board of directors set forth in a</w:t>
      </w:r>
      <w:r>
        <w:rPr>
          <w:rFonts w:ascii="Arial" w:cs="Arial" w:eastAsia="Arial" w:hAnsi="Arial"/>
          <w:sz w:val="18"/>
          <w:szCs w:val="18"/>
          <w:i w:val="1"/>
          <w:iCs w:val="1"/>
          <w:color w:val="auto"/>
        </w:rPr>
        <w:t xml:space="preserve"> </w:t>
      </w:r>
      <w:r>
        <w:rPr>
          <w:rFonts w:ascii="Arial" w:cs="Arial" w:eastAsia="Arial" w:hAnsi="Arial"/>
          <w:sz w:val="18"/>
          <w:szCs w:val="18"/>
          <w:color w:val="auto"/>
        </w:rPr>
        <w:t>board resolution, the principal purpose of such transaction is to change our state of incorporation; and provided further that any such transaction shall not have as one of its purposes the evasion of the foregoing limitations.</w:t>
      </w:r>
    </w:p>
    <w:p>
      <w:pPr>
        <w:spacing w:after="0" w:line="87"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7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31" w:lineRule="exact"/>
        <w:rPr>
          <w:sz w:val="20"/>
          <w:szCs w:val="20"/>
          <w:color w:val="auto"/>
        </w:rPr>
      </w:pPr>
    </w:p>
    <w:p>
      <w:pPr>
        <w:ind w:left="700" w:right="100" w:firstLine="397"/>
        <w:spacing w:after="0" w:line="342" w:lineRule="auto"/>
        <w:rPr>
          <w:sz w:val="20"/>
          <w:szCs w:val="20"/>
          <w:color w:val="auto"/>
        </w:rPr>
      </w:pPr>
      <w:r>
        <w:rPr>
          <w:rFonts w:ascii="Arial" w:cs="Arial" w:eastAsia="Arial" w:hAnsi="Arial"/>
          <w:sz w:val="16"/>
          <w:szCs w:val="16"/>
          <w:color w:val="auto"/>
        </w:rPr>
        <w:t>For purposes of this section, the term “Obligor” shall mean each of us, Comcast Cable, Comcast Cable Communications Holdings, Comcast Cable Holdings, Comcast MO Group and Comcast MO of Delaware, in each case excluding such entity’s subsidiaries.</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 event of default for a series of senior debt securities is defined under the senior indenture as being:</w:t>
      </w:r>
    </w:p>
    <w:p>
      <w:pPr>
        <w:spacing w:after="0" w:line="131" w:lineRule="exact"/>
        <w:rPr>
          <w:sz w:val="20"/>
          <w:szCs w:val="20"/>
          <w:color w:val="auto"/>
        </w:rPr>
      </w:pPr>
    </w:p>
    <w:p>
      <w:pPr>
        <w:ind w:left="700" w:right="320" w:firstLine="390"/>
        <w:spacing w:after="0" w:line="277" w:lineRule="auto"/>
        <w:tabs>
          <w:tab w:leader="none" w:pos="13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default by any Obligor in the payment of principal or premium, if any, on the senior debt securities of such series when the same becomes due and payable, whether at maturity, upon redemption, by declaration or otherwise;</w:t>
      </w:r>
    </w:p>
    <w:p>
      <w:pPr>
        <w:spacing w:after="0" w:line="75" w:lineRule="exact"/>
        <w:rPr>
          <w:rFonts w:ascii="Arial" w:cs="Arial" w:eastAsia="Arial" w:hAnsi="Arial"/>
          <w:sz w:val="18"/>
          <w:szCs w:val="18"/>
          <w:color w:val="auto"/>
        </w:rPr>
      </w:pPr>
    </w:p>
    <w:p>
      <w:pPr>
        <w:ind w:left="700" w:right="160" w:firstLine="390"/>
        <w:spacing w:after="0" w:line="277" w:lineRule="auto"/>
        <w:tabs>
          <w:tab w:leader="none" w:pos="13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default by any Obligor in the payment of interest on the senior debt securities of such series when the same becomes due and payable, if that default continues for a period of 30 days;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firstLine="390"/>
        <w:spacing w:after="0" w:line="259" w:lineRule="auto"/>
        <w:tabs>
          <w:tab w:leader="none" w:pos="13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default by any Obligor in the performance of or breach by any Obligor of any of its other covenants or agreements in the senior indenture applicable to the senior debt securities of such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92" w:lineRule="exact"/>
        <w:rPr>
          <w:rFonts w:ascii="Arial" w:cs="Arial" w:eastAsia="Arial" w:hAnsi="Arial"/>
          <w:sz w:val="18"/>
          <w:szCs w:val="18"/>
          <w:color w:val="auto"/>
        </w:rPr>
      </w:pPr>
    </w:p>
    <w:p>
      <w:pPr>
        <w:ind w:left="1340" w:hanging="250"/>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cable guarantee is not (or is claimed by any cable guarantor not to be) in full force and effect;</w:t>
      </w:r>
    </w:p>
    <w:p>
      <w:pPr>
        <w:spacing w:after="0" w:line="130" w:lineRule="exact"/>
        <w:rPr>
          <w:rFonts w:ascii="Arial" w:cs="Arial" w:eastAsia="Arial" w:hAnsi="Arial"/>
          <w:sz w:val="18"/>
          <w:szCs w:val="18"/>
          <w:color w:val="auto"/>
        </w:rPr>
      </w:pPr>
    </w:p>
    <w:p>
      <w:pPr>
        <w:ind w:left="1340" w:hanging="250"/>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900" w:right="100" w:hanging="411"/>
        <w:spacing w:after="0" w:line="277" w:lineRule="auto"/>
        <w:tabs>
          <w:tab w:leader="none" w:pos="1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relief in respect of any Obligor in an involuntary case under any applicable bankruptcy, insolvency, or other similar law now or hereafter in effect;</w:t>
      </w:r>
    </w:p>
    <w:p>
      <w:pPr>
        <w:spacing w:after="0" w:line="62" w:lineRule="exact"/>
        <w:rPr>
          <w:rFonts w:ascii="Arial" w:cs="Arial" w:eastAsia="Arial" w:hAnsi="Arial"/>
          <w:sz w:val="18"/>
          <w:szCs w:val="18"/>
          <w:color w:val="auto"/>
        </w:rPr>
      </w:pPr>
    </w:p>
    <w:p>
      <w:pPr>
        <w:ind w:left="1900" w:right="160" w:hanging="411"/>
        <w:spacing w:after="0" w:line="277" w:lineRule="auto"/>
        <w:tabs>
          <w:tab w:leader="none" w:pos="1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appointment of a receiver, liquidator, assignee, custodian, trustee, sequestrator or similar official of any Obligor for any substantial part of such party’s property and assets; or</w:t>
      </w:r>
    </w:p>
    <w:p>
      <w:pPr>
        <w:spacing w:after="0" w:line="62" w:lineRule="exact"/>
        <w:rPr>
          <w:rFonts w:ascii="Arial" w:cs="Arial" w:eastAsia="Arial" w:hAnsi="Arial"/>
          <w:sz w:val="18"/>
          <w:szCs w:val="18"/>
          <w:color w:val="auto"/>
        </w:rPr>
      </w:pPr>
    </w:p>
    <w:p>
      <w:pPr>
        <w:ind w:left="1900" w:right="120" w:hanging="411"/>
        <w:spacing w:after="0" w:line="277" w:lineRule="auto"/>
        <w:tabs>
          <w:tab w:leader="none" w:pos="1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winding up or liquidation of any Obligor’s affairs and such decree or order shall remain unstayed and in effect for a period of 180 consecutive days; or</w:t>
      </w:r>
    </w:p>
    <w:p>
      <w:pPr>
        <w:spacing w:after="0" w:line="75" w:lineRule="exact"/>
        <w:rPr>
          <w:rFonts w:ascii="Arial" w:cs="Arial" w:eastAsia="Arial" w:hAnsi="Arial"/>
          <w:sz w:val="18"/>
          <w:szCs w:val="18"/>
          <w:color w:val="auto"/>
        </w:rPr>
      </w:pPr>
    </w:p>
    <w:p>
      <w:pPr>
        <w:ind w:left="1340" w:hanging="250"/>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Obligor:</w:t>
      </w:r>
    </w:p>
    <w:p>
      <w:pPr>
        <w:spacing w:after="0" w:line="130" w:lineRule="exact"/>
        <w:rPr>
          <w:rFonts w:ascii="Arial" w:cs="Arial" w:eastAsia="Arial" w:hAnsi="Arial"/>
          <w:sz w:val="18"/>
          <w:szCs w:val="18"/>
          <w:color w:val="auto"/>
        </w:rPr>
      </w:pPr>
    </w:p>
    <w:p>
      <w:pPr>
        <w:ind w:left="1900" w:right="480" w:hanging="411"/>
        <w:spacing w:after="0" w:line="308" w:lineRule="auto"/>
        <w:tabs>
          <w:tab w:leader="none" w:pos="19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commences a voluntary case under any applicable bankruptcy, insolvency, or other similar law now or hereafter in effect, or consents to the entry of an order for relief in an involuntary case under any such law;</w:t>
      </w:r>
    </w:p>
    <w:p>
      <w:pPr>
        <w:spacing w:after="0" w:line="38" w:lineRule="exact"/>
        <w:rPr>
          <w:rFonts w:ascii="Arial" w:cs="Arial" w:eastAsia="Arial" w:hAnsi="Arial"/>
          <w:sz w:val="17"/>
          <w:szCs w:val="17"/>
          <w:color w:val="auto"/>
        </w:rPr>
      </w:pPr>
    </w:p>
    <w:p>
      <w:pPr>
        <w:ind w:left="1900" w:hanging="411"/>
        <w:spacing w:after="0" w:line="277" w:lineRule="auto"/>
        <w:tabs>
          <w:tab w:leader="none" w:pos="1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62" w:lineRule="exact"/>
        <w:rPr>
          <w:rFonts w:ascii="Arial" w:cs="Arial" w:eastAsia="Arial" w:hAnsi="Arial"/>
          <w:sz w:val="18"/>
          <w:szCs w:val="18"/>
          <w:color w:val="auto"/>
        </w:rPr>
      </w:pPr>
    </w:p>
    <w:p>
      <w:pPr>
        <w:ind w:left="1900" w:hanging="411"/>
        <w:spacing w:after="0"/>
        <w:tabs>
          <w:tab w:leader="none" w:pos="1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default under any Obligor’s other indebtedness is not a default under the senior indenture.</w:t>
      </w:r>
    </w:p>
    <w:p>
      <w:pPr>
        <w:spacing w:after="0" w:line="131" w:lineRule="exact"/>
        <w:rPr>
          <w:sz w:val="20"/>
          <w:szCs w:val="20"/>
          <w:color w:val="auto"/>
        </w:rPr>
      </w:pPr>
    </w:p>
    <w:p>
      <w:pPr>
        <w:ind w:left="700" w:right="80" w:firstLine="397"/>
        <w:spacing w:after="0" w:line="272" w:lineRule="auto"/>
        <w:rPr>
          <w:sz w:val="20"/>
          <w:szCs w:val="20"/>
          <w:color w:val="auto"/>
        </w:rPr>
      </w:pPr>
      <w:r>
        <w:rPr>
          <w:rFonts w:ascii="Arial" w:cs="Arial" w:eastAsia="Arial" w:hAnsi="Arial"/>
          <w:sz w:val="17"/>
          <w:szCs w:val="17"/>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declare the principal amount of and accrued interest, if any, on such senior debt securities to be immediately due and payable and upon any such declaration, the same shall become immediately due and payable. The amount due upon acceleration shall include only the original issue price of the senior debt securities and accrued interest to the date of acceleration, if any.</w:t>
      </w:r>
    </w:p>
    <w:p>
      <w:pPr>
        <w:spacing w:after="0" w:line="83" w:lineRule="exact"/>
        <w:rPr>
          <w:sz w:val="20"/>
          <w:szCs w:val="20"/>
          <w:color w:val="auto"/>
        </w:rPr>
      </w:pPr>
    </w:p>
    <w:p>
      <w:pPr>
        <w:ind w:left="700" w:right="60" w:firstLine="397"/>
        <w:spacing w:after="0" w:line="287" w:lineRule="auto"/>
        <w:rPr>
          <w:sz w:val="20"/>
          <w:szCs w:val="20"/>
          <w:color w:val="auto"/>
        </w:rPr>
      </w:pPr>
      <w:r>
        <w:rPr>
          <w:rFonts w:ascii="Arial" w:cs="Arial" w:eastAsia="Arial" w:hAnsi="Arial"/>
          <w:sz w:val="16"/>
          <w:szCs w:val="16"/>
          <w:color w:val="auto"/>
        </w:rPr>
        <w:t>If an event of default specified in clauses (5) and (6) above occurs with respect to any Obligor, the principal amount of and accrued interest, if any, on each issue of senior debt securities then outstanding shall be and become immediately due and payable without any notice or other action on the part of the trustee or any holder. Upon certain conditions declarations of acceleration may be rescinded and annulled and past defaults may be waived by the holders of a majority in aggregate principal amount of an issue of senior debt securities that has been accelerated. 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74"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The holders of at least a majority in aggregate principal amount of an issue of senior debt securities may direct the time, method, and place of conducting any proceeding for any remedy available to the trustee or</w:t>
      </w:r>
    </w:p>
    <w:p>
      <w:pPr>
        <w:spacing w:after="0" w:line="36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spacing w:after="0" w:line="255" w:lineRule="auto"/>
        <w:rPr>
          <w:sz w:val="20"/>
          <w:szCs w:val="20"/>
          <w:color w:val="auto"/>
        </w:rPr>
      </w:pPr>
      <w:r>
        <w:rPr>
          <w:rFonts w:ascii="Arial" w:cs="Arial" w:eastAsia="Arial" w:hAnsi="Arial"/>
          <w:sz w:val="18"/>
          <w:szCs w:val="18"/>
          <w:color w:val="auto"/>
        </w:rPr>
        <w:t>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would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99" w:lineRule="exact"/>
        <w:rPr>
          <w:sz w:val="20"/>
          <w:szCs w:val="20"/>
          <w:color w:val="auto"/>
        </w:rPr>
      </w:pPr>
    </w:p>
    <w:p>
      <w:pPr>
        <w:ind w:left="1400" w:hanging="302"/>
        <w:spacing w:after="0"/>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17" w:lineRule="exact"/>
        <w:rPr>
          <w:rFonts w:ascii="Arial" w:cs="Arial" w:eastAsia="Arial" w:hAnsi="Arial"/>
          <w:sz w:val="18"/>
          <w:szCs w:val="18"/>
          <w:color w:val="auto"/>
        </w:rPr>
      </w:pPr>
    </w:p>
    <w:p>
      <w:pPr>
        <w:ind w:left="1400" w:right="200" w:hanging="302"/>
        <w:spacing w:after="0" w:line="277" w:lineRule="auto"/>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requesting holder or holders offer the trustee indemnity satisfactory to the trustee against any costs, liability, or expense; and</w:t>
      </w:r>
    </w:p>
    <w:p>
      <w:pPr>
        <w:spacing w:after="0" w:line="140" w:lineRule="exact"/>
        <w:rPr>
          <w:rFonts w:ascii="Arial" w:cs="Arial" w:eastAsia="Arial" w:hAnsi="Arial"/>
          <w:sz w:val="16"/>
          <w:szCs w:val="16"/>
          <w:color w:val="auto"/>
        </w:rPr>
      </w:pPr>
    </w:p>
    <w:p>
      <w:pPr>
        <w:ind w:left="1400" w:hanging="302"/>
        <w:spacing w:after="0"/>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w:t>
      </w:r>
    </w:p>
    <w:p>
      <w:pPr>
        <w:spacing w:after="0" w:line="131"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 The senior indenture requires certain of our officers to certify, on or before a date not more than 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31" w:lineRule="exact"/>
        <w:rPr>
          <w:sz w:val="20"/>
          <w:szCs w:val="20"/>
          <w:color w:val="auto"/>
        </w:rPr>
      </w:pPr>
    </w:p>
    <w:p>
      <w:pPr>
        <w:ind w:left="700" w:firstLine="397"/>
        <w:spacing w:after="0" w:line="308" w:lineRule="auto"/>
        <w:rPr>
          <w:sz w:val="20"/>
          <w:szCs w:val="20"/>
          <w:color w:val="auto"/>
        </w:rPr>
      </w:pPr>
      <w:r>
        <w:rPr>
          <w:rFonts w:ascii="Arial" w:cs="Arial" w:eastAsia="Arial" w:hAnsi="Arial"/>
          <w:sz w:val="17"/>
          <w:szCs w:val="17"/>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52" w:lineRule="exact"/>
        <w:rPr>
          <w:sz w:val="20"/>
          <w:szCs w:val="20"/>
          <w:color w:val="auto"/>
        </w:rPr>
      </w:pPr>
    </w:p>
    <w:p>
      <w:pPr>
        <w:ind w:left="1400" w:right="540" w:hanging="302"/>
        <w:spacing w:after="0" w:line="342" w:lineRule="auto"/>
        <w:tabs>
          <w:tab w:leader="none" w:pos="14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15" w:lineRule="exact"/>
        <w:rPr>
          <w:rFonts w:ascii="Arial" w:cs="Arial" w:eastAsia="Arial" w:hAnsi="Arial"/>
          <w:sz w:val="16"/>
          <w:szCs w:val="16"/>
          <w:color w:val="auto"/>
        </w:rPr>
      </w:pPr>
    </w:p>
    <w:p>
      <w:pPr>
        <w:ind w:left="1400" w:right="100" w:hanging="302"/>
        <w:spacing w:after="0" w:line="277" w:lineRule="auto"/>
        <w:tabs>
          <w:tab w:leader="none" w:pos="1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76" w:lineRule="exact"/>
        <w:rPr>
          <w:sz w:val="20"/>
          <w:szCs w:val="20"/>
          <w:color w:val="auto"/>
        </w:rPr>
      </w:pPr>
    </w:p>
    <w:p>
      <w:pPr>
        <w:ind w:left="1780" w:right="20" w:hanging="385"/>
        <w:spacing w:after="0" w:line="262" w:lineRule="auto"/>
        <w:tabs>
          <w:tab w:leader="none" w:pos="1780" w:val="left"/>
        </w:tabs>
        <w:numPr>
          <w:ilvl w:val="0"/>
          <w:numId w:val="38"/>
        </w:numPr>
        <w:rPr>
          <w:rFonts w:ascii="Arial" w:cs="Arial" w:eastAsia="Arial" w:hAnsi="Arial"/>
          <w:sz w:val="21"/>
          <w:szCs w:val="21"/>
          <w:color w:val="auto"/>
        </w:rPr>
      </w:pPr>
      <w:r>
        <w:rPr>
          <w:rFonts w:ascii="Arial" w:cs="Arial" w:eastAsia="Arial" w:hAnsi="Arial"/>
          <w:sz w:val="17"/>
          <w:szCs w:val="17"/>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90" w:lineRule="exact"/>
        <w:rPr>
          <w:sz w:val="20"/>
          <w:szCs w:val="20"/>
          <w:color w:val="auto"/>
        </w:rPr>
      </w:pPr>
    </w:p>
    <w:p>
      <w:pPr>
        <w:ind w:left="2080" w:right="260" w:hanging="293"/>
        <w:spacing w:after="0" w:line="256" w:lineRule="auto"/>
        <w:tabs>
          <w:tab w:leader="none" w:pos="2080" w:val="left"/>
        </w:tabs>
        <w:numPr>
          <w:ilvl w:val="0"/>
          <w:numId w:val="39"/>
        </w:numPr>
        <w:rPr>
          <w:rFonts w:ascii="Arial" w:cs="Arial" w:eastAsia="Arial" w:hAnsi="Arial"/>
          <w:sz w:val="21"/>
          <w:szCs w:val="21"/>
          <w:color w:val="auto"/>
        </w:rPr>
      </w:pPr>
      <w:r>
        <w:rPr>
          <w:rFonts w:ascii="Arial" w:cs="Arial" w:eastAsia="Arial" w:hAnsi="Arial"/>
          <w:sz w:val="17"/>
          <w:szCs w:val="17"/>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95" w:lineRule="exact"/>
        <w:rPr>
          <w:sz w:val="20"/>
          <w:szCs w:val="20"/>
          <w:color w:val="auto"/>
        </w:rPr>
      </w:pPr>
    </w:p>
    <w:p>
      <w:pPr>
        <w:ind w:left="1380" w:right="60" w:firstLine="369"/>
        <w:spacing w:after="0" w:line="277" w:lineRule="auto"/>
        <w:rPr>
          <w:sz w:val="20"/>
          <w:szCs w:val="20"/>
          <w:color w:val="auto"/>
        </w:rPr>
      </w:pPr>
      <w:r>
        <w:rPr>
          <w:rFonts w:ascii="Arial" w:cs="Arial" w:eastAsia="Arial" w:hAnsi="Arial"/>
          <w:sz w:val="18"/>
          <w:szCs w:val="18"/>
          <w:color w:val="auto"/>
        </w:rPr>
        <w:t>With respect to all senior debt securities which have been delivered to the trustee for cancellation and for which have been paid all sums payable by us under the senior indenture, only our obligations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80" w:right="40"/>
        <w:spacing w:after="0" w:line="289" w:lineRule="auto"/>
        <w:rPr>
          <w:sz w:val="20"/>
          <w:szCs w:val="20"/>
          <w:color w:val="auto"/>
        </w:rPr>
      </w:pPr>
      <w:r>
        <w:rPr>
          <w:rFonts w:ascii="Arial" w:cs="Arial" w:eastAsia="Arial" w:hAnsi="Arial"/>
          <w:sz w:val="16"/>
          <w:szCs w:val="16"/>
          <w:color w:val="auto"/>
        </w:rPr>
        <w:t>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satisfactory to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7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The senior indenture also provides that, except as otherwise provided in this paragraph, we:</w:t>
      </w:r>
    </w:p>
    <w:p>
      <w:pPr>
        <w:spacing w:after="0" w:line="131" w:lineRule="exact"/>
        <w:rPr>
          <w:sz w:val="20"/>
          <w:szCs w:val="20"/>
          <w:color w:val="auto"/>
        </w:rPr>
      </w:pPr>
    </w:p>
    <w:p>
      <w:pPr>
        <w:ind w:left="2080" w:right="120" w:hanging="293"/>
        <w:spacing w:after="0" w:line="264" w:lineRule="auto"/>
        <w:tabs>
          <w:tab w:leader="none" w:pos="20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86" w:lineRule="exact"/>
        <w:rPr>
          <w:rFonts w:ascii="Arial" w:cs="Arial" w:eastAsia="Arial" w:hAnsi="Arial"/>
          <w:sz w:val="18"/>
          <w:szCs w:val="18"/>
          <w:color w:val="auto"/>
        </w:rPr>
      </w:pPr>
    </w:p>
    <w:p>
      <w:pPr>
        <w:ind w:left="1400" w:right="60" w:hanging="302"/>
        <w:spacing w:after="0" w:line="264" w:lineRule="auto"/>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 Events of Default” with respect to that series of senior debt securities (“covenant defeasance”);</w:t>
      </w:r>
    </w:p>
    <w:p>
      <w:pPr>
        <w:spacing w:after="0" w:line="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conditions shall have been satisfied:</w:t>
      </w:r>
    </w:p>
    <w:p>
      <w:pPr>
        <w:spacing w:after="0" w:line="131" w:lineRule="exact"/>
        <w:rPr>
          <w:sz w:val="20"/>
          <w:szCs w:val="20"/>
          <w:color w:val="auto"/>
        </w:rPr>
      </w:pPr>
    </w:p>
    <w:p>
      <w:pPr>
        <w:ind w:left="1400" w:right="80" w:hanging="302"/>
        <w:spacing w:after="0" w:line="254" w:lineRule="auto"/>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84" w:lineRule="exact"/>
        <w:rPr>
          <w:rFonts w:ascii="Arial" w:cs="Arial" w:eastAsia="Arial" w:hAnsi="Arial"/>
          <w:sz w:val="18"/>
          <w:szCs w:val="18"/>
          <w:color w:val="auto"/>
        </w:rPr>
      </w:pPr>
    </w:p>
    <w:p>
      <w:pPr>
        <w:ind w:left="1400" w:hanging="302"/>
        <w:spacing w:after="0" w:line="277" w:lineRule="auto"/>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62" w:lineRule="exact"/>
        <w:rPr>
          <w:rFonts w:ascii="Arial" w:cs="Arial" w:eastAsia="Arial" w:hAnsi="Arial"/>
          <w:sz w:val="18"/>
          <w:szCs w:val="18"/>
          <w:color w:val="auto"/>
        </w:rPr>
      </w:pPr>
    </w:p>
    <w:p>
      <w:pPr>
        <w:ind w:left="1400" w:right="140" w:hanging="302"/>
        <w:spacing w:after="0" w:line="277" w:lineRule="auto"/>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senior debt securities of such series shall have occurred and be continuing on the date of such deposit;</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shall have delivered to the trustee:</w:t>
      </w:r>
    </w:p>
    <w:p>
      <w:pPr>
        <w:spacing w:after="0" w:line="131" w:lineRule="exact"/>
        <w:rPr>
          <w:sz w:val="20"/>
          <w:szCs w:val="20"/>
          <w:color w:val="auto"/>
        </w:rPr>
      </w:pPr>
    </w:p>
    <w:p>
      <w:pPr>
        <w:ind w:left="1780" w:right="20" w:hanging="385"/>
        <w:spacing w:after="0" w:line="245" w:lineRule="auto"/>
        <w:tabs>
          <w:tab w:leader="none" w:pos="1780" w:val="left"/>
        </w:tabs>
        <w:numPr>
          <w:ilvl w:val="0"/>
          <w:numId w:val="42"/>
        </w:numPr>
        <w:rPr>
          <w:rFonts w:ascii="Arial" w:cs="Arial" w:eastAsia="Arial" w:hAnsi="Arial"/>
          <w:sz w:val="22"/>
          <w:szCs w:val="22"/>
          <w:color w:val="auto"/>
        </w:rPr>
      </w:pPr>
      <w:r>
        <w:rPr>
          <w:rFonts w:ascii="Arial" w:cs="Arial" w:eastAsia="Arial" w:hAnsi="Arial"/>
          <w:sz w:val="18"/>
          <w:szCs w:val="18"/>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103" w:lineRule="exact"/>
        <w:rPr>
          <w:sz w:val="20"/>
          <w:szCs w:val="20"/>
          <w:color w:val="auto"/>
        </w:rPr>
      </w:pPr>
    </w:p>
    <w:p>
      <w:pPr>
        <w:ind w:left="2080" w:right="200" w:hanging="293"/>
        <w:spacing w:after="0" w:line="232" w:lineRule="auto"/>
        <w:tabs>
          <w:tab w:leader="none" w:pos="2080" w:val="left"/>
        </w:tabs>
        <w:numPr>
          <w:ilvl w:val="0"/>
          <w:numId w:val="43"/>
        </w:numPr>
        <w:rPr>
          <w:rFonts w:ascii="Arial" w:cs="Arial" w:eastAsia="Arial" w:hAnsi="Arial"/>
          <w:sz w:val="22"/>
          <w:szCs w:val="22"/>
          <w:color w:val="auto"/>
        </w:rPr>
      </w:pPr>
      <w:r>
        <w:rPr>
          <w:rFonts w:ascii="Arial" w:cs="Arial" w:eastAsia="Arial" w:hAnsi="Arial"/>
          <w:sz w:val="18"/>
          <w:szCs w:val="18"/>
          <w:color w:val="auto"/>
        </w:rPr>
        <w:t>an opinion of counsel that the holders of the senior debt securities of such series have a valid security interest in the trust funds subject to no prior liens under the Uniform Commercial Code; and</w:t>
      </w:r>
    </w:p>
    <w:p>
      <w:pPr>
        <w:spacing w:after="0" w:line="39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80" w:right="220" w:hanging="982"/>
        <w:spacing w:after="0" w:line="264" w:lineRule="auto"/>
        <w:tabs>
          <w:tab w:leader="none" w:pos="2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87"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31"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We and the trustee may amend or supplement the senior indenture or the senior debt securities without notice to or the consent of any holder:</w:t>
      </w:r>
    </w:p>
    <w:p>
      <w:pPr>
        <w:spacing w:after="0" w:line="76" w:lineRule="exact"/>
        <w:rPr>
          <w:sz w:val="20"/>
          <w:szCs w:val="20"/>
          <w:color w:val="auto"/>
        </w:rPr>
      </w:pPr>
    </w:p>
    <w:p>
      <w:pPr>
        <w:ind w:left="1400" w:hanging="302"/>
        <w:spacing w:after="0" w:line="277" w:lineRule="auto"/>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provided that such amendments or supplements shall not adversely affect the interests of the holders in any material respect;</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of Assets;”</w:t>
      </w:r>
    </w:p>
    <w:p>
      <w:pPr>
        <w:spacing w:after="0" w:line="117" w:lineRule="exact"/>
        <w:rPr>
          <w:rFonts w:ascii="Arial" w:cs="Arial" w:eastAsia="Arial" w:hAnsi="Arial"/>
          <w:sz w:val="18"/>
          <w:szCs w:val="18"/>
          <w:color w:val="auto"/>
        </w:rPr>
      </w:pPr>
    </w:p>
    <w:p>
      <w:pPr>
        <w:ind w:left="1400" w:right="580" w:hanging="302"/>
        <w:spacing w:after="0" w:line="277" w:lineRule="auto"/>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the senior indenture under the Trust Indenture Act;</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provide for uncertificated notes and to make all appropriate changes for such purpose;</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117" w:lineRule="exact"/>
        <w:rPr>
          <w:rFonts w:ascii="Arial" w:cs="Arial" w:eastAsia="Arial" w:hAnsi="Arial"/>
          <w:sz w:val="18"/>
          <w:szCs w:val="18"/>
          <w:color w:val="auto"/>
        </w:rPr>
      </w:pPr>
    </w:p>
    <w:p>
      <w:pPr>
        <w:ind w:left="1400" w:right="100" w:hanging="302"/>
        <w:spacing w:after="0" w:line="264" w:lineRule="auto"/>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73" w:lineRule="exact"/>
        <w:rPr>
          <w:rFonts w:ascii="Arial" w:cs="Arial" w:eastAsia="Arial" w:hAnsi="Arial"/>
          <w:sz w:val="18"/>
          <w:szCs w:val="18"/>
          <w:color w:val="auto"/>
        </w:rPr>
      </w:pPr>
    </w:p>
    <w:p>
      <w:pPr>
        <w:ind w:left="1400" w:hanging="302"/>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make any change so long as no senior debt securities are outstanding.</w:t>
      </w:r>
    </w:p>
    <w:p>
      <w:pPr>
        <w:spacing w:after="0" w:line="131" w:lineRule="exact"/>
        <w:rPr>
          <w:sz w:val="20"/>
          <w:szCs w:val="20"/>
          <w:color w:val="auto"/>
        </w:rPr>
      </w:pPr>
    </w:p>
    <w:p>
      <w:pPr>
        <w:jc w:val="both"/>
        <w:ind w:left="700" w:right="280" w:firstLine="397"/>
        <w:spacing w:after="0" w:line="273" w:lineRule="auto"/>
        <w:rPr>
          <w:sz w:val="20"/>
          <w:szCs w:val="20"/>
          <w:color w:val="auto"/>
        </w:rPr>
      </w:pPr>
      <w:r>
        <w:rPr>
          <w:rFonts w:ascii="Arial" w:cs="Arial" w:eastAsia="Arial" w:hAnsi="Arial"/>
          <w:sz w:val="17"/>
          <w:szCs w:val="17"/>
          <w:color w:val="auto"/>
        </w:rPr>
        <w:t>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provided, however, that each affected holder must consent to any modification, amendment or waiver that:</w:t>
      </w:r>
    </w:p>
    <w:p>
      <w:pPr>
        <w:spacing w:after="0" w:line="84" w:lineRule="exact"/>
        <w:rPr>
          <w:sz w:val="20"/>
          <w:szCs w:val="20"/>
          <w:color w:val="auto"/>
        </w:rPr>
      </w:pPr>
    </w:p>
    <w:p>
      <w:pPr>
        <w:ind w:left="1400" w:right="140" w:hanging="302"/>
        <w:spacing w:after="0" w:line="277" w:lineRule="auto"/>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sinking fund obligation or any installment of interest on, the senior debt securities of the affected series;</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the senior debt securities of the affected series;</w:t>
      </w:r>
    </w:p>
    <w:p>
      <w:pPr>
        <w:spacing w:after="0" w:line="117" w:lineRule="exact"/>
        <w:rPr>
          <w:rFonts w:ascii="Arial" w:cs="Arial" w:eastAsia="Arial" w:hAnsi="Arial"/>
          <w:sz w:val="18"/>
          <w:szCs w:val="18"/>
          <w:color w:val="auto"/>
        </w:rPr>
      </w:pPr>
    </w:p>
    <w:p>
      <w:pPr>
        <w:ind w:left="1400" w:right="340" w:hanging="302"/>
        <w:spacing w:after="0" w:line="277" w:lineRule="auto"/>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premium, if any, or interest on, the senior debt securities of the affected series;</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400" w:hanging="302"/>
        <w:spacing w:after="0"/>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117" w:lineRule="exact"/>
        <w:rPr>
          <w:rFonts w:ascii="Arial" w:cs="Arial" w:eastAsia="Arial" w:hAnsi="Arial"/>
          <w:sz w:val="18"/>
          <w:szCs w:val="18"/>
          <w:color w:val="auto"/>
        </w:rPr>
      </w:pPr>
    </w:p>
    <w:p>
      <w:pPr>
        <w:ind w:left="1400" w:right="40" w:hanging="302"/>
        <w:spacing w:after="0" w:line="264" w:lineRule="auto"/>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73" w:lineRule="exact"/>
        <w:rPr>
          <w:rFonts w:ascii="Arial" w:cs="Arial" w:eastAsia="Arial" w:hAnsi="Arial"/>
          <w:sz w:val="18"/>
          <w:szCs w:val="18"/>
          <w:color w:val="auto"/>
        </w:rPr>
      </w:pPr>
    </w:p>
    <w:p>
      <w:pPr>
        <w:ind w:left="1400" w:right="160" w:hanging="302"/>
        <w:spacing w:after="0" w:line="308" w:lineRule="auto"/>
        <w:tabs>
          <w:tab w:leader="none" w:pos="14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38" w:lineRule="exact"/>
        <w:rPr>
          <w:rFonts w:ascii="Arial" w:cs="Arial" w:eastAsia="Arial" w:hAnsi="Arial"/>
          <w:sz w:val="17"/>
          <w:szCs w:val="17"/>
          <w:color w:val="auto"/>
        </w:rPr>
      </w:pPr>
    </w:p>
    <w:p>
      <w:pPr>
        <w:ind w:left="1400" w:right="320" w:hanging="302"/>
        <w:spacing w:after="0" w:line="277" w:lineRule="auto"/>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alters or impairs the right of holders to convert the senior debt securities of the affected series at the rate and upon the terms provided in the senior indenture;</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waives a default in the payment of principal of, premium, if any, or interest on the senior debt securities;</w:t>
      </w:r>
    </w:p>
    <w:p>
      <w:pPr>
        <w:spacing w:after="0" w:line="117" w:lineRule="exact"/>
        <w:rPr>
          <w:rFonts w:ascii="Arial" w:cs="Arial" w:eastAsia="Arial" w:hAnsi="Arial"/>
          <w:sz w:val="18"/>
          <w:szCs w:val="18"/>
          <w:color w:val="auto"/>
        </w:rPr>
      </w:pPr>
    </w:p>
    <w:p>
      <w:pPr>
        <w:ind w:left="1400" w:right="100" w:hanging="302"/>
        <w:spacing w:after="0" w:line="277" w:lineRule="auto"/>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that such holder has;</w:t>
      </w:r>
    </w:p>
    <w:p>
      <w:pPr>
        <w:spacing w:after="0" w:line="62" w:lineRule="exact"/>
        <w:rPr>
          <w:rFonts w:ascii="Arial" w:cs="Arial" w:eastAsia="Arial" w:hAnsi="Arial"/>
          <w:sz w:val="18"/>
          <w:szCs w:val="18"/>
          <w:color w:val="auto"/>
        </w:rPr>
      </w:pPr>
    </w:p>
    <w:p>
      <w:pPr>
        <w:ind w:left="1400" w:right="80" w:hanging="302"/>
        <w:spacing w:after="0" w:line="264" w:lineRule="auto"/>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 or</w:t>
      </w:r>
    </w:p>
    <w:p>
      <w:pPr>
        <w:spacing w:after="0" w:line="73" w:lineRule="exact"/>
        <w:rPr>
          <w:rFonts w:ascii="Arial" w:cs="Arial" w:eastAsia="Arial" w:hAnsi="Arial"/>
          <w:sz w:val="18"/>
          <w:szCs w:val="18"/>
          <w:color w:val="auto"/>
        </w:rPr>
      </w:pPr>
    </w:p>
    <w:p>
      <w:pPr>
        <w:ind w:left="1400" w:right="740" w:hanging="302"/>
        <w:spacing w:after="0" w:line="342" w:lineRule="auto"/>
        <w:tabs>
          <w:tab w:leader="none" w:pos="14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changes or waives any provision in the senior indenture that, pursuant to a board resolution or supplemental indenture establishing the terms of one or more series of senior debt securities, is prohibited from being so changed or waived.</w:t>
      </w:r>
    </w:p>
    <w:p>
      <w:pPr>
        <w:spacing w:after="0" w:line="29" w:lineRule="exact"/>
        <w:rPr>
          <w:sz w:val="20"/>
          <w:szCs w:val="20"/>
          <w:color w:val="auto"/>
        </w:rPr>
      </w:pPr>
    </w:p>
    <w:p>
      <w:pPr>
        <w:ind w:left="700" w:right="160" w:firstLine="397"/>
        <w:spacing w:after="0" w:line="297" w:lineRule="auto"/>
        <w:rPr>
          <w:sz w:val="20"/>
          <w:szCs w:val="20"/>
          <w:color w:val="auto"/>
        </w:rPr>
      </w:pPr>
      <w:r>
        <w:rPr>
          <w:rFonts w:ascii="Arial" w:cs="Arial" w:eastAsia="Arial" w:hAnsi="Arial"/>
          <w:sz w:val="16"/>
          <w:szCs w:val="16"/>
          <w:color w:val="auto"/>
        </w:rPr>
        <w:t>It is not necessary for the consent of the holders under the senior indenture to approve the particular form of any note amendment, supplement or waiver, but it shall be sufficient if such consent approves the substance thereof. After an amendment, supplement or waiver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72"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131"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72"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31" w:lineRule="exact"/>
        <w:rPr>
          <w:sz w:val="20"/>
          <w:szCs w:val="20"/>
          <w:color w:val="auto"/>
        </w:rPr>
      </w:pPr>
    </w:p>
    <w:p>
      <w:pPr>
        <w:ind w:left="700" w:right="180" w:firstLine="397"/>
        <w:spacing w:after="0" w:line="302" w:lineRule="auto"/>
        <w:rPr>
          <w:sz w:val="20"/>
          <w:szCs w:val="20"/>
          <w:color w:val="auto"/>
        </w:rPr>
      </w:pPr>
      <w:r>
        <w:rPr>
          <w:rFonts w:ascii="Arial" w:cs="Arial" w:eastAsia="Arial" w:hAnsi="Arial"/>
          <w:sz w:val="16"/>
          <w:szCs w:val="16"/>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68"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Governing Law</w:t>
      </w:r>
    </w:p>
    <w:p>
      <w:pPr>
        <w:spacing w:after="0" w:line="131"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The senior indenture and the debt securities will be governed by, and construed in accordance with, the internal laws of the State of New York.</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The Trustees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We may have normal banking relationships with the trustee under the senior indenture in the ordinary course of business.</w:t>
      </w:r>
    </w:p>
    <w:p>
      <w:pPr>
        <w:spacing w:after="0" w:line="142"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Brian L. Roberts, our director, President and Chief Executive Officer and a director of Comcast Holdings, is a member of the board of directors of the Trustee.</w:t>
      </w:r>
    </w:p>
    <w:p>
      <w:pPr>
        <w:spacing w:after="0" w:line="76"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John R. Alchin, our Executive Vice President, Co-Chief Financial Officer and Treasurer, is a member of the board of directors of BNY Hamilton Funds, Inc., an affiliate of the Trustee.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135" w:lineRule="exact"/>
        <w:rPr>
          <w:sz w:val="20"/>
          <w:szCs w:val="20"/>
          <w:color w:val="auto"/>
        </w:rPr>
      </w:pPr>
    </w:p>
    <w:p>
      <w:pPr>
        <w:jc w:val="both"/>
        <w:ind w:left="700" w:right="520" w:firstLine="397"/>
        <w:spacing w:after="0" w:line="259"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200" w:lineRule="exact"/>
        <w:rPr>
          <w:sz w:val="20"/>
          <w:szCs w:val="20"/>
          <w:color w:val="auto"/>
        </w:rPr>
      </w:pPr>
    </w:p>
    <w:p>
      <w:pPr>
        <w:ind w:left="780"/>
        <w:spacing w:after="0"/>
        <w:rPr>
          <w:sz w:val="20"/>
          <w:szCs w:val="20"/>
          <w:color w:val="auto"/>
        </w:rPr>
      </w:pPr>
      <w:r>
        <w:rPr>
          <w:rFonts w:ascii="Arial" w:cs="Arial" w:eastAsia="Arial" w:hAnsi="Arial"/>
          <w:sz w:val="18"/>
          <w:szCs w:val="18"/>
          <w:b w:val="1"/>
          <w:bCs w:val="1"/>
          <w:i w:val="1"/>
          <w:iCs w:val="1"/>
          <w:color w:val="auto"/>
        </w:rPr>
        <w:t>Subordination</w:t>
      </w:r>
    </w:p>
    <w:p>
      <w:pPr>
        <w:spacing w:after="0" w:line="131"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87" w:lineRule="exact"/>
        <w:rPr>
          <w:sz w:val="20"/>
          <w:szCs w:val="20"/>
          <w:color w:val="auto"/>
        </w:rPr>
      </w:pPr>
    </w:p>
    <w:p>
      <w:pPr>
        <w:jc w:val="both"/>
        <w:ind w:left="700" w:right="260" w:firstLine="397"/>
        <w:spacing w:after="0" w:line="277" w:lineRule="auto"/>
        <w:rPr>
          <w:sz w:val="20"/>
          <w:szCs w:val="20"/>
          <w:color w:val="auto"/>
        </w:rPr>
      </w:pPr>
      <w:r>
        <w:rPr>
          <w:rFonts w:ascii="Arial" w:cs="Arial" w:eastAsia="Arial" w:hAnsi="Arial"/>
          <w:sz w:val="18"/>
          <w:szCs w:val="18"/>
          <w:color w:val="auto"/>
        </w:rPr>
        <w:t>The subordination provisions also apply in the same way to each cable guarantor with respect to the Senior Indebtedness of such cable guarantor.</w:t>
      </w:r>
    </w:p>
    <w:p>
      <w:pPr>
        <w:spacing w:after="0" w:line="76" w:lineRule="exact"/>
        <w:rPr>
          <w:sz w:val="20"/>
          <w:szCs w:val="20"/>
          <w:color w:val="auto"/>
        </w:rPr>
      </w:pPr>
    </w:p>
    <w:p>
      <w:pPr>
        <w:jc w:val="both"/>
        <w:ind w:left="700" w:right="280" w:firstLine="397"/>
        <w:spacing w:after="0" w:line="264" w:lineRule="auto"/>
        <w:rPr>
          <w:sz w:val="20"/>
          <w:szCs w:val="20"/>
          <w:color w:val="auto"/>
        </w:rPr>
      </w:pPr>
      <w:r>
        <w:rPr>
          <w:rFonts w:ascii="Arial" w:cs="Arial" w:eastAsia="Arial" w:hAnsi="Arial"/>
          <w:sz w:val="18"/>
          <w:szCs w:val="18"/>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87" w:lineRule="exact"/>
        <w:rPr>
          <w:sz w:val="20"/>
          <w:szCs w:val="20"/>
          <w:color w:val="auto"/>
        </w:rPr>
      </w:pPr>
    </w:p>
    <w:p>
      <w:pPr>
        <w:ind w:left="1400" w:right="260" w:hanging="302"/>
        <w:spacing w:after="0" w:line="286" w:lineRule="auto"/>
        <w:tabs>
          <w:tab w:leader="none" w:pos="14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57" w:lineRule="exact"/>
        <w:rPr>
          <w:rFonts w:ascii="Arial" w:cs="Arial" w:eastAsia="Arial" w:hAnsi="Arial"/>
          <w:sz w:val="17"/>
          <w:szCs w:val="17"/>
          <w:color w:val="auto"/>
        </w:rPr>
      </w:pPr>
    </w:p>
    <w:p>
      <w:pPr>
        <w:ind w:left="1400" w:hanging="302"/>
        <w:spacing w:after="0"/>
        <w:tabs>
          <w:tab w:leader="none" w:pos="14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all of the indebtedness of that person evidenced by notes, debentures, bonds or other securities sold by that person for money;</w:t>
      </w:r>
    </w:p>
    <w:p>
      <w:pPr>
        <w:spacing w:after="0" w:line="140" w:lineRule="exact"/>
        <w:rPr>
          <w:rFonts w:ascii="Arial" w:cs="Arial" w:eastAsia="Arial" w:hAnsi="Arial"/>
          <w:sz w:val="16"/>
          <w:szCs w:val="16"/>
          <w:color w:val="auto"/>
        </w:rPr>
      </w:pPr>
    </w:p>
    <w:p>
      <w:pPr>
        <w:ind w:left="1400" w:right="120" w:hanging="302"/>
        <w:spacing w:after="0" w:line="277" w:lineRule="auto"/>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of the lease obligations which are capitalized on the books of that person in accordance with generally accepted accounting principles;</w:t>
      </w:r>
    </w:p>
    <w:p>
      <w:pPr>
        <w:spacing w:after="0" w:line="62" w:lineRule="exact"/>
        <w:rPr>
          <w:rFonts w:ascii="Arial" w:cs="Arial" w:eastAsia="Arial" w:hAnsi="Arial"/>
          <w:sz w:val="18"/>
          <w:szCs w:val="18"/>
          <w:color w:val="auto"/>
        </w:rPr>
      </w:pPr>
    </w:p>
    <w:p>
      <w:pPr>
        <w:ind w:left="1400" w:right="120" w:hanging="302"/>
        <w:spacing w:after="0" w:line="286" w:lineRule="auto"/>
        <w:tabs>
          <w:tab w:leader="none" w:pos="14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57" w:lineRule="exact"/>
        <w:rPr>
          <w:rFonts w:ascii="Arial" w:cs="Arial" w:eastAsia="Arial" w:hAnsi="Arial"/>
          <w:sz w:val="17"/>
          <w:szCs w:val="17"/>
          <w:color w:val="auto"/>
        </w:rPr>
      </w:pPr>
    </w:p>
    <w:p>
      <w:pPr>
        <w:ind w:left="1400" w:right="280" w:hanging="302"/>
        <w:spacing w:after="0" w:line="308" w:lineRule="auto"/>
        <w:tabs>
          <w:tab w:leader="none" w:pos="14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w:t>
      </w:r>
      <w:r>
        <w:rPr>
          <w:rFonts w:ascii="Arial" w:cs="Arial" w:eastAsia="Arial" w:hAnsi="Arial"/>
          <w:sz w:val="18"/>
          <w:szCs w:val="18"/>
          <w:i w:val="1"/>
          <w:iCs w:val="1"/>
          <w:color w:val="auto"/>
        </w:rPr>
        <w:t xml:space="preserve"> </w:t>
      </w:r>
      <w:r>
        <w:rPr>
          <w:rFonts w:ascii="Arial" w:cs="Arial" w:eastAsia="Arial" w:hAnsi="Arial"/>
          <w:sz w:val="18"/>
          <w:szCs w:val="18"/>
          <w:color w:val="auto"/>
        </w:rPr>
        <w:t>or the assumption or 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Convertible Debt Securities</w:t>
      </w:r>
    </w:p>
    <w:p>
      <w:pPr>
        <w:spacing w:after="0" w:line="135"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94"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Unless otherwise indicated in the prospectus supplement, the following provisions will apply to debt securities being offered that may be exchanged for or converted into capital stock:</w:t>
      </w:r>
    </w:p>
    <w:p>
      <w:pPr>
        <w:spacing w:after="0" w:line="76"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94"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60"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76" w:lineRule="exact"/>
        <w:rPr>
          <w:sz w:val="20"/>
          <w:szCs w:val="20"/>
          <w:color w:val="auto"/>
        </w:rPr>
      </w:pPr>
    </w:p>
    <w:p>
      <w:pPr>
        <w:ind w:left="1400" w:right="600" w:hanging="302"/>
        <w:spacing w:after="0" w:line="277" w:lineRule="auto"/>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issuance of shares of any class of capital stock of ours as a dividend on the class of capital stock into which the debt securities of such series are convertible;</w:t>
      </w:r>
    </w:p>
    <w:p>
      <w:pPr>
        <w:spacing w:after="0" w:line="62" w:lineRule="exact"/>
        <w:rPr>
          <w:rFonts w:ascii="Arial" w:cs="Arial" w:eastAsia="Arial" w:hAnsi="Arial"/>
          <w:sz w:val="18"/>
          <w:szCs w:val="18"/>
          <w:color w:val="auto"/>
        </w:rPr>
      </w:pPr>
    </w:p>
    <w:p>
      <w:pPr>
        <w:ind w:left="1400" w:right="560" w:hanging="302"/>
        <w:spacing w:after="0" w:line="277" w:lineRule="auto"/>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the class of capital stock into which debt securities of such series are convertible;</w:t>
      </w:r>
    </w:p>
    <w:p>
      <w:pPr>
        <w:spacing w:after="0" w:line="62" w:lineRule="exact"/>
        <w:rPr>
          <w:rFonts w:ascii="Arial" w:cs="Arial" w:eastAsia="Arial" w:hAnsi="Arial"/>
          <w:sz w:val="18"/>
          <w:szCs w:val="18"/>
          <w:color w:val="auto"/>
        </w:rPr>
      </w:pPr>
    </w:p>
    <w:p>
      <w:pPr>
        <w:ind w:left="1400" w:right="360" w:hanging="302"/>
        <w:spacing w:after="0" w:line="312" w:lineRule="auto"/>
        <w:tabs>
          <w:tab w:leader="none" w:pos="14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issuance to all holders of the class of capital stock into which debt securities of such series are convertible or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38" w:lineRule="exact"/>
        <w:rPr>
          <w:rFonts w:ascii="Arial" w:cs="Arial" w:eastAsia="Arial" w:hAnsi="Arial"/>
          <w:sz w:val="16"/>
          <w:szCs w:val="16"/>
          <w:color w:val="auto"/>
        </w:rPr>
      </w:pPr>
    </w:p>
    <w:p>
      <w:pPr>
        <w:ind w:left="1400" w:right="140" w:hanging="302"/>
        <w:spacing w:after="0" w:line="342" w:lineRule="auto"/>
        <w:tabs>
          <w:tab w:leader="none" w:pos="14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15" w:lineRule="exact"/>
        <w:rPr>
          <w:rFonts w:ascii="Arial" w:cs="Arial" w:eastAsia="Arial" w:hAnsi="Arial"/>
          <w:sz w:val="16"/>
          <w:szCs w:val="16"/>
          <w:color w:val="auto"/>
        </w:rPr>
      </w:pPr>
    </w:p>
    <w:p>
      <w:pPr>
        <w:ind w:left="1400" w:hanging="302"/>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distributions of cash in excess of certain threshold amounts.</w:t>
      </w:r>
    </w:p>
    <w:p>
      <w:pPr>
        <w:spacing w:after="0" w:line="131"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87"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GLOBAL SECURITIES</w:t>
      </w:r>
    </w:p>
    <w:p>
      <w:pPr>
        <w:spacing w:after="0" w:line="135" w:lineRule="exact"/>
        <w:rPr>
          <w:sz w:val="20"/>
          <w:szCs w:val="20"/>
          <w:color w:val="auto"/>
        </w:rPr>
      </w:pPr>
    </w:p>
    <w:p>
      <w:pPr>
        <w:ind w:left="700" w:right="140" w:firstLine="397"/>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72" w:lineRule="exact"/>
        <w:rPr>
          <w:sz w:val="20"/>
          <w:szCs w:val="20"/>
          <w:color w:val="auto"/>
        </w:rPr>
      </w:pPr>
    </w:p>
    <w:p>
      <w:pPr>
        <w:jc w:val="both"/>
        <w:ind w:left="700" w:right="180" w:firstLine="397"/>
        <w:spacing w:after="0" w:line="264" w:lineRule="auto"/>
        <w:rPr>
          <w:sz w:val="20"/>
          <w:szCs w:val="20"/>
          <w:color w:val="auto"/>
        </w:rPr>
      </w:pPr>
      <w:r>
        <w:rPr>
          <w:rFonts w:ascii="Arial" w:cs="Arial" w:eastAsia="Arial" w:hAnsi="Arial"/>
          <w:sz w:val="18"/>
          <w:szCs w:val="18"/>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7" w:lineRule="exact"/>
        <w:rPr>
          <w:sz w:val="20"/>
          <w:szCs w:val="20"/>
          <w:color w:val="auto"/>
        </w:rPr>
      </w:pPr>
    </w:p>
    <w:p>
      <w:pPr>
        <w:ind w:left="700" w:right="60" w:firstLine="397"/>
        <w:spacing w:after="0" w:line="270" w:lineRule="auto"/>
        <w:rPr>
          <w:sz w:val="20"/>
          <w:szCs w:val="20"/>
          <w:color w:val="auto"/>
        </w:rPr>
      </w:pPr>
      <w:r>
        <w:rPr>
          <w:rFonts w:ascii="Arial" w:cs="Arial" w:eastAsia="Arial" w:hAnsi="Arial"/>
          <w:sz w:val="17"/>
          <w:szCs w:val="17"/>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83"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77"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 have any responsibility or liability for any aspect of the records relating to or payments made on account of beneficial ownership</w:t>
      </w:r>
    </w:p>
    <w:p>
      <w:pPr>
        <w:spacing w:after="0" w:line="36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interests in such global security or for maintaining, supervising or reviewing any records relating to such beneficial ownership interests.</w:t>
      </w:r>
    </w:p>
    <w:p>
      <w:pPr>
        <w:spacing w:after="0" w:line="154"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95"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CAPITAL STOCK</w:t>
      </w:r>
    </w:p>
    <w:p>
      <w:pPr>
        <w:spacing w:after="0" w:line="135" w:lineRule="exact"/>
        <w:rPr>
          <w:sz w:val="20"/>
          <w:szCs w:val="20"/>
          <w:color w:val="auto"/>
        </w:rPr>
      </w:pPr>
    </w:p>
    <w:p>
      <w:pPr>
        <w:jc w:val="both"/>
        <w:ind w:left="700" w:right="100" w:firstLine="397"/>
        <w:spacing w:after="0" w:line="264" w:lineRule="auto"/>
        <w:rPr>
          <w:sz w:val="20"/>
          <w:szCs w:val="20"/>
          <w:color w:val="auto"/>
        </w:rPr>
      </w:pPr>
      <w:r>
        <w:rPr>
          <w:rFonts w:ascii="Arial" w:cs="Arial" w:eastAsia="Arial" w:hAnsi="Arial"/>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87" w:lineRule="exact"/>
        <w:rPr>
          <w:sz w:val="20"/>
          <w:szCs w:val="20"/>
          <w:color w:val="auto"/>
        </w:rPr>
      </w:pPr>
    </w:p>
    <w:p>
      <w:pPr>
        <w:jc w:val="both"/>
        <w:ind w:left="700" w:right="40" w:firstLine="397"/>
        <w:spacing w:after="0" w:line="312"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and 75 million shares of Class B Common Stock.</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Dividends</w:t>
      </w:r>
    </w:p>
    <w:p>
      <w:pPr>
        <w:spacing w:after="0" w:line="135" w:lineRule="exact"/>
        <w:rPr>
          <w:sz w:val="20"/>
          <w:szCs w:val="20"/>
          <w:color w:val="auto"/>
        </w:rPr>
      </w:pPr>
    </w:p>
    <w:p>
      <w:pPr>
        <w:ind w:left="700" w:right="160" w:firstLine="397"/>
        <w:spacing w:after="0" w:line="279" w:lineRule="auto"/>
        <w:rPr>
          <w:sz w:val="20"/>
          <w:szCs w:val="20"/>
          <w:color w:val="auto"/>
        </w:rPr>
      </w:pPr>
      <w:r>
        <w:rPr>
          <w:rFonts w:ascii="Arial" w:cs="Arial" w:eastAsia="Arial" w:hAnsi="Arial"/>
          <w:sz w:val="17"/>
          <w:szCs w:val="17"/>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77"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9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Voting Rights</w:t>
      </w:r>
    </w:p>
    <w:p>
      <w:pPr>
        <w:spacing w:after="0" w:line="135"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87" w:lineRule="exact"/>
        <w:rPr>
          <w:sz w:val="20"/>
          <w:szCs w:val="20"/>
          <w:color w:val="auto"/>
        </w:rPr>
      </w:pPr>
    </w:p>
    <w:p>
      <w:pPr>
        <w:ind w:left="700" w:right="560" w:firstLine="397"/>
        <w:spacing w:after="0" w:line="268" w:lineRule="auto"/>
        <w:rPr>
          <w:sz w:val="20"/>
          <w:szCs w:val="20"/>
          <w:color w:val="auto"/>
        </w:rPr>
      </w:pPr>
      <w:r>
        <w:rPr>
          <w:rFonts w:ascii="Arial" w:cs="Arial" w:eastAsia="Arial" w:hAnsi="Arial"/>
          <w:sz w:val="18"/>
          <w:szCs w:val="18"/>
          <w:color w:val="auto"/>
        </w:rPr>
        <w:t>On all matters submitted for a vote of holders of all classes of our voting stock, holders of our Class A Common Stock in the aggregate hold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aggregate voting power of our capital stock as of February 28, 2006.</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Each share of our Class A Common Stock has the number of votes equal to a quotient the numerator of which is the excess of</w:t>
      </w:r>
    </w:p>
    <w:p>
      <w:pPr>
        <w:spacing w:after="0" w:line="35" w:lineRule="exact"/>
        <w:rPr>
          <w:sz w:val="20"/>
          <w:szCs w:val="20"/>
          <w:color w:val="auto"/>
        </w:rPr>
      </w:pPr>
    </w:p>
    <w:p>
      <w:pPr>
        <w:ind w:left="700" w:right="80" w:hanging="7"/>
        <w:spacing w:after="0" w:line="281" w:lineRule="auto"/>
        <w:tabs>
          <w:tab w:leader="none" w:pos="9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w:t>
      </w:r>
    </w:p>
    <w:p>
      <w:pPr>
        <w:spacing w:after="0" w:line="3" w:lineRule="exact"/>
        <w:rPr>
          <w:rFonts w:ascii="Arial" w:cs="Arial" w:eastAsia="Arial" w:hAnsi="Arial"/>
          <w:sz w:val="16"/>
          <w:szCs w:val="16"/>
          <w:color w:val="auto"/>
        </w:rPr>
      </w:pPr>
    </w:p>
    <w:p>
      <w:pPr>
        <w:ind w:left="700" w:hanging="7"/>
        <w:spacing w:after="0" w:line="235" w:lineRule="auto"/>
        <w:tabs>
          <w:tab w:leader="none" w:pos="9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 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 Voting Percentage will be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subject to reduction as described below.</w:t>
      </w:r>
    </w:p>
    <w:p>
      <w:pPr>
        <w:spacing w:after="0" w:line="109" w:lineRule="exact"/>
        <w:rPr>
          <w:sz w:val="20"/>
          <w:szCs w:val="20"/>
          <w:color w:val="auto"/>
        </w:rPr>
      </w:pPr>
    </w:p>
    <w:p>
      <w:pPr>
        <w:jc w:val="both"/>
        <w:ind w:left="700" w:right="20" w:firstLine="397"/>
        <w:spacing w:after="0" w:line="226" w:lineRule="auto"/>
        <w:rPr>
          <w:sz w:val="20"/>
          <w:szCs w:val="20"/>
          <w:color w:val="auto"/>
        </w:rPr>
      </w:pPr>
      <w:r>
        <w:rPr>
          <w:rFonts w:ascii="Arial" w:cs="Arial" w:eastAsia="Arial" w:hAnsi="Arial"/>
          <w:sz w:val="18"/>
          <w:szCs w:val="18"/>
          <w:color w:val="auto"/>
        </w:rPr>
        <w:t>Subject to the next sentence, on all matters submitted for a vote of holders of one or more classes of our voting stock, holders of our Class B Common Stock in the aggregate will hold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aggregate voting power of our capital stock, regardless of the number of shares of our Class A Common Stock or any other</w:t>
      </w:r>
    </w:p>
    <w:p>
      <w:pPr>
        <w:spacing w:after="0" w:line="39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342" w:lineRule="auto"/>
        <w:rPr>
          <w:sz w:val="20"/>
          <w:szCs w:val="20"/>
          <w:color w:val="auto"/>
        </w:rPr>
      </w:pPr>
      <w:r>
        <w:rPr>
          <w:rFonts w:ascii="Arial" w:cs="Arial" w:eastAsia="Arial" w:hAnsi="Arial"/>
          <w:sz w:val="16"/>
          <w:szCs w:val="16"/>
          <w:color w:val="auto"/>
        </w:rPr>
        <w:t>class of our capital stock outstanding at any time. If the number of shares of our Class B Common Stock outstanding is reduced for any reason (</w:t>
      </w:r>
      <w:r>
        <w:rPr>
          <w:rFonts w:ascii="Arial" w:cs="Arial" w:eastAsia="Arial" w:hAnsi="Arial"/>
          <w:sz w:val="16"/>
          <w:szCs w:val="16"/>
          <w:i w:val="1"/>
          <w:iCs w:val="1"/>
          <w:color w:val="auto"/>
        </w:rPr>
        <w:t>e.g.</w:t>
      </w:r>
      <w:r>
        <w:rPr>
          <w:rFonts w:ascii="Arial" w:cs="Arial" w:eastAsia="Arial" w:hAnsi="Arial"/>
          <w:sz w:val="16"/>
          <w:szCs w:val="16"/>
          <w:color w:val="auto"/>
        </w:rPr>
        <w:t>, by repurchase or conversion), the aggregate voting power of our Class B Common Stock will be proportionately reduced.</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Each share of our Class B Common Stock has 15 votes.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Approval Rights</w:t>
      </w:r>
    </w:p>
    <w:p>
      <w:pPr>
        <w:spacing w:after="0" w:line="135"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Except as required by law, holders of Class A Special Common Stock and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Principal Shareholder</w:t>
      </w:r>
    </w:p>
    <w:p>
      <w:pPr>
        <w:spacing w:after="0" w:line="135"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7"/>
          <w:szCs w:val="17"/>
          <w:color w:val="auto"/>
        </w:rPr>
        <w:t>Brian L. Roberts, our President and CEO, through his control of BRCC Holdings LLC and certain trusts, which own all outstanding shares of our Class B Common Stock, holds a nondilutable 33</w:t>
      </w:r>
      <w:r>
        <w:rPr>
          <w:rFonts w:ascii="Arial" w:cs="Arial" w:eastAsia="Arial" w:hAnsi="Arial"/>
          <w:sz w:val="24"/>
          <w:szCs w:val="24"/>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combined voting power of our stock and also has separate approval rights over certain material transactions involving us, as described above under “—Approval Rights.” The Class B Common Stock is convertible on a share-for-share basis into Class A Common Stock or Class A Special Common Stock. As of February 28, 2006, if BRCC Holdings LLC, the trusts and Mr. Roberts were to convert the Class B Common Stock which they are deemed to beneficially own into Class A Common Stock, Mr. Roberts would beneficially own 10,170,995 shares of Class A Common Stock, which is less than 1% of the Class A Common Stock that would be outstanding after the conversion.</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Conversion of Class B Common Stock</w:t>
      </w:r>
    </w:p>
    <w:p>
      <w:pPr>
        <w:spacing w:after="0" w:line="135"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Preference on Liquidation</w:t>
      </w:r>
    </w:p>
    <w:p>
      <w:pPr>
        <w:spacing w:after="0" w:line="135" w:lineRule="exact"/>
        <w:rPr>
          <w:sz w:val="20"/>
          <w:szCs w:val="20"/>
          <w:color w:val="auto"/>
        </w:rPr>
      </w:pPr>
    </w:p>
    <w:p>
      <w:pPr>
        <w:jc w:val="both"/>
        <w:ind w:left="700" w:right="100" w:firstLine="397"/>
        <w:spacing w:after="0" w:line="312" w:lineRule="auto"/>
        <w:rPr>
          <w:sz w:val="20"/>
          <w:szCs w:val="20"/>
          <w:color w:val="auto"/>
        </w:rPr>
      </w:pPr>
      <w:r>
        <w:rPr>
          <w:rFonts w:ascii="Arial" w:cs="Arial" w:eastAsia="Arial" w:hAnsi="Arial"/>
          <w:sz w:val="16"/>
          <w:szCs w:val="16"/>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Mergers, Consolidations, Etc.</w:t>
      </w:r>
    </w:p>
    <w:p>
      <w:pPr>
        <w:spacing w:after="0" w:line="135"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color w:val="auto"/>
        </w:rPr>
        <w:t>Our charter provides that if in a transaction such as a merger, consolidation, share exchange or recapitalization holders of each class of our common stock outstanding do not receive the same consideration for each of their shares of our common stock (</w:t>
      </w:r>
      <w:r>
        <w:rPr>
          <w:rFonts w:ascii="Arial" w:cs="Arial" w:eastAsia="Arial" w:hAnsi="Arial"/>
          <w:sz w:val="16"/>
          <w:szCs w:val="16"/>
          <w:i w:val="1"/>
          <w:iCs w:val="1"/>
          <w:color w:val="auto"/>
        </w:rPr>
        <w:t>i.e.</w:t>
      </w:r>
      <w:r>
        <w:rPr>
          <w:rFonts w:ascii="Arial" w:cs="Arial" w:eastAsia="Arial" w:hAnsi="Arial"/>
          <w:sz w:val="16"/>
          <w:szCs w:val="16"/>
          <w:color w:val="auto"/>
        </w:rPr>
        <w:t>,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w:t>
      </w:r>
      <w:r>
        <w:rPr>
          <w:rFonts w:ascii="Arial" w:cs="Arial" w:eastAsia="Arial" w:hAnsi="Arial"/>
          <w:sz w:val="16"/>
          <w:szCs w:val="16"/>
          <w:i w:val="1"/>
          <w:iCs w:val="1"/>
          <w:color w:val="auto"/>
        </w:rPr>
        <w:t>i.e.</w:t>
      </w:r>
      <w:r>
        <w:rPr>
          <w:rFonts w:ascii="Arial" w:cs="Arial" w:eastAsia="Arial" w:hAnsi="Arial"/>
          <w:sz w:val="16"/>
          <w:szCs w:val="16"/>
          <w:color w:val="auto"/>
        </w:rPr>
        <w:t>, shares of a class of stock having substantially equivalent rights as the applicable class of our common stock).</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 Common Stock offered hereby, or issuable upon conversion, exchange or exercise of securities offered hereby, will, when issued, be, fully paid and non-assessable. We have been advised that the Class A Common Stock and Class A Special Common Stock are exempt from existing Pennsylvania personal property tax.</w:t>
      </w:r>
    </w:p>
    <w:p>
      <w:pPr>
        <w:spacing w:after="0" w:line="64"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transfer agent and registrar for our Class A Special Common Stock and Class A Common Stock is Computershare, 250 Royall Street, Canton, Massachusetts 02021. Their telephone number is (888) 883-8903.</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Shareholder Rights Plan</w:t>
      </w:r>
    </w:p>
    <w:p>
      <w:pPr>
        <w:spacing w:after="0" w:line="135"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The following description of the material terms of a rights agreement with respect to a shareholder rights plan is qualified by reference to the terms of the rights agreement, which is included as an exhibit to the registration statement of which this prospectus is a part.</w:t>
      </w:r>
    </w:p>
    <w:p>
      <w:pPr>
        <w:spacing w:after="0" w:line="87" w:lineRule="exact"/>
        <w:rPr>
          <w:sz w:val="20"/>
          <w:szCs w:val="20"/>
          <w:color w:val="auto"/>
        </w:rPr>
      </w:pPr>
    </w:p>
    <w:p>
      <w:pPr>
        <w:ind w:left="700" w:right="140" w:firstLine="397"/>
        <w:spacing w:after="0" w:line="297" w:lineRule="auto"/>
        <w:rPr>
          <w:sz w:val="20"/>
          <w:szCs w:val="20"/>
          <w:color w:val="auto"/>
        </w:rPr>
      </w:pPr>
      <w:r>
        <w:rPr>
          <w:rFonts w:ascii="Arial" w:cs="Arial" w:eastAsia="Arial" w:hAnsi="Arial"/>
          <w:sz w:val="16"/>
          <w:szCs w:val="16"/>
          <w:b w:val="1"/>
          <w:bCs w:val="1"/>
          <w:i w:val="1"/>
          <w:iCs w:val="1"/>
          <w:color w:val="auto"/>
        </w:rPr>
        <w:t xml:space="preserve">The Rights. </w:t>
      </w:r>
      <w:r>
        <w:rPr>
          <w:rFonts w:ascii="Arial" w:cs="Arial" w:eastAsia="Arial" w:hAnsi="Arial"/>
          <w:sz w:val="16"/>
          <w:szCs w:val="16"/>
          <w:color w:val="auto"/>
        </w:rPr>
        <w:t>Pursuant to the rights agreement, our board declared on November 18, 2002 a dividend of one preferred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 right (the “Rights”) for 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6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Rights holders have no rights as a shareholder of the Company, including the right to vote or to receive dividends.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rights agreement includes antidilution provisions designed to prevent efforts to diminish the effectiveness of the Rights.</w:t>
      </w:r>
    </w:p>
    <w:p>
      <w:pPr>
        <w:spacing w:after="0" w:line="142"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83"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b w:val="1"/>
          <w:bCs w:val="1"/>
          <w:i w:val="1"/>
          <w:iCs w:val="1"/>
          <w:color w:val="auto"/>
        </w:rPr>
        <w:t xml:space="preserve">Transferability. </w:t>
      </w:r>
      <w:r>
        <w:rPr>
          <w:rFonts w:ascii="Arial" w:cs="Arial" w:eastAsia="Arial" w:hAnsi="Arial"/>
          <w:sz w:val="16"/>
          <w:szCs w:val="16"/>
          <w:color w:val="auto"/>
        </w:rPr>
        <w:t>Prior to the Distribution Date, (1) the Rights will be evidenced by the certificates of the relevant underlying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and the 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64" w:lineRule="exact"/>
        <w:rPr>
          <w:sz w:val="20"/>
          <w:szCs w:val="20"/>
          <w:color w:val="auto"/>
        </w:rPr>
      </w:pPr>
    </w:p>
    <w:p>
      <w:pPr>
        <w:jc w:val="both"/>
        <w:ind w:left="700" w:right="560" w:firstLine="397"/>
        <w:spacing w:after="0" w:line="286" w:lineRule="auto"/>
        <w:rPr>
          <w:sz w:val="20"/>
          <w:szCs w:val="20"/>
          <w:color w:val="auto"/>
        </w:rPr>
      </w:pPr>
      <w:r>
        <w:rPr>
          <w:rFonts w:ascii="Arial" w:cs="Arial" w:eastAsia="Arial" w:hAnsi="Arial"/>
          <w:sz w:val="17"/>
          <w:szCs w:val="17"/>
          <w:b w:val="1"/>
          <w:bCs w:val="1"/>
          <w:i w:val="1"/>
          <w:iCs w:val="1"/>
          <w:color w:val="auto"/>
        </w:rPr>
        <w:t xml:space="preserve">Exercisability. </w:t>
      </w:r>
      <w:r>
        <w:rPr>
          <w:rFonts w:ascii="Arial" w:cs="Arial" w:eastAsia="Arial" w:hAnsi="Arial"/>
          <w:sz w:val="17"/>
          <w:szCs w:val="17"/>
          <w:color w:val="auto"/>
        </w:rPr>
        <w:t>The Rights will not be exercisable prior to the Distribution Date. After the Distribution Date, but prior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occurrence of an event described below under “—‘Flip In’ Feature” or “—‘Flip Over’ Feature,” each Right will be exercisable to purchase for $125 one one-thousandth of a share of our Series A Participating Cumulative Preferred Stock.</w:t>
      </w:r>
    </w:p>
    <w:p>
      <w:pPr>
        <w:spacing w:after="0" w:line="71"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b w:val="1"/>
          <w:bCs w:val="1"/>
          <w:i w:val="1"/>
          <w:iCs w:val="1"/>
          <w:color w:val="auto"/>
        </w:rPr>
        <w:t xml:space="preserve">“Flip In” Feature. </w:t>
      </w:r>
      <w:r>
        <w:rPr>
          <w:rFonts w:ascii="Arial" w:cs="Arial" w:eastAsia="Arial" w:hAnsi="Arial"/>
          <w:sz w:val="18"/>
          <w:szCs w:val="18"/>
          <w:color w:val="auto"/>
        </w:rPr>
        <w:t>If any person becomes an Acquiring Person, each holder of a Right, except for the Acquiring Person or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affiliated persons, will have the right to acquire, instead of one one-thousandth of a share of our Series A Participating Cumulative Preferred Stock, a number of shares of our Class A common stock, in each case having a market value equal to twice the exercise price of the Right. For example, if an</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20"/>
        <w:spacing w:after="0" w:line="264" w:lineRule="auto"/>
        <w:rPr>
          <w:sz w:val="20"/>
          <w:szCs w:val="20"/>
          <w:color w:val="auto"/>
        </w:rPr>
      </w:pPr>
      <w:r>
        <w:rPr>
          <w:rFonts w:ascii="Arial" w:cs="Arial" w:eastAsia="Arial" w:hAnsi="Arial"/>
          <w:sz w:val="18"/>
          <w:szCs w:val="18"/>
          <w:color w:val="auto"/>
        </w:rPr>
        <w:t>initial purchase price of $125 was in effect on the date that the flip in feature of the Rights was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87"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b w:val="1"/>
          <w:bCs w:val="1"/>
          <w:i w:val="1"/>
          <w:iCs w:val="1"/>
          <w:color w:val="auto"/>
        </w:rPr>
        <w:t xml:space="preserve">“Exchange” Feature. </w:t>
      </w:r>
      <w:r>
        <w:rPr>
          <w:rFonts w:ascii="Arial" w:cs="Arial" w:eastAsia="Arial" w:hAnsi="Arial"/>
          <w:sz w:val="18"/>
          <w:szCs w:val="18"/>
          <w:color w:val="auto"/>
        </w:rPr>
        <w:t>At any time after a person becomes an Acquiring Person (but before any person becomes the beneficial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owner of our voting capital 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99" w:lineRule="exact"/>
        <w:rPr>
          <w:sz w:val="20"/>
          <w:szCs w:val="20"/>
          <w:color w:val="auto"/>
        </w:rPr>
      </w:pPr>
    </w:p>
    <w:p>
      <w:pPr>
        <w:ind w:left="700" w:right="380" w:firstLine="397"/>
        <w:spacing w:after="0" w:line="291" w:lineRule="auto"/>
        <w:rPr>
          <w:sz w:val="20"/>
          <w:szCs w:val="20"/>
          <w:color w:val="auto"/>
        </w:rPr>
      </w:pPr>
      <w:r>
        <w:rPr>
          <w:rFonts w:ascii="Arial" w:cs="Arial" w:eastAsia="Arial" w:hAnsi="Arial"/>
          <w:sz w:val="16"/>
          <w:szCs w:val="16"/>
          <w:b w:val="1"/>
          <w:bCs w:val="1"/>
          <w:i w:val="1"/>
          <w:iCs w:val="1"/>
          <w:color w:val="auto"/>
        </w:rPr>
        <w:t xml:space="preserve">“Flip Over” Feature. </w:t>
      </w:r>
      <w:r>
        <w:rPr>
          <w:rFonts w:ascii="Arial" w:cs="Arial" w:eastAsia="Arial" w:hAnsi="Arial"/>
          <w:sz w:val="16"/>
          <w:szCs w:val="16"/>
          <w:color w:val="auto"/>
        </w:rPr>
        <w:t>If, after a person becomes an Acquiring Person, (1) we are involved in a merger or other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combination in which we are not the surviving corporation or any of our common stock is exchanged for other securities or assets or</w:t>
      </w:r>
    </w:p>
    <w:p>
      <w:pPr>
        <w:ind w:left="700" w:right="80" w:hanging="7"/>
        <w:spacing w:after="0" w:line="254" w:lineRule="auto"/>
        <w:tabs>
          <w:tab w:leader="none" w:pos="9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95"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b w:val="1"/>
          <w:bCs w:val="1"/>
          <w:i w:val="1"/>
          <w:iCs w:val="1"/>
          <w:color w:val="auto"/>
        </w:rPr>
        <w:t xml:space="preserve">Redemption of Rights. </w:t>
      </w:r>
      <w:r>
        <w:rPr>
          <w:rFonts w:ascii="Arial" w:cs="Arial" w:eastAsia="Arial" w:hAnsi="Arial"/>
          <w:sz w:val="18"/>
          <w:szCs w:val="18"/>
          <w:color w:val="auto"/>
        </w:rPr>
        <w:t>Our Board may redeem all of the Rights at a price of $0.001 per Right at any time prior to the time that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becomes an Acquiring Person. The right to exercise will terminate upon redemption, and at that time, holders of the Rights will have the right to receive only the redemption price for each Right they hold.</w:t>
      </w:r>
    </w:p>
    <w:p>
      <w:pPr>
        <w:spacing w:after="0" w:line="87"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b w:val="1"/>
          <w:bCs w:val="1"/>
          <w:i w:val="1"/>
          <w:iCs w:val="1"/>
          <w:color w:val="auto"/>
        </w:rPr>
        <w:t xml:space="preserve">Amendment of Rights. </w:t>
      </w:r>
      <w:r>
        <w:rPr>
          <w:rFonts w:ascii="Arial" w:cs="Arial" w:eastAsia="Arial" w:hAnsi="Arial"/>
          <w:sz w:val="18"/>
          <w:szCs w:val="18"/>
          <w:color w:val="auto"/>
        </w:rPr>
        <w:t>For so long as the Rights are redeemable, the rights agreement may be amended in any respect. At any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the Rights are no 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92" w:lineRule="exact"/>
        <w:rPr>
          <w:sz w:val="20"/>
          <w:szCs w:val="20"/>
          <w:color w:val="auto"/>
        </w:rPr>
      </w:pPr>
    </w:p>
    <w:p>
      <w:pPr>
        <w:ind w:left="700" w:right="600" w:firstLine="397"/>
        <w:spacing w:after="0" w:line="277" w:lineRule="auto"/>
        <w:rPr>
          <w:sz w:val="20"/>
          <w:szCs w:val="20"/>
          <w:color w:val="auto"/>
        </w:rPr>
      </w:pPr>
      <w:r>
        <w:rPr>
          <w:rFonts w:ascii="Arial" w:cs="Arial" w:eastAsia="Arial" w:hAnsi="Arial"/>
          <w:sz w:val="18"/>
          <w:szCs w:val="18"/>
          <w:b w:val="1"/>
          <w:bCs w:val="1"/>
          <w:i w:val="1"/>
          <w:iCs w:val="1"/>
          <w:color w:val="auto"/>
        </w:rPr>
        <w:t xml:space="preserve">Expiration of Rights. </w:t>
      </w:r>
      <w:r>
        <w:rPr>
          <w:rFonts w:ascii="Arial" w:cs="Arial" w:eastAsia="Arial" w:hAnsi="Arial"/>
          <w:sz w:val="18"/>
          <w:szCs w:val="18"/>
          <w:color w:val="auto"/>
        </w:rPr>
        <w:t>If not previously exercised or redeemed, the Rights will expire on November 18, 2012, unless earlier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exchanged.</w:t>
      </w:r>
    </w:p>
    <w:p>
      <w:pPr>
        <w:spacing w:after="0" w:line="76" w:lineRule="exact"/>
        <w:rPr>
          <w:sz w:val="20"/>
          <w:szCs w:val="20"/>
          <w:color w:val="auto"/>
        </w:rPr>
      </w:pPr>
    </w:p>
    <w:p>
      <w:pPr>
        <w:ind w:left="700" w:right="280" w:firstLine="397"/>
        <w:spacing w:after="0" w:line="259" w:lineRule="auto"/>
        <w:rPr>
          <w:sz w:val="20"/>
          <w:szCs w:val="20"/>
          <w:color w:val="auto"/>
        </w:rPr>
      </w:pPr>
      <w:r>
        <w:rPr>
          <w:rFonts w:ascii="Arial" w:cs="Arial" w:eastAsia="Arial" w:hAnsi="Arial"/>
          <w:sz w:val="18"/>
          <w:szCs w:val="18"/>
          <w:b w:val="1"/>
          <w:bCs w:val="1"/>
          <w:i w:val="1"/>
          <w:iCs w:val="1"/>
          <w:color w:val="auto"/>
        </w:rPr>
        <w:t xml:space="preserve">Anti-Takeover Effects. </w:t>
      </w:r>
      <w:r>
        <w:rPr>
          <w:rFonts w:ascii="Arial" w:cs="Arial" w:eastAsia="Arial" w:hAnsi="Arial"/>
          <w:sz w:val="18"/>
          <w:szCs w:val="18"/>
          <w:color w:val="auto"/>
        </w:rPr>
        <w:t>The Rights have certain anti-takeover effects. The Rights may cause substantial dilution to a person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attempts to acquire us 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92" w:lineRule="exact"/>
        <w:rPr>
          <w:sz w:val="20"/>
          <w:szCs w:val="20"/>
          <w:color w:val="auto"/>
        </w:rPr>
      </w:pPr>
    </w:p>
    <w:p>
      <w:pPr>
        <w:ind w:left="700" w:right="180" w:firstLine="397"/>
        <w:spacing w:after="0" w:line="308" w:lineRule="auto"/>
        <w:rPr>
          <w:sz w:val="20"/>
          <w:szCs w:val="20"/>
          <w:color w:val="auto"/>
        </w:rPr>
      </w:pPr>
      <w:r>
        <w:rPr>
          <w:rFonts w:ascii="Arial" w:cs="Arial" w:eastAsia="Arial" w:hAnsi="Arial"/>
          <w:sz w:val="17"/>
          <w:szCs w:val="17"/>
          <w:b w:val="1"/>
          <w:bCs w:val="1"/>
          <w:i w:val="1"/>
          <w:iCs w:val="1"/>
          <w:color w:val="auto"/>
        </w:rPr>
        <w:t xml:space="preserve">Taxation. </w:t>
      </w:r>
      <w:r>
        <w:rPr>
          <w:rFonts w:ascii="Arial" w:cs="Arial" w:eastAsia="Arial" w:hAnsi="Arial"/>
          <w:sz w:val="17"/>
          <w:szCs w:val="17"/>
          <w:color w:val="auto"/>
        </w:rPr>
        <w:t>While the dividend of the Rights was not taxable to stockholders or to us, stockholders or we may, depending upon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circumstances, recognize taxable income in the event that the Rights become exercisable as set forth above.</w:t>
      </w:r>
    </w:p>
    <w:p>
      <w:pPr>
        <w:spacing w:after="0" w:line="52" w:lineRule="exact"/>
        <w:rPr>
          <w:sz w:val="20"/>
          <w:szCs w:val="20"/>
          <w:color w:val="auto"/>
        </w:rPr>
      </w:pPr>
    </w:p>
    <w:p>
      <w:pPr>
        <w:ind w:left="700" w:right="100" w:firstLine="397"/>
        <w:spacing w:after="0" w:line="272" w:lineRule="auto"/>
        <w:rPr>
          <w:sz w:val="20"/>
          <w:szCs w:val="20"/>
          <w:color w:val="auto"/>
        </w:rPr>
      </w:pPr>
      <w:r>
        <w:rPr>
          <w:rFonts w:ascii="Arial" w:cs="Arial" w:eastAsia="Arial" w:hAnsi="Arial"/>
          <w:sz w:val="17"/>
          <w:szCs w:val="17"/>
          <w:b w:val="1"/>
          <w:bCs w:val="1"/>
          <w:i w:val="1"/>
          <w:iCs w:val="1"/>
          <w:color w:val="auto"/>
        </w:rPr>
        <w:t xml:space="preserve">Series A Preferred Stock. </w:t>
      </w:r>
      <w:r>
        <w:rPr>
          <w:rFonts w:ascii="Arial" w:cs="Arial" w:eastAsia="Arial" w:hAnsi="Arial"/>
          <w:sz w:val="17"/>
          <w:szCs w:val="17"/>
          <w:color w:val="auto"/>
        </w:rPr>
        <w:t>In connection with the creation of the Rights, our Board authorized the issuance of shares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stock designated as our Series A Participating Cumulative Preferred Stock. The dividend, liquidation, voting and redemption features of our Series A Participating Cumulative Preferred Stock have been designed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PLAN OF DISTRIBUTION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sell the securities being offered hereby in four ways:</w:t>
      </w:r>
    </w:p>
    <w:p>
      <w:pPr>
        <w:spacing w:after="0" w:line="131" w:lineRule="exact"/>
        <w:rPr>
          <w:sz w:val="20"/>
          <w:szCs w:val="20"/>
          <w:color w:val="auto"/>
        </w:rPr>
      </w:pPr>
    </w:p>
    <w:p>
      <w:pPr>
        <w:ind w:left="1400" w:hanging="302"/>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3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We may directly solicit offers to purchase securities, or we may designate agents to solicit such offers. We will, in the prospectus supplement relating to such offering, name any agent that could be viewed as an underwriter under the Securities Act of 1933 (hereinafter, the “Securities Act”)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99"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87"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87"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87" w:lineRule="exact"/>
        <w:rPr>
          <w:sz w:val="20"/>
          <w:szCs w:val="20"/>
          <w:color w:val="auto"/>
        </w:rPr>
      </w:pPr>
    </w:p>
    <w:p>
      <w:pPr>
        <w:ind w:left="700" w:right="20" w:firstLine="397"/>
        <w:spacing w:after="0" w:line="253" w:lineRule="auto"/>
        <w:rPr>
          <w:sz w:val="20"/>
          <w:szCs w:val="20"/>
          <w:color w:val="auto"/>
        </w:rPr>
      </w:pPr>
      <w:r>
        <w:rPr>
          <w:rFonts w:ascii="Arial" w:cs="Arial" w:eastAsia="Arial" w:hAnsi="Arial"/>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00" w:lineRule="exact"/>
        <w:rPr>
          <w:sz w:val="20"/>
          <w:szCs w:val="20"/>
          <w:color w:val="auto"/>
        </w:rPr>
      </w:pPr>
    </w:p>
    <w:p>
      <w:pPr>
        <w:ind w:left="700" w:right="680" w:firstLine="397"/>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80"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280" w:firstLine="397"/>
        <w:spacing w:after="0" w:line="302" w:lineRule="auto"/>
        <w:rPr>
          <w:sz w:val="20"/>
          <w:szCs w:val="20"/>
          <w:color w:val="auto"/>
        </w:rPr>
      </w:pPr>
      <w:r>
        <w:rPr>
          <w:rFonts w:ascii="Arial" w:cs="Arial" w:eastAsia="Arial" w:hAnsi="Arial"/>
          <w:sz w:val="16"/>
          <w:szCs w:val="16"/>
          <w:color w:val="auto"/>
        </w:rPr>
        <w:t>As to matters governed by Pennsylvania law, Arthur R. Block, Esquire, Senior Vice President, General Counsel and Secretary of Comcast, and as to matters governed by New York and Delaware law, Davis Polk &amp; Wardwell, will pass upon the validity of the securities on our behalf and on behalf of the cable guarantors, although we may use other counsel, including our employees, to do so. Unless otherwise indicated in the accompanying prospectus supplement, Cahill Gordon &amp; Reindel will represent the underwriters.</w:t>
      </w:r>
    </w:p>
    <w:p>
      <w:pPr>
        <w:spacing w:after="0" w:line="3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The financial statements, the related financial statement schedule, and management’s report on the effectiveness of internal control over financial reporting, incorporated in this prospectus by reference from Comcast Corporation’s Annual Report on Form 10-K, have been audited by Deloitte &amp; Touche LLP, an independent registered public accounting firm, as stated in their reports, which are incorporated herein by reference, and have been so incorporated in reliance upon the reports of such firm given upon their authority as experts in accounting and auditing.</w:t>
      </w:r>
    </w:p>
    <w:p>
      <w:pPr>
        <w:spacing w:after="0" w:line="30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AVAILABLE INFORMATION</w:t>
      </w:r>
    </w:p>
    <w:p>
      <w:pPr>
        <w:spacing w:after="0" w:line="135"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We, along with the cable guarantors, have filed this prospectus as part of a combined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a form of preferred security, a form of unit agreement, a form of purchase contract agreement, a form of pledge agreement, a form of warrant agreement for warrants sold separately, a form of warrant for warrants sold separately, a form of warrant agreement for warrants sold attached to securities, a form of warrant for warrants sold attached to securities, a form of deposit agreement and a form of depositary share.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83"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 xml:space="preserve">We file annual, quarterly and special reports and other information with the SEC. Comcast Cable Communications Holdings, Comcast Cable, Comcast Cable Holdings, Comcast MO Group and Comcast MO of Delaware do not currently file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100 F Street, NE, Washington, D.C. 20549. Please call the SEC at 1-800-SEC-0330 for further information on the public reference rooms. Our SEC filings, including the complete registration statement and all of the exhibits to it are available through the SEC’s web 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73"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You should rely only on the information contained in this prospectus, in the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with the SEC is accurate only as of its date, regardless of the time of delivery of this prospectus and the prospectus supplement or of any sale of the securities.</w:t>
      </w:r>
    </w:p>
    <w:p>
      <w:pPr>
        <w:spacing w:after="0" w:line="27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35" w:lineRule="exact"/>
        <w:rPr>
          <w:sz w:val="20"/>
          <w:szCs w:val="20"/>
          <w:color w:val="auto"/>
        </w:rPr>
      </w:pPr>
    </w:p>
    <w:p>
      <w:pPr>
        <w:ind w:left="700" w:right="240" w:firstLine="397"/>
        <w:spacing w:after="0" w:line="279"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131" w:lineRule="exact"/>
        <w:rPr>
          <w:sz w:val="20"/>
          <w:szCs w:val="20"/>
          <w:color w:val="auto"/>
        </w:rPr>
      </w:pPr>
    </w:p>
    <w:p>
      <w:pPr>
        <w:ind w:left="5560" w:right="2200" w:hanging="4462"/>
        <w:spacing w:after="0" w:line="747" w:lineRule="auto"/>
        <w:tabs>
          <w:tab w:leader="none" w:pos="1388"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2005, filed on February 22, 2006.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400" w:right="120" w:hanging="302"/>
        <w:spacing w:after="0" w:line="277" w:lineRule="auto"/>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section of the Definitive Proxy Statement on Schedule 14A for the 2006 annual meeting of stockholders incorporated by reference in the Annual Report on Form 10-K for the year ended December 31, 2005.</w:t>
      </w:r>
    </w:p>
    <w:p>
      <w:pPr>
        <w:spacing w:after="0" w:line="62" w:lineRule="exact"/>
        <w:rPr>
          <w:rFonts w:ascii="Arial" w:cs="Arial" w:eastAsia="Arial" w:hAnsi="Arial"/>
          <w:sz w:val="18"/>
          <w:szCs w:val="18"/>
          <w:color w:val="auto"/>
        </w:rPr>
      </w:pPr>
    </w:p>
    <w:p>
      <w:pPr>
        <w:ind w:left="1400" w:hanging="302"/>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Current Reports on Form 8-K filed on January 26, 2006, February 28, 2006 and March 6, 2006.</w:t>
      </w:r>
    </w:p>
    <w:p>
      <w:pPr>
        <w:spacing w:after="0" w:line="117" w:lineRule="exact"/>
        <w:rPr>
          <w:rFonts w:ascii="Arial" w:cs="Arial" w:eastAsia="Arial" w:hAnsi="Arial"/>
          <w:sz w:val="18"/>
          <w:szCs w:val="18"/>
          <w:color w:val="auto"/>
        </w:rPr>
      </w:pPr>
    </w:p>
    <w:p>
      <w:pPr>
        <w:ind w:left="1400" w:right="420" w:hanging="302"/>
        <w:spacing w:after="0" w:line="308" w:lineRule="auto"/>
        <w:tabs>
          <w:tab w:leader="none" w:pos="14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description of our capital stock incorporated in our Current Report on Form 8-K12G3 and Registration Statement on Form 8-A12G, each filed on November 18, 2002, as the same may be amended from time to time.</w:t>
      </w:r>
    </w:p>
    <w:p>
      <w:pPr>
        <w:spacing w:after="0" w:line="52"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We also incorporate by reference into this prospectus additional documents that we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1500 Market Street, Philadelphia, Pennsylvania 19102-2148, (215) 665-1700.</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220345</wp:posOffset>
            </wp:positionV>
            <wp:extent cx="630301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03010" cy="34290"/>
                    </a:xfrm>
                    <a:prstGeom prst="rect">
                      <a:avLst/>
                    </a:prstGeom>
                    <a:noFill/>
                  </pic:spPr>
                </pic:pic>
              </a:graphicData>
            </a:graphic>
          </wp:anchor>
        </w:drawing>
        <w:drawing>
          <wp:anchor simplePos="0" relativeHeight="251657728" behindDoc="1" locked="0" layoutInCell="0" allowOverlap="1">
            <wp:simplePos x="0" y="0"/>
            <wp:positionH relativeFrom="column">
              <wp:posOffset>2877820</wp:posOffset>
            </wp:positionH>
            <wp:positionV relativeFrom="paragraph">
              <wp:posOffset>400685</wp:posOffset>
            </wp:positionV>
            <wp:extent cx="1431925" cy="3689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31925" cy="368935"/>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40"/>
        <w:spacing w:after="0"/>
        <w:rPr>
          <w:sz w:val="20"/>
          <w:szCs w:val="20"/>
          <w:color w:val="auto"/>
        </w:rPr>
      </w:pPr>
      <w:r>
        <w:rPr>
          <w:rFonts w:ascii="Arial" w:cs="Arial" w:eastAsia="Arial" w:hAnsi="Arial"/>
          <w:sz w:val="25"/>
          <w:szCs w:val="25"/>
          <w:b w:val="1"/>
          <w:bCs w:val="1"/>
          <w:color w:val="auto"/>
        </w:rPr>
        <w:t>$1,000,000,000 6.30% Notes due 2017</w:t>
      </w:r>
    </w:p>
    <w:p>
      <w:pPr>
        <w:spacing w:after="0" w:line="38" w:lineRule="exact"/>
        <w:rPr>
          <w:sz w:val="20"/>
          <w:szCs w:val="20"/>
          <w:color w:val="auto"/>
        </w:rPr>
      </w:pPr>
    </w:p>
    <w:p>
      <w:pPr>
        <w:ind w:left="3640"/>
        <w:spacing w:after="0"/>
        <w:rPr>
          <w:sz w:val="20"/>
          <w:szCs w:val="20"/>
          <w:color w:val="auto"/>
        </w:rPr>
      </w:pPr>
      <w:r>
        <w:rPr>
          <w:rFonts w:ascii="Arial" w:cs="Arial" w:eastAsia="Arial" w:hAnsi="Arial"/>
          <w:sz w:val="25"/>
          <w:szCs w:val="25"/>
          <w:b w:val="1"/>
          <w:bCs w:val="1"/>
          <w:color w:val="auto"/>
        </w:rPr>
        <w:t>$2,000,000,000 6.95% Notes due 2037</w:t>
      </w:r>
    </w:p>
    <w:p>
      <w:pPr>
        <w:spacing w:after="0" w:line="6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-127635</wp:posOffset>
            </wp:positionV>
            <wp:extent cx="19551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5516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17145</wp:posOffset>
            </wp:positionV>
            <wp:extent cx="19551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360" w:type="dxa"/>
            <w:vAlign w:val="bottom"/>
          </w:tcPr>
          <w:p>
            <w:pPr>
              <w:jc w:val="center"/>
              <w:ind w:right="90"/>
              <w:spacing w:after="0"/>
              <w:rPr>
                <w:sz w:val="20"/>
                <w:szCs w:val="20"/>
                <w:color w:val="auto"/>
              </w:rPr>
            </w:pPr>
            <w:r>
              <w:rPr>
                <w:rFonts w:ascii="Arial" w:cs="Arial" w:eastAsia="Arial" w:hAnsi="Arial"/>
                <w:sz w:val="18"/>
                <w:szCs w:val="18"/>
                <w:i w:val="1"/>
                <w:iCs w:val="1"/>
                <w:color w:val="auto"/>
                <w:w w:val="91"/>
              </w:rPr>
              <w:t>Joint Book-Running Managers</w:t>
            </w: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360" w:type="dxa"/>
            <w:vAlign w:val="bottom"/>
            <w:gridSpan w:val="2"/>
          </w:tcPr>
          <w:p>
            <w:pPr>
              <w:jc w:val="center"/>
              <w:spacing w:after="0"/>
              <w:rPr>
                <w:sz w:val="20"/>
                <w:szCs w:val="20"/>
                <w:color w:val="auto"/>
              </w:rPr>
            </w:pPr>
            <w:r>
              <w:rPr>
                <w:rFonts w:ascii="Arial" w:cs="Arial" w:eastAsia="Arial" w:hAnsi="Arial"/>
                <w:sz w:val="25"/>
                <w:szCs w:val="25"/>
                <w:b w:val="1"/>
                <w:bCs w:val="1"/>
                <w:color w:val="auto"/>
                <w:w w:val="91"/>
              </w:rPr>
              <w:t>Goldman, Sachs &amp; Co.</w:t>
            </w:r>
          </w:p>
        </w:tc>
        <w:tc>
          <w:tcPr>
            <w:tcW w:w="3360" w:type="dxa"/>
            <w:vAlign w:val="bottom"/>
          </w:tcPr>
          <w:p>
            <w:pPr>
              <w:jc w:val="center"/>
              <w:spacing w:after="0"/>
              <w:rPr>
                <w:sz w:val="20"/>
                <w:szCs w:val="20"/>
                <w:color w:val="auto"/>
              </w:rPr>
            </w:pPr>
            <w:r>
              <w:rPr>
                <w:rFonts w:ascii="Arial" w:cs="Arial" w:eastAsia="Arial" w:hAnsi="Arial"/>
                <w:sz w:val="25"/>
                <w:szCs w:val="25"/>
                <w:b w:val="1"/>
                <w:bCs w:val="1"/>
                <w:color w:val="auto"/>
                <w:w w:val="92"/>
              </w:rPr>
              <w:t>Barclays Capital</w:t>
            </w:r>
          </w:p>
        </w:tc>
        <w:tc>
          <w:tcPr>
            <w:tcW w:w="3200" w:type="dxa"/>
            <w:vAlign w:val="bottom"/>
          </w:tcPr>
          <w:p>
            <w:pPr>
              <w:jc w:val="center"/>
              <w:spacing w:after="0"/>
              <w:rPr>
                <w:sz w:val="20"/>
                <w:szCs w:val="20"/>
                <w:color w:val="auto"/>
              </w:rPr>
            </w:pPr>
            <w:r>
              <w:rPr>
                <w:rFonts w:ascii="Arial" w:cs="Arial" w:eastAsia="Arial" w:hAnsi="Arial"/>
                <w:sz w:val="25"/>
                <w:szCs w:val="25"/>
                <w:b w:val="1"/>
                <w:bCs w:val="1"/>
                <w:color w:val="auto"/>
                <w:w w:val="93"/>
              </w:rPr>
              <w:t>Morgan Stanley</w:t>
            </w:r>
          </w:p>
        </w:tc>
        <w:tc>
          <w:tcPr>
            <w:tcW w:w="0" w:type="dxa"/>
            <w:vAlign w:val="bottom"/>
          </w:tcPr>
          <w:p>
            <w:pPr>
              <w:spacing w:after="0"/>
              <w:rPr>
                <w:sz w:val="1"/>
                <w:szCs w:val="1"/>
                <w:color w:val="auto"/>
              </w:rPr>
            </w:pPr>
          </w:p>
        </w:tc>
      </w:tr>
      <w:tr>
        <w:trPr>
          <w:trHeight w:val="127"/>
        </w:trPr>
        <w:tc>
          <w:tcPr>
            <w:tcW w:w="1480" w:type="dxa"/>
            <w:vAlign w:val="bottom"/>
            <w:tcBorders>
              <w:bottom w:val="single" w:sz="8" w:color="auto"/>
            </w:tcBorders>
          </w:tcPr>
          <w:p>
            <w:pPr>
              <w:spacing w:after="0"/>
              <w:rPr>
                <w:sz w:val="11"/>
                <w:szCs w:val="11"/>
                <w:color w:val="auto"/>
              </w:rPr>
            </w:pPr>
          </w:p>
        </w:tc>
        <w:tc>
          <w:tcPr>
            <w:tcW w:w="18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6"/>
        </w:trPr>
        <w:tc>
          <w:tcPr>
            <w:tcW w:w="3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ABN Amro Incorporated</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1"/>
              </w:rPr>
              <w:t>Banc of America Securities LLC</w:t>
            </w: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5"/>
              </w:rPr>
              <w:t>BNP PARIBAS</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880" w:type="dxa"/>
            <w:vAlign w:val="bottom"/>
          </w:tcPr>
          <w:p>
            <w:pPr>
              <w:jc w:val="center"/>
              <w:ind w:right="1210"/>
              <w:spacing w:after="0"/>
              <w:rPr>
                <w:sz w:val="20"/>
                <w:szCs w:val="20"/>
                <w:color w:val="auto"/>
              </w:rPr>
            </w:pPr>
            <w:r>
              <w:rPr>
                <w:rFonts w:ascii="Arial" w:cs="Arial" w:eastAsia="Arial" w:hAnsi="Arial"/>
                <w:sz w:val="18"/>
                <w:szCs w:val="18"/>
                <w:b w:val="1"/>
                <w:bCs w:val="1"/>
                <w:color w:val="auto"/>
              </w:rPr>
              <w:t>Citi</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0"/>
              </w:rPr>
              <w:t>Daiwa Securities America Inc.</w:t>
            </w: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87"/>
              </w:rPr>
              <w:t>Deutsche Bank Securities</w:t>
            </w:r>
          </w:p>
        </w:tc>
        <w:tc>
          <w:tcPr>
            <w:tcW w:w="0" w:type="dxa"/>
            <w:vAlign w:val="bottom"/>
          </w:tcPr>
          <w:p>
            <w:pPr>
              <w:spacing w:after="0"/>
              <w:rPr>
                <w:sz w:val="1"/>
                <w:szCs w:val="1"/>
                <w:color w:val="auto"/>
              </w:rPr>
            </w:pPr>
          </w:p>
        </w:tc>
      </w:tr>
      <w:tr>
        <w:trPr>
          <w:trHeight w:val="216"/>
        </w:trPr>
        <w:tc>
          <w:tcPr>
            <w:tcW w:w="3360" w:type="dxa"/>
            <w:vAlign w:val="bottom"/>
            <w:gridSpan w:val="2"/>
          </w:tcPr>
          <w:p>
            <w:pPr>
              <w:jc w:val="center"/>
              <w:ind w:left="92"/>
              <w:spacing w:after="0"/>
              <w:rPr>
                <w:sz w:val="20"/>
                <w:szCs w:val="20"/>
                <w:color w:val="auto"/>
              </w:rPr>
            </w:pPr>
            <w:r>
              <w:rPr>
                <w:rFonts w:ascii="Arial" w:cs="Arial" w:eastAsia="Arial" w:hAnsi="Arial"/>
                <w:sz w:val="18"/>
                <w:szCs w:val="18"/>
                <w:b w:val="1"/>
                <w:bCs w:val="1"/>
                <w:color w:val="auto"/>
                <w:w w:val="94"/>
              </w:rPr>
              <w:t>JPMorgan</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1"/>
              </w:rPr>
              <w:t>Lehman Brothers</w:t>
            </w: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6"/>
              </w:rPr>
              <w:t>Merrill Lynch &amp; Co.</w:t>
            </w:r>
          </w:p>
        </w:tc>
        <w:tc>
          <w:tcPr>
            <w:tcW w:w="0" w:type="dxa"/>
            <w:vAlign w:val="bottom"/>
          </w:tcPr>
          <w:p>
            <w:pPr>
              <w:spacing w:after="0"/>
              <w:rPr>
                <w:sz w:val="1"/>
                <w:szCs w:val="1"/>
                <w:color w:val="auto"/>
              </w:rPr>
            </w:pPr>
          </w:p>
        </w:tc>
      </w:tr>
      <w:tr>
        <w:trPr>
          <w:trHeight w:val="216"/>
        </w:trPr>
        <w:tc>
          <w:tcPr>
            <w:tcW w:w="3360" w:type="dxa"/>
            <w:vAlign w:val="bottom"/>
            <w:gridSpan w:val="2"/>
          </w:tcPr>
          <w:p>
            <w:pPr>
              <w:jc w:val="center"/>
              <w:ind w:left="92"/>
              <w:spacing w:after="0"/>
              <w:rPr>
                <w:sz w:val="20"/>
                <w:szCs w:val="20"/>
                <w:color w:val="auto"/>
              </w:rPr>
            </w:pPr>
            <w:r>
              <w:rPr>
                <w:rFonts w:ascii="Arial" w:cs="Arial" w:eastAsia="Arial" w:hAnsi="Arial"/>
                <w:sz w:val="18"/>
                <w:szCs w:val="18"/>
                <w:b w:val="1"/>
                <w:bCs w:val="1"/>
                <w:color w:val="auto"/>
                <w:w w:val="90"/>
              </w:rPr>
              <w:t>Mitsubishi UFJ Securities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90"/>
              </w:rPr>
              <w:t>The Royal Bank of Scotland</w:t>
            </w: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0"/>
              </w:rPr>
              <w:t>UBS Investment Bank</w:t>
            </w:r>
          </w:p>
        </w:tc>
        <w:tc>
          <w:tcPr>
            <w:tcW w:w="0" w:type="dxa"/>
            <w:vAlign w:val="bottom"/>
          </w:tcPr>
          <w:p>
            <w:pPr>
              <w:spacing w:after="0"/>
              <w:rPr>
                <w:sz w:val="1"/>
                <w:szCs w:val="1"/>
                <w:color w:val="auto"/>
              </w:rPr>
            </w:pPr>
          </w:p>
        </w:tc>
      </w:tr>
      <w:tr>
        <w:trPr>
          <w:trHeight w:val="234"/>
        </w:trPr>
        <w:tc>
          <w:tcPr>
            <w:tcW w:w="33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5"/>
              </w:rPr>
              <w:t>BNY Capital Markets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9"/>
              </w:rPr>
              <w:t>Wachovia Securities</w:t>
            </w:r>
          </w:p>
        </w:tc>
        <w:tc>
          <w:tcPr>
            <w:tcW w:w="3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Sun Trust Robinson Humphrey</w:t>
            </w:r>
          </w:p>
        </w:tc>
        <w:tc>
          <w:tcPr>
            <w:tcW w:w="0" w:type="dxa"/>
            <w:vAlign w:val="bottom"/>
          </w:tcPr>
          <w:p>
            <w:pPr>
              <w:spacing w:after="0"/>
              <w:rPr>
                <w:sz w:val="1"/>
                <w:szCs w:val="1"/>
                <w:color w:val="auto"/>
              </w:rPr>
            </w:pPr>
          </w:p>
        </w:tc>
      </w:tr>
      <w:tr>
        <w:trPr>
          <w:trHeight w:val="216"/>
        </w:trPr>
        <w:tc>
          <w:tcPr>
            <w:tcW w:w="3360" w:type="dxa"/>
            <w:vAlign w:val="bottom"/>
            <w:gridSpan w:val="2"/>
            <w:vMerge w:val="continue"/>
          </w:tcPr>
          <w:p>
            <w:pPr>
              <w:spacing w:after="0"/>
              <w:rPr>
                <w:sz w:val="18"/>
                <w:szCs w:val="18"/>
                <w:color w:val="auto"/>
              </w:rPr>
            </w:pPr>
          </w:p>
        </w:tc>
        <w:tc>
          <w:tcPr>
            <w:tcW w:w="3360" w:type="dxa"/>
            <w:vAlign w:val="bottom"/>
          </w:tcPr>
          <w:p>
            <w:pPr>
              <w:spacing w:after="0"/>
              <w:rPr>
                <w:sz w:val="18"/>
                <w:szCs w:val="18"/>
                <w:color w:val="auto"/>
              </w:rPr>
            </w:pPr>
          </w:p>
        </w:tc>
        <w:tc>
          <w:tcPr>
            <w:tcW w:w="3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480" w:type="dxa"/>
            <w:vAlign w:val="bottom"/>
            <w:tcBorders>
              <w:bottom w:val="single" w:sz="8" w:color="auto"/>
            </w:tcBorders>
          </w:tcPr>
          <w:p>
            <w:pPr>
              <w:spacing w:after="0"/>
              <w:rPr>
                <w:sz w:val="10"/>
                <w:szCs w:val="10"/>
                <w:color w:val="auto"/>
              </w:rPr>
            </w:pPr>
          </w:p>
        </w:tc>
        <w:tc>
          <w:tcPr>
            <w:tcW w:w="18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3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Guzman &amp; Company</w:t>
            </w: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7"/>
              </w:rPr>
              <w:t>Ramirez &amp; Co., Inc</w:t>
            </w: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5"/>
              </w:rPr>
              <w:t>The Williams Capital Group, L.P.</w:t>
            </w:r>
          </w:p>
        </w:tc>
        <w:tc>
          <w:tcPr>
            <w:tcW w:w="0" w:type="dxa"/>
            <w:vAlign w:val="bottom"/>
          </w:tcPr>
          <w:p>
            <w:pPr>
              <w:spacing w:after="0"/>
              <w:rPr>
                <w:sz w:val="1"/>
                <w:szCs w:val="1"/>
                <w:color w:val="auto"/>
              </w:rPr>
            </w:pPr>
          </w:p>
        </w:tc>
      </w:tr>
      <w:tr>
        <w:trPr>
          <w:trHeight w:val="149"/>
        </w:trPr>
        <w:tc>
          <w:tcPr>
            <w:tcW w:w="3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Blaylock &amp; Company, Inc.</w:t>
            </w:r>
          </w:p>
        </w:tc>
        <w:tc>
          <w:tcPr>
            <w:tcW w:w="3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Cabrera Capital Markets, Inc.</w:t>
            </w:r>
          </w:p>
        </w:tc>
        <w:tc>
          <w:tcPr>
            <w:tcW w:w="3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Loop Capital Markets, LLC</w:t>
            </w:r>
          </w:p>
        </w:tc>
        <w:tc>
          <w:tcPr>
            <w:tcW w:w="0" w:type="dxa"/>
            <w:vAlign w:val="bottom"/>
          </w:tcPr>
          <w:p>
            <w:pPr>
              <w:spacing w:after="0"/>
              <w:rPr>
                <w:sz w:val="1"/>
                <w:szCs w:val="1"/>
                <w:color w:val="auto"/>
              </w:rPr>
            </w:pPr>
          </w:p>
        </w:tc>
      </w:tr>
      <w:tr>
        <w:trPr>
          <w:trHeight w:val="186"/>
        </w:trPr>
        <w:tc>
          <w:tcPr>
            <w:tcW w:w="3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M.R. Beal &amp; Company</w:t>
            </w:r>
          </w:p>
        </w:tc>
        <w:tc>
          <w:tcPr>
            <w:tcW w:w="3360" w:type="dxa"/>
            <w:vAlign w:val="bottom"/>
          </w:tcPr>
          <w:p>
            <w:pPr>
              <w:spacing w:after="0"/>
              <w:rPr>
                <w:sz w:val="16"/>
                <w:szCs w:val="16"/>
                <w:color w:val="auto"/>
              </w:rPr>
            </w:pP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6"/>
              </w:rPr>
              <w:t>Siebert Capital Markets</w:t>
            </w:r>
          </w:p>
        </w:tc>
        <w:tc>
          <w:tcPr>
            <w:tcW w:w="0" w:type="dxa"/>
            <w:vAlign w:val="bottom"/>
          </w:tcPr>
          <w:p>
            <w:pPr>
              <w:spacing w:after="0"/>
              <w:rPr>
                <w:sz w:val="1"/>
                <w:szCs w:val="1"/>
                <w:color w:val="auto"/>
              </w:rPr>
            </w:pPr>
          </w:p>
        </w:tc>
      </w:tr>
      <w:tr>
        <w:trPr>
          <w:trHeight w:val="269"/>
        </w:trPr>
        <w:tc>
          <w:tcPr>
            <w:tcW w:w="14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3360" w:type="dxa"/>
            <w:vAlign w:val="bottom"/>
          </w:tcPr>
          <w:p>
            <w:pPr>
              <w:jc w:val="center"/>
              <w:ind w:right="70"/>
              <w:spacing w:after="0"/>
              <w:rPr>
                <w:sz w:val="20"/>
                <w:szCs w:val="20"/>
                <w:color w:val="auto"/>
              </w:rPr>
            </w:pPr>
            <w:r>
              <w:rPr>
                <w:rFonts w:ascii="Arial" w:cs="Arial" w:eastAsia="Arial" w:hAnsi="Arial"/>
                <w:sz w:val="18"/>
                <w:szCs w:val="18"/>
                <w:color w:val="auto"/>
                <w:w w:val="91"/>
              </w:rPr>
              <w:t>August 20, 2007</w:t>
            </w:r>
          </w:p>
        </w:tc>
        <w:tc>
          <w:tcPr>
            <w:tcW w:w="3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620"/>
      </w:cols>
      <w:pgMar w:left="240" w:top="419" w:right="10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decimal"/>
      <w:start w:val="1"/>
    </w:lvl>
  </w:abstractNum>
  <w:abstractNum w:abstractNumId="1">
    <w:nsid w:val="2CA88611"/>
    <w:multiLevelType w:val="hybridMultilevel"/>
    <w:lvl w:ilvl="0">
      <w:lvlJc w:val="left"/>
      <w:lvlText w:val="(%1)"/>
      <w:numFmt w:val="decimal"/>
      <w:start w:val="1"/>
    </w:lvl>
  </w:abstractNum>
  <w:abstractNum w:abstractNumId="2">
    <w:nsid w:val="836C40E"/>
    <w:multiLevelType w:val="hybridMultilevel"/>
    <w:lvl w:ilvl="0">
      <w:lvlJc w:val="left"/>
      <w:lvlText w:val="(%1)"/>
      <w:numFmt w:val="decimal"/>
      <w:start w:val="215"/>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1)"/>
      <w:numFmt w:val="lowerLetter"/>
      <w:start w:val="26"/>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lvl w:ilvl="1">
      <w:lvlJc w:val="left"/>
      <w:lvlText w:val="•"/>
      <w:numFmt w:val="bullet"/>
      <w:start w:val="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1"/>
      <w:numFmt w:val="decimal"/>
      <w:start w:val="1"/>
    </w:lvl>
    <w:lvl w:ilvl="1">
      <w:lvlJc w:val="left"/>
      <w:lvlText w:val="(%2)"/>
      <w:numFmt w:val="lowerRoman"/>
      <w:start w:val="1"/>
    </w:lvl>
  </w:abstractNum>
  <w:abstractNum w:abstractNumId="10">
    <w:nsid w:val="22221A70"/>
    <w:multiLevelType w:val="hybridMultilevel"/>
    <w:lvl w:ilvl="0">
      <w:lvlJc w:val="left"/>
      <w:lvlText w:val="(%1)"/>
      <w:numFmt w:val="decimal"/>
      <w:start w:val="2"/>
    </w:lvl>
    <w:lvl w:ilvl="1">
      <w:lvlJc w:val="left"/>
      <w:lvlText w:val="(%2)"/>
      <w:numFmt w:val="lowerRoman"/>
      <w:start w:val="3"/>
    </w:lvl>
  </w:abstractNum>
  <w:abstractNum w:abstractNumId="11">
    <w:nsid w:val="4516DDE9"/>
    <w:multiLevelType w:val="hybridMultilevel"/>
    <w:lvl w:ilvl="0">
      <w:lvlJc w:val="left"/>
      <w:lvlText w:val="(%1)"/>
      <w:numFmt w:val="lowerRoman"/>
      <w:start w:val="1"/>
    </w:lvl>
  </w:abstractNum>
  <w:abstractNum w:abstractNumId="12">
    <w:nsid w:val="3006C83E"/>
    <w:multiLevelType w:val="hybridMultilevel"/>
    <w:lvl w:ilvl="0">
      <w:lvlJc w:val="left"/>
      <w:lvlText w:val="(%1)"/>
      <w:numFmt w:val="lowerLetter"/>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1)"/>
      <w:numFmt w:val="lowerRoman"/>
      <w:start w:val="2"/>
    </w:lvl>
  </w:abstractNum>
  <w:abstractNum w:abstractNumId="18">
    <w:nsid w:val="3804823E"/>
    <w:multiLevelType w:val="hybridMultilevel"/>
    <w:lvl w:ilvl="0">
      <w:lvlJc w:val="left"/>
      <w:lvlText w:val="(%1)"/>
      <w:numFmt w:val="decimal"/>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o"/>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o"/>
      <w:numFmt w:val="bullet"/>
      <w:start w:val="1"/>
    </w:lvl>
  </w:abstractNum>
  <w:abstractNum w:abstractNumId="28">
    <w:nsid w:val="3855585C"/>
    <w:multiLevelType w:val="hybridMultilevel"/>
    <w:lvl w:ilvl="0">
      <w:lvlJc w:val="left"/>
      <w:lvlText w:val="o"/>
      <w:numFmt w:val="bullet"/>
      <w:start w:val="1"/>
    </w:lvl>
  </w:abstractNum>
  <w:abstractNum w:abstractNumId="29">
    <w:nsid w:val="70A64E2A"/>
    <w:multiLevelType w:val="hybridMultilevel"/>
    <w:lvl w:ilvl="0">
      <w:lvlJc w:val="left"/>
      <w:lvlText w:val="•"/>
      <w:numFmt w:val="bullet"/>
      <w:start w:val="1"/>
    </w:lvl>
    <w:lvl w:ilvl="1">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3"/>
    </w:lvl>
    <w:lvl w:ilvl="1">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o"/>
      <w:numFmt w:val="bullet"/>
      <w:start w:val="1"/>
    </w:lvl>
  </w:abstractNum>
  <w:abstractNum w:abstractNumId="38">
    <w:nsid w:val="542289EC"/>
    <w:multiLevelType w:val="hybridMultilevel"/>
    <w:lvl w:ilvl="0">
      <w:lvlJc w:val="left"/>
      <w:lvlText w:val="o"/>
      <w:numFmt w:val="bullet"/>
      <w:start w:val="1"/>
    </w:lvl>
  </w:abstractNum>
  <w:abstractNum w:abstractNumId="39">
    <w:nsid w:val="6DE91B18"/>
    <w:multiLevelType w:val="hybridMultilevel"/>
    <w:lvl w:ilvl="0">
      <w:lvlJc w:val="left"/>
      <w:lvlText w:val="•"/>
      <w:numFmt w:val="bullet"/>
      <w:start w:val="1"/>
    </w:lvl>
    <w:lvl w:ilvl="1">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o"/>
      <w:numFmt w:val="bullet"/>
      <w:start w:val="1"/>
    </w:lvl>
  </w:abstractNum>
  <w:abstractNum w:abstractNumId="42">
    <w:nsid w:val="32FFF902"/>
    <w:multiLevelType w:val="hybridMultilevel"/>
    <w:lvl w:ilvl="0">
      <w:lvlJc w:val="left"/>
      <w:lvlText w:val="o"/>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2"/>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2019-12-15T06:50:36Z</dcterms:created>
  <dcterms:modified xsi:type="dcterms:W3CDTF">2019-12-15T06:50:36Z</dcterms:modified>
</cp:coreProperties>
</file>