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1"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6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60" w:type="dxa"/>
            <w:vAlign w:val="bottom"/>
            <w:vMerge w:val="restart"/>
          </w:tcPr>
          <w:p>
            <w:pPr>
              <w:jc w:val="center"/>
              <w:ind w:right="152"/>
              <w:spacing w:after="0" w:line="143"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6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65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6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6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60" w:type="dxa"/>
            <w:vAlign w:val="bottom"/>
            <w:vMerge w:val="restart"/>
          </w:tcPr>
          <w:p>
            <w:pPr>
              <w:jc w:val="center"/>
              <w:ind w:right="152"/>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5494020</wp:posOffset>
            </wp:positionH>
            <wp:positionV relativeFrom="paragraph">
              <wp:posOffset>-654685</wp:posOffset>
            </wp:positionV>
            <wp:extent cx="59690" cy="6680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020"/>
                    </a:xfrm>
                    <a:prstGeom prst="rect">
                      <a:avLst/>
                    </a:prstGeom>
                    <a:noFill/>
                  </pic:spPr>
                </pic:pic>
              </a:graphicData>
            </a:graphic>
          </wp:anchor>
        </w:drawing>
        <w:drawing>
          <wp:anchor simplePos="0" relativeHeight="251657728" behindDoc="1" locked="0" layoutInCell="0" allowOverlap="1">
            <wp:simplePos x="0" y="0"/>
            <wp:positionH relativeFrom="column">
              <wp:posOffset>4157980</wp:posOffset>
            </wp:positionH>
            <wp:positionV relativeFrom="paragraph">
              <wp:posOffset>-654685</wp:posOffset>
            </wp:positionV>
            <wp:extent cx="59690" cy="6680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020"/>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-1683385</wp:posOffset>
            </wp:positionH>
            <wp:positionV relativeFrom="paragraph">
              <wp:posOffset>21590</wp:posOffset>
            </wp:positionV>
            <wp:extent cx="7322820" cy="5182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5182235"/>
                    </a:xfrm>
                    <a:prstGeom prst="rect">
                      <a:avLst/>
                    </a:prstGeom>
                    <a:noFill/>
                  </pic:spPr>
                </pic:pic>
              </a:graphicData>
            </a:graphic>
          </wp:anchor>
        </w:drawing>
      </w:r>
    </w:p>
    <w:p>
      <w:pPr>
        <w:spacing w:after="0" w:line="107" w:lineRule="exact"/>
        <w:rPr>
          <w:sz w:val="24"/>
          <w:szCs w:val="24"/>
          <w:color w:val="auto"/>
        </w:rPr>
      </w:pPr>
    </w:p>
    <w:p>
      <w:pPr>
        <w:sectPr>
          <w:pgSz w:w="11900" w:h="16838" w:orient="portrait"/>
          <w:cols w:equalWidth="0" w:num="2">
            <w:col w:w="2360" w:space="280"/>
            <w:col w:w="8880"/>
          </w:cols>
          <w:pgMar w:left="240" w:top="226"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BONOVITZ SHELDON M</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COMCAST CENTER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2" w:lineRule="exact"/>
        <w:rPr>
          <w:sz w:val="24"/>
          <w:szCs w:val="24"/>
          <w:color w:val="auto"/>
        </w:rPr>
      </w:pPr>
    </w:p>
    <w:p>
      <w:pPr>
        <w:spacing w:after="0"/>
        <w:rPr>
          <w:rFonts w:ascii="Arial" w:cs="Arial" w:eastAsia="Arial" w:hAnsi="Arial"/>
          <w:sz w:val="22"/>
          <w:szCs w:val="22"/>
          <w:color w:val="0000EE"/>
        </w:rPr>
      </w:pPr>
      <w:hyperlink r:id="rId13">
        <w:r>
          <w:rPr>
            <w:rFonts w:ascii="Arial" w:cs="Arial" w:eastAsia="Arial" w:hAnsi="Arial"/>
            <w:sz w:val="22"/>
            <w:szCs w:val="22"/>
            <w:u w:val="single" w:color="auto"/>
            <w:color w:val="0000EE"/>
          </w:rPr>
          <w:t>COMCAST CORP</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CMCSA</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2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5" w:lineRule="exact"/>
        <w:rPr>
          <w:sz w:val="24"/>
          <w:szCs w:val="24"/>
          <w:color w:val="auto"/>
        </w:rPr>
      </w:pPr>
    </w:p>
    <w:p>
      <w:pPr>
        <w:spacing w:after="0"/>
        <w:rPr>
          <w:sz w:val="20"/>
          <w:szCs w:val="20"/>
          <w:color w:val="auto"/>
        </w:rPr>
      </w:pPr>
      <w:r>
        <w:rPr>
          <w:rFonts w:ascii="Arial" w:cs="Arial" w:eastAsia="Arial" w:hAnsi="Arial"/>
          <w:sz w:val="18"/>
          <w:szCs w:val="18"/>
          <w:color w:val="0000FF"/>
        </w:rPr>
        <w:t>11/20/2011</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8" w:right="640" w:firstLine="8"/>
        <w:spacing w:after="0" w:line="258"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12"/>
        <w:spacing w:after="0"/>
        <w:tabs>
          <w:tab w:leader="none" w:pos="532" w:val="left"/>
          <w:tab w:leader="none" w:pos="2172"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5"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52"/>
        <w:spacing w:after="0"/>
        <w:tabs>
          <w:tab w:leader="none" w:pos="2172"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9" w:lineRule="exact"/>
        <w:rPr>
          <w:sz w:val="24"/>
          <w:szCs w:val="24"/>
          <w:color w:val="auto"/>
        </w:rPr>
      </w:pPr>
    </w:p>
    <w:p>
      <w:pPr>
        <w:sectPr>
          <w:pgSz w:w="11900" w:h="16838" w:orient="portrait"/>
          <w:cols w:equalWidth="0" w:num="3">
            <w:col w:w="3340" w:space="720"/>
            <w:col w:w="3268" w:space="720"/>
            <w:col w:w="3472"/>
          </w:cols>
          <w:pgMar w:left="240" w:top="226" w:right="139" w:bottom="1440" w:gutter="0" w:footer="0" w:header="0"/>
          <w:type w:val="continuous"/>
        </w:sectPr>
      </w:pPr>
    </w:p>
    <w:p>
      <w:pPr>
        <w:spacing w:after="0" w:line="24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241"/>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Arial" w:cs="Arial" w:eastAsia="Arial" w:hAnsi="Arial"/>
                <w:sz w:val="18"/>
                <w:szCs w:val="18"/>
                <w:color w:val="0000FF"/>
              </w:rPr>
              <w:t>PHILADELPHIA PA</w:t>
            </w:r>
          </w:p>
        </w:tc>
        <w:tc>
          <w:tcPr>
            <w:tcW w:w="1660" w:type="dxa"/>
            <w:vAlign w:val="bottom"/>
          </w:tcPr>
          <w:p>
            <w:pPr>
              <w:jc w:val="right"/>
              <w:ind w:right="682"/>
              <w:spacing w:after="0"/>
              <w:rPr>
                <w:sz w:val="20"/>
                <w:szCs w:val="20"/>
                <w:color w:val="auto"/>
              </w:rPr>
            </w:pPr>
            <w:r>
              <w:rPr>
                <w:rFonts w:ascii="Arial" w:cs="Arial" w:eastAsia="Arial" w:hAnsi="Arial"/>
                <w:sz w:val="18"/>
                <w:szCs w:val="18"/>
                <w:color w:val="0000FF"/>
              </w:rPr>
              <w:t>19103</w:t>
            </w:r>
          </w:p>
        </w:tc>
      </w:tr>
      <w:tr>
        <w:trPr>
          <w:trHeight w:val="157"/>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60" w:type="dxa"/>
            <w:vAlign w:val="bottom"/>
          </w:tcPr>
          <w:p>
            <w:pPr>
              <w:jc w:val="right"/>
              <w:ind w:right="882"/>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200"/>
        <w:spacing w:after="0" w:line="224" w:lineRule="auto"/>
        <w:tabs>
          <w:tab w:leader="none" w:pos="452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5"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ind w:left="4540"/>
        <w:spacing w:after="0"/>
        <w:rPr>
          <w:sz w:val="20"/>
          <w:szCs w:val="20"/>
          <w:color w:val="auto"/>
        </w:rPr>
      </w:pPr>
      <w:r>
        <w:rPr>
          <w:rFonts w:ascii="Arial" w:cs="Arial" w:eastAsia="Arial" w:hAnsi="Arial"/>
          <w:sz w:val="13"/>
          <w:szCs w:val="13"/>
          <w:color w:val="auto"/>
        </w:rPr>
        <w:t>Person</w:t>
      </w:r>
    </w:p>
    <w:p>
      <w:pPr>
        <w:spacing w:after="0" w:line="398" w:lineRule="exact"/>
        <w:rPr>
          <w:sz w:val="24"/>
          <w:szCs w:val="24"/>
          <w:color w:val="auto"/>
        </w:rPr>
      </w:pPr>
    </w:p>
    <w:p>
      <w:pPr>
        <w:sectPr>
          <w:pgSz w:w="11900" w:h="16838" w:orient="portrait"/>
          <w:cols w:equalWidth="0" w:num="2">
            <w:col w:w="3900" w:space="160"/>
            <w:col w:w="7460"/>
          </w:cols>
          <w:pgMar w:left="240" w:top="226"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2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2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(A) or</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80" w:type="dxa"/>
            <w:vAlign w:val="bottom"/>
            <w:vMerge w:val="continue"/>
          </w:tcPr>
          <w:p>
            <w:pPr>
              <w:spacing w:after="0"/>
              <w:rPr>
                <w:sz w:val="8"/>
                <w:szCs w:val="8"/>
                <w:color w:val="auto"/>
              </w:rPr>
            </w:pPr>
          </w:p>
        </w:tc>
        <w:tc>
          <w:tcPr>
            <w:tcW w:w="11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600" w:type="dxa"/>
            <w:vAlign w:val="bottom"/>
            <w:tcBorders>
              <w:bottom w:val="single" w:sz="8" w:color="2C2C2C"/>
            </w:tcBorders>
          </w:tcPr>
          <w:p>
            <w:pPr>
              <w:spacing w:after="0"/>
              <w:rPr>
                <w:sz w:val="6"/>
                <w:szCs w:val="6"/>
                <w:color w:val="auto"/>
              </w:rPr>
            </w:pPr>
          </w:p>
        </w:tc>
        <w:tc>
          <w:tcPr>
            <w:tcW w:w="1880" w:type="dxa"/>
            <w:vAlign w:val="bottom"/>
            <w:tcBorders>
              <w:bottom w:val="single" w:sz="8" w:color="2C2C2C"/>
            </w:tcBorders>
          </w:tcPr>
          <w:p>
            <w:pPr>
              <w:spacing w:after="0"/>
              <w:rPr>
                <w:sz w:val="6"/>
                <w:szCs w:val="6"/>
                <w:color w:val="auto"/>
              </w:rPr>
            </w:pPr>
          </w:p>
        </w:tc>
        <w:tc>
          <w:tcPr>
            <w:tcW w:w="11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20" w:type="dxa"/>
            <w:vAlign w:val="bottom"/>
            <w:tcBorders>
              <w:top w:val="single" w:sz="8" w:color="808080"/>
            </w:tcBorders>
            <w:shd w:val="clear" w:color="auto" w:fill="2C2C2C"/>
          </w:tcPr>
          <w:p>
            <w:pPr>
              <w:spacing w:after="0" w:line="20" w:lineRule="exact"/>
              <w:rPr>
                <w:sz w:val="1"/>
                <w:szCs w:val="1"/>
                <w:color w:val="auto"/>
              </w:rPr>
            </w:pPr>
          </w:p>
        </w:tc>
        <w:tc>
          <w:tcPr>
            <w:tcW w:w="68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8)</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3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80" w:type="dxa"/>
            <w:vAlign w:val="bottom"/>
          </w:tcPr>
          <w:p>
            <w:pPr>
              <w:spacing w:after="0"/>
              <w:rPr>
                <w:sz w:val="4"/>
                <w:szCs w:val="4"/>
                <w:color w:val="auto"/>
              </w:rPr>
            </w:pPr>
          </w:p>
        </w:tc>
        <w:tc>
          <w:tcPr>
            <w:tcW w:w="760" w:type="dxa"/>
            <w:vAlign w:val="bottom"/>
          </w:tcPr>
          <w:p>
            <w:pPr>
              <w:spacing w:after="0"/>
              <w:rPr>
                <w:sz w:val="4"/>
                <w:szCs w:val="4"/>
                <w:color w:val="auto"/>
              </w:rPr>
            </w:pPr>
          </w:p>
        </w:tc>
        <w:tc>
          <w:tcPr>
            <w:tcW w:w="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(2)</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32"/>
              <w:spacing w:after="0"/>
              <w:rPr>
                <w:sz w:val="20"/>
                <w:szCs w:val="20"/>
                <w:color w:val="auto"/>
              </w:rPr>
            </w:pPr>
            <w:r>
              <w:rPr>
                <w:rFonts w:ascii="Arial" w:cs="Arial" w:eastAsia="Arial" w:hAnsi="Arial"/>
                <w:sz w:val="18"/>
                <w:szCs w:val="18"/>
                <w:color w:val="0000FF"/>
                <w:w w:val="93"/>
              </w:rPr>
              <w:t>6,737</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97"/>
              <w:spacing w:after="0" w:line="149" w:lineRule="exact"/>
              <w:rPr>
                <w:sz w:val="20"/>
                <w:szCs w:val="20"/>
                <w:color w:val="auto"/>
              </w:rPr>
            </w:pPr>
            <w:r>
              <w:rPr>
                <w:rFonts w:ascii="Arial" w:cs="Arial" w:eastAsia="Arial" w:hAnsi="Arial"/>
                <w:sz w:val="13"/>
                <w:szCs w:val="13"/>
                <w:color w:val="0000FF"/>
              </w:rPr>
              <w:t>11/20/2011</w:t>
            </w:r>
          </w:p>
        </w:tc>
        <w:tc>
          <w:tcPr>
            <w:tcW w:w="1140" w:type="dxa"/>
            <w:vAlign w:val="bottom"/>
          </w:tcPr>
          <w:p>
            <w:pPr>
              <w:spacing w:after="0"/>
              <w:rPr>
                <w:sz w:val="5"/>
                <w:szCs w:val="5"/>
                <w:color w:val="auto"/>
              </w:rPr>
            </w:pPr>
          </w:p>
        </w:tc>
        <w:tc>
          <w:tcPr>
            <w:tcW w:w="840" w:type="dxa"/>
            <w:vAlign w:val="bottom"/>
            <w:vMerge w:val="restart"/>
          </w:tcPr>
          <w:p>
            <w:pPr>
              <w:ind w:left="180"/>
              <w:spacing w:after="0" w:line="149" w:lineRule="exact"/>
              <w:rPr>
                <w:sz w:val="20"/>
                <w:szCs w:val="20"/>
                <w:color w:val="auto"/>
              </w:rPr>
            </w:pPr>
            <w:r>
              <w:rPr>
                <w:rFonts w:ascii="Arial" w:cs="Arial" w:eastAsia="Arial" w:hAnsi="Arial"/>
                <w:sz w:val="13"/>
                <w:szCs w:val="13"/>
                <w:color w:val="0000FF"/>
              </w:rPr>
              <w:t>A</w:t>
            </w:r>
          </w:p>
        </w:tc>
        <w:tc>
          <w:tcPr>
            <w:tcW w:w="48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6,737</w:t>
            </w:r>
          </w:p>
        </w:tc>
        <w:tc>
          <w:tcPr>
            <w:tcW w:w="320" w:type="dxa"/>
            <w:vAlign w:val="bottom"/>
          </w:tcPr>
          <w:p>
            <w:pPr>
              <w:spacing w:after="0"/>
              <w:rPr>
                <w:sz w:val="5"/>
                <w:szCs w:val="5"/>
                <w:color w:val="auto"/>
              </w:rPr>
            </w:pP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3"/>
                <w:szCs w:val="13"/>
                <w:color w:val="0000FF"/>
              </w:rPr>
              <w:t>10,269</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Phantom</w:t>
            </w: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(1)</w:t>
            </w:r>
          </w:p>
        </w:tc>
        <w:tc>
          <w:tcPr>
            <w:tcW w:w="1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20" w:type="dxa"/>
            <w:vAlign w:val="bottom"/>
            <w:vMerge w:val="restart"/>
          </w:tcPr>
          <w:p>
            <w:pPr>
              <w:ind w:left="340"/>
              <w:spacing w:after="0"/>
              <w:rPr>
                <w:sz w:val="20"/>
                <w:szCs w:val="20"/>
                <w:color w:val="auto"/>
              </w:rPr>
            </w:pPr>
            <w:r>
              <w:rPr>
                <w:rFonts w:ascii="Arial" w:cs="Arial" w:eastAsia="Arial" w:hAnsi="Arial"/>
                <w:sz w:val="11"/>
                <w:szCs w:val="11"/>
                <w:color w:val="008000"/>
              </w:rPr>
              <w:t>(3)</w:t>
            </w:r>
          </w:p>
        </w:tc>
        <w:tc>
          <w:tcPr>
            <w:tcW w:w="740" w:type="dxa"/>
            <w:vAlign w:val="bottom"/>
            <w:vMerge w:val="restart"/>
          </w:tcPr>
          <w:p>
            <w:pPr>
              <w:jc w:val="center"/>
              <w:spacing w:after="0"/>
              <w:rPr>
                <w:sz w:val="20"/>
                <w:szCs w:val="20"/>
                <w:color w:val="auto"/>
              </w:rPr>
            </w:pPr>
            <w:r>
              <w:rPr>
                <w:rFonts w:ascii="Arial" w:cs="Arial" w:eastAsia="Arial" w:hAnsi="Arial"/>
                <w:sz w:val="11"/>
                <w:szCs w:val="11"/>
                <w:color w:val="008000"/>
              </w:rPr>
              <w:t>(3)</w:t>
            </w:r>
          </w:p>
        </w:tc>
        <w:tc>
          <w:tcPr>
            <w:tcW w:w="720" w:type="dxa"/>
            <w:vAlign w:val="bottom"/>
          </w:tcPr>
          <w:p>
            <w:pPr>
              <w:jc w:val="center"/>
              <w:spacing w:after="0"/>
              <w:rPr>
                <w:sz w:val="20"/>
                <w:szCs w:val="20"/>
                <w:color w:val="auto"/>
              </w:rPr>
            </w:pPr>
            <w:r>
              <w:rPr>
                <w:rFonts w:ascii="Arial" w:cs="Arial" w:eastAsia="Arial" w:hAnsi="Arial"/>
                <w:sz w:val="13"/>
                <w:szCs w:val="13"/>
                <w:color w:val="0000FF"/>
                <w:w w:val="93"/>
              </w:rPr>
              <w:t>Class A</w:t>
            </w:r>
          </w:p>
        </w:tc>
        <w:tc>
          <w:tcPr>
            <w:tcW w:w="540" w:type="dxa"/>
            <w:vAlign w:val="bottom"/>
            <w:vMerge w:val="restart"/>
          </w:tcPr>
          <w:p>
            <w:pPr>
              <w:jc w:val="right"/>
              <w:ind w:right="112"/>
              <w:spacing w:after="0"/>
              <w:rPr>
                <w:sz w:val="20"/>
                <w:szCs w:val="20"/>
                <w:color w:val="auto"/>
              </w:rPr>
            </w:pPr>
            <w:r>
              <w:rPr>
                <w:rFonts w:ascii="Arial" w:cs="Arial" w:eastAsia="Arial" w:hAnsi="Arial"/>
                <w:sz w:val="18"/>
                <w:szCs w:val="18"/>
                <w:color w:val="0000FF"/>
              </w:rPr>
              <w:t>265</w:t>
            </w: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7"/>
        </w:trPr>
        <w:tc>
          <w:tcPr>
            <w:tcW w:w="720" w:type="dxa"/>
            <w:vAlign w:val="bottom"/>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120" w:type="dxa"/>
            <w:vAlign w:val="bottom"/>
            <w:vMerge w:val="restart"/>
          </w:tcPr>
          <w:p>
            <w:pPr>
              <w:jc w:val="right"/>
              <w:ind w:right="197"/>
              <w:spacing w:after="0" w:line="149" w:lineRule="exact"/>
              <w:rPr>
                <w:sz w:val="20"/>
                <w:szCs w:val="20"/>
                <w:color w:val="auto"/>
              </w:rPr>
            </w:pPr>
            <w:r>
              <w:rPr>
                <w:rFonts w:ascii="Arial" w:cs="Arial" w:eastAsia="Arial" w:hAnsi="Arial"/>
                <w:sz w:val="13"/>
                <w:szCs w:val="13"/>
                <w:color w:val="0000FF"/>
              </w:rPr>
              <w:t>11/20/2011</w:t>
            </w:r>
          </w:p>
        </w:tc>
        <w:tc>
          <w:tcPr>
            <w:tcW w:w="1140" w:type="dxa"/>
            <w:vAlign w:val="bottom"/>
          </w:tcPr>
          <w:p>
            <w:pPr>
              <w:spacing w:after="0"/>
              <w:rPr>
                <w:sz w:val="5"/>
                <w:szCs w:val="5"/>
                <w:color w:val="auto"/>
              </w:rPr>
            </w:pPr>
          </w:p>
        </w:tc>
        <w:tc>
          <w:tcPr>
            <w:tcW w:w="840" w:type="dxa"/>
            <w:vAlign w:val="bottom"/>
            <w:vMerge w:val="restart"/>
          </w:tcPr>
          <w:p>
            <w:pPr>
              <w:ind w:left="200"/>
              <w:spacing w:after="0" w:line="149" w:lineRule="exact"/>
              <w:rPr>
                <w:sz w:val="20"/>
                <w:szCs w:val="20"/>
                <w:color w:val="auto"/>
              </w:rPr>
            </w:pPr>
            <w:r>
              <w:rPr>
                <w:rFonts w:ascii="Arial" w:cs="Arial" w:eastAsia="Arial" w:hAnsi="Arial"/>
                <w:sz w:val="13"/>
                <w:szCs w:val="13"/>
                <w:color w:val="0000FF"/>
              </w:rPr>
              <w:t>F</w:t>
            </w:r>
          </w:p>
        </w:tc>
        <w:tc>
          <w:tcPr>
            <w:tcW w:w="480" w:type="dxa"/>
            <w:vAlign w:val="bottom"/>
          </w:tcPr>
          <w:p>
            <w:pPr>
              <w:spacing w:after="0"/>
              <w:rPr>
                <w:sz w:val="5"/>
                <w:szCs w:val="5"/>
                <w:color w:val="auto"/>
              </w:rPr>
            </w:pPr>
          </w:p>
        </w:tc>
        <w:tc>
          <w:tcPr>
            <w:tcW w:w="320" w:type="dxa"/>
            <w:vAlign w:val="bottom"/>
            <w:vMerge w:val="restart"/>
          </w:tcPr>
          <w:p>
            <w:pPr>
              <w:ind w:left="40"/>
              <w:spacing w:after="0" w:line="149" w:lineRule="exact"/>
              <w:rPr>
                <w:sz w:val="20"/>
                <w:szCs w:val="20"/>
                <w:color w:val="auto"/>
              </w:rPr>
            </w:pPr>
            <w:r>
              <w:rPr>
                <w:rFonts w:ascii="Arial" w:cs="Arial" w:eastAsia="Arial" w:hAnsi="Arial"/>
                <w:sz w:val="13"/>
                <w:szCs w:val="13"/>
                <w:color w:val="0000FF"/>
              </w:rPr>
              <w:t>265</w:t>
            </w:r>
          </w:p>
        </w:tc>
        <w:tc>
          <w:tcPr>
            <w:tcW w:w="820" w:type="dxa"/>
            <w:vAlign w:val="bottom"/>
            <w:vMerge w:val="continue"/>
          </w:tcPr>
          <w:p>
            <w:pPr>
              <w:spacing w:after="0"/>
              <w:rPr>
                <w:sz w:val="5"/>
                <w:szCs w:val="5"/>
                <w:color w:val="auto"/>
              </w:rPr>
            </w:pPr>
          </w:p>
        </w:tc>
        <w:tc>
          <w:tcPr>
            <w:tcW w:w="740" w:type="dxa"/>
            <w:vAlign w:val="bottom"/>
            <w:vMerge w:val="continue"/>
          </w:tcPr>
          <w:p>
            <w:pPr>
              <w:spacing w:after="0"/>
              <w:rPr>
                <w:sz w:val="5"/>
                <w:szCs w:val="5"/>
                <w:color w:val="auto"/>
              </w:rPr>
            </w:pPr>
          </w:p>
        </w:tc>
        <w:tc>
          <w:tcPr>
            <w:tcW w:w="720" w:type="dxa"/>
            <w:vAlign w:val="bottom"/>
            <w:vMerge w:val="restart"/>
          </w:tcPr>
          <w:p>
            <w:pPr>
              <w:ind w:left="80"/>
              <w:spacing w:after="0" w:line="149" w:lineRule="exact"/>
              <w:rPr>
                <w:sz w:val="20"/>
                <w:szCs w:val="20"/>
                <w:color w:val="auto"/>
              </w:rPr>
            </w:pPr>
            <w:r>
              <w:rPr>
                <w:rFonts w:ascii="Arial" w:cs="Arial" w:eastAsia="Arial" w:hAnsi="Arial"/>
                <w:sz w:val="13"/>
                <w:szCs w:val="13"/>
                <w:color w:val="0000FF"/>
              </w:rPr>
              <w:t>Common</w:t>
            </w:r>
          </w:p>
        </w:tc>
        <w:tc>
          <w:tcPr>
            <w:tcW w:w="540" w:type="dxa"/>
            <w:vAlign w:val="bottom"/>
            <w:vMerge w:val="continue"/>
          </w:tcPr>
          <w:p>
            <w:pPr>
              <w:spacing w:after="0"/>
              <w:rPr>
                <w:sz w:val="5"/>
                <w:szCs w:val="5"/>
                <w:color w:val="auto"/>
              </w:rPr>
            </w:pPr>
          </w:p>
        </w:tc>
        <w:tc>
          <w:tcPr>
            <w:tcW w:w="720" w:type="dxa"/>
            <w:vAlign w:val="bottom"/>
            <w:vMerge w:val="restart"/>
          </w:tcPr>
          <w:p>
            <w:pPr>
              <w:ind w:left="140"/>
              <w:spacing w:after="0" w:line="149"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0.0000</w:t>
            </w:r>
          </w:p>
        </w:tc>
        <w:tc>
          <w:tcPr>
            <w:tcW w:w="980" w:type="dxa"/>
            <w:vAlign w:val="bottom"/>
            <w:vMerge w:val="restart"/>
          </w:tcPr>
          <w:p>
            <w:pPr>
              <w:ind w:left="300"/>
              <w:spacing w:after="0" w:line="149" w:lineRule="exact"/>
              <w:rPr>
                <w:sz w:val="20"/>
                <w:szCs w:val="20"/>
                <w:color w:val="auto"/>
              </w:rPr>
            </w:pPr>
            <w:r>
              <w:rPr>
                <w:rFonts w:ascii="Arial" w:cs="Arial" w:eastAsia="Arial" w:hAnsi="Arial"/>
                <w:sz w:val="13"/>
                <w:szCs w:val="13"/>
                <w:color w:val="0000FF"/>
              </w:rPr>
              <w:t>10,004</w:t>
            </w:r>
          </w:p>
        </w:tc>
        <w:tc>
          <w:tcPr>
            <w:tcW w:w="760" w:type="dxa"/>
            <w:vAlign w:val="bottom"/>
            <w:vMerge w:val="restart"/>
          </w:tcPr>
          <w:p>
            <w:pPr>
              <w:ind w:left="340"/>
              <w:spacing w:after="0" w:line="149" w:lineRule="exact"/>
              <w:rPr>
                <w:sz w:val="20"/>
                <w:szCs w:val="20"/>
                <w:color w:val="auto"/>
              </w:rPr>
            </w:pPr>
            <w:r>
              <w:rPr>
                <w:rFonts w:ascii="Arial" w:cs="Arial" w:eastAsia="Arial" w:hAnsi="Arial"/>
                <w:sz w:val="13"/>
                <w:szCs w:val="13"/>
                <w:color w:val="0000FF"/>
              </w:rPr>
              <w:t>D</w:t>
            </w: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720" w:type="dxa"/>
            <w:vAlign w:val="bottom"/>
            <w:vMerge w:val="restart"/>
          </w:tcPr>
          <w:p>
            <w:pPr>
              <w:ind w:left="60"/>
              <w:spacing w:after="0"/>
              <w:rPr>
                <w:sz w:val="20"/>
                <w:szCs w:val="20"/>
                <w:color w:val="auto"/>
              </w:rPr>
            </w:pPr>
            <w:r>
              <w:rPr>
                <w:rFonts w:ascii="Arial" w:cs="Arial" w:eastAsia="Arial" w:hAnsi="Arial"/>
                <w:sz w:val="13"/>
                <w:szCs w:val="13"/>
                <w:color w:val="0000FF"/>
              </w:rPr>
              <w:t>Stock</w:t>
            </w:r>
          </w:p>
        </w:tc>
        <w:tc>
          <w:tcPr>
            <w:tcW w:w="820" w:type="dxa"/>
            <w:vAlign w:val="bottom"/>
            <w:vMerge w:val="continue"/>
          </w:tcPr>
          <w:p>
            <w:pPr>
              <w:spacing w:after="0"/>
              <w:rPr>
                <w:sz w:val="7"/>
                <w:szCs w:val="7"/>
                <w:color w:val="auto"/>
              </w:rPr>
            </w:pPr>
          </w:p>
        </w:tc>
        <w:tc>
          <w:tcPr>
            <w:tcW w:w="1120" w:type="dxa"/>
            <w:vAlign w:val="bottom"/>
            <w:vMerge w:val="continue"/>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vMerge w:val="continue"/>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vMerge w:val="continue"/>
          </w:tcPr>
          <w:p>
            <w:pPr>
              <w:spacing w:after="0"/>
              <w:rPr>
                <w:sz w:val="7"/>
                <w:szCs w:val="7"/>
                <w:color w:val="auto"/>
              </w:rPr>
            </w:pPr>
          </w:p>
        </w:tc>
        <w:tc>
          <w:tcPr>
            <w:tcW w:w="82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98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720" w:type="dxa"/>
            <w:vAlign w:val="bottom"/>
            <w:vMerge w:val="continue"/>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7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4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720" w:type="dxa"/>
            <w:vAlign w:val="bottom"/>
          </w:tcPr>
          <w:p>
            <w:pPr>
              <w:spacing w:after="0"/>
              <w:rPr>
                <w:sz w:val="7"/>
                <w:szCs w:val="7"/>
                <w:color w:val="auto"/>
              </w:rPr>
            </w:pP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9"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These securities convert on a one-to-one basis.</w:t>
      </w:r>
    </w:p>
    <w:p>
      <w:pPr>
        <w:spacing w:after="0" w:line="52" w:lineRule="exact"/>
        <w:rPr>
          <w:rFonts w:ascii="Arial" w:cs="Arial" w:eastAsia="Arial" w:hAnsi="Arial"/>
          <w:sz w:val="13"/>
          <w:szCs w:val="13"/>
          <w:color w:val="008000"/>
        </w:rPr>
      </w:pPr>
    </w:p>
    <w:p>
      <w:pPr>
        <w:ind w:left="40" w:right="260" w:firstLine="8"/>
        <w:spacing w:after="0" w:line="274" w:lineRule="auto"/>
        <w:tabs>
          <w:tab w:leader="none" w:pos="175"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elected to defer receipt of shares of Class A common stock granted to the reporting person, resulting in an acquisition of phantom shares. Phantom shares will be paid in cash or shares, at the election of the reporting person, and may be re-deferred at future dates.</w:t>
      </w:r>
    </w:p>
    <w:p>
      <w:pPr>
        <w:spacing w:after="0" w:line="9"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Although the reporting person elected to defer receipt of the shares of Class A common stock underlying the phantom shares, these shares were withheld for payment of tax liability.</w:t>
      </w:r>
    </w:p>
    <w:p>
      <w:pPr>
        <w:spacing w:after="0" w:line="59"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0000FF"/>
                <w:w w:val="92"/>
              </w:rPr>
              <w:t>Arthur R. Block, Attorney-in-</w:t>
            </w:r>
          </w:p>
        </w:tc>
        <w:tc>
          <w:tcPr>
            <w:tcW w:w="100" w:type="dxa"/>
            <w:vAlign w:val="bottom"/>
          </w:tcPr>
          <w:p>
            <w:pPr>
              <w:spacing w:after="0"/>
              <w:rPr>
                <w:sz w:val="18"/>
                <w:szCs w:val="18"/>
                <w:color w:val="auto"/>
              </w:rPr>
            </w:pPr>
          </w:p>
        </w:tc>
        <w:tc>
          <w:tcPr>
            <w:tcW w:w="880" w:type="dxa"/>
            <w:vAlign w:val="bottom"/>
            <w:gridSpan w:val="2"/>
            <w:vMerge w:val="restart"/>
          </w:tcPr>
          <w:p>
            <w:pPr>
              <w:ind w:left="100"/>
              <w:spacing w:after="0"/>
              <w:rPr>
                <w:sz w:val="20"/>
                <w:szCs w:val="20"/>
                <w:color w:val="auto"/>
              </w:rPr>
            </w:pPr>
            <w:r>
              <w:rPr>
                <w:rFonts w:ascii="Arial" w:cs="Arial" w:eastAsia="Arial" w:hAnsi="Arial"/>
                <w:sz w:val="18"/>
                <w:szCs w:val="18"/>
                <w:color w:val="0000FF"/>
                <w:w w:val="84"/>
              </w:rPr>
              <w:t>11/22/2011</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96" w:lineRule="exact"/>
              <w:rPr>
                <w:sz w:val="20"/>
                <w:szCs w:val="20"/>
                <w:color w:val="auto"/>
              </w:rPr>
            </w:pPr>
            <w:r>
              <w:rPr>
                <w:rFonts w:ascii="Arial" w:cs="Arial" w:eastAsia="Arial" w:hAnsi="Arial"/>
                <w:sz w:val="18"/>
                <w:szCs w:val="18"/>
                <w:color w:val="0000FF"/>
              </w:rPr>
              <w:t>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20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78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3" w:lineRule="exact"/>
        <w:rPr>
          <w:sz w:val="24"/>
          <w:szCs w:val="24"/>
          <w:color w:val="auto"/>
        </w:rPr>
      </w:pPr>
    </w:p>
    <w:p>
      <w:pPr>
        <w:jc w:val="both"/>
        <w:ind w:left="40" w:right="3680" w:firstLine="8"/>
        <w:spacing w:after="0" w:line="323"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6"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03700" TargetMode="External"/><Relationship Id="rId13" Type="http://schemas.openxmlformats.org/officeDocument/2006/relationships/hyperlink" Target="http://www.sec.gov/cgi-bin/browse-edgar?action=getcompany&amp;CIK=000116669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2019-12-18T08:19:24Z</dcterms:created>
  <dcterms:modified xsi:type="dcterms:W3CDTF">2019-12-18T08:19:24Z</dcterms:modified>
</cp:coreProperties>
</file>