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October 25, 2018</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000"/>
          </w:cols>
          <w:pgMar w:left="240" w:top="908" w:right="659" w:bottom="1440" w:gutter="0" w:footer="0" w:header="0"/>
        </w:sectPr>
      </w:pPr>
    </w:p>
    <w:p>
      <w:pPr>
        <w:spacing w:after="0" w:line="37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1060"/>
        <w:spacing w:after="0" w:line="277" w:lineRule="auto"/>
        <w:rPr>
          <w:sz w:val="20"/>
          <w:szCs w:val="20"/>
          <w:color w:val="auto"/>
        </w:rPr>
      </w:pPr>
      <w:r>
        <w:rPr>
          <w:rFonts w:ascii="Arial" w:cs="Arial" w:eastAsia="Arial" w:hAnsi="Arial"/>
          <w:sz w:val="18"/>
          <w:szCs w:val="18"/>
          <w:color w:val="auto"/>
        </w:rPr>
        <w:t>Notice of disclosure filed in the Quarterly Report on Form 10-Q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440"/>
          </w:cols>
          <w:pgMar w:left="240" w:top="908" w:right="65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Quarterly Report on Form 10-Q for the quarterly period ended September 30, 2018, which was filed with the Securities and Exchange Commission on October 25, 2018.</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000"/>
      </w:cols>
      <w:pgMar w:left="240" w:top="908"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2019-12-06T19:30:26Z</dcterms:created>
  <dcterms:modified xsi:type="dcterms:W3CDTF">2019-12-06T19:30:26Z</dcterms:modified>
</cp:coreProperties>
</file>