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jc w:val="center"/>
              <w:ind w:right="660"/>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jc w:val="center"/>
              <w:ind w:right="660"/>
              <w:spacing w:after="0"/>
              <w:rPr>
                <w:rFonts w:ascii="Arial" w:cs="Arial" w:eastAsia="Arial" w:hAnsi="Arial"/>
                <w:sz w:val="22"/>
                <w:szCs w:val="22"/>
                <w:color w:val="0000EE"/>
                <w:w w:val="93"/>
              </w:rPr>
            </w:pPr>
            <w:hyperlink r:id="rId11">
              <w:r>
                <w:rPr>
                  <w:rFonts w:ascii="Arial" w:cs="Arial" w:eastAsia="Arial" w:hAnsi="Arial"/>
                  <w:sz w:val="22"/>
                  <w:szCs w:val="22"/>
                  <w:color w:val="0000EE"/>
                  <w:w w:val="93"/>
                </w:rPr>
                <w:t>RODGERS JOHNATHAN 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56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09/22/2011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COMCAST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CMCSA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320" w:type="dxa"/>
            <w:vAlign w:val="bottom"/>
          </w:tcPr>
          <w:p>
            <w:pPr>
              <w:ind w:left="340"/>
              <w:spacing w:after="0"/>
              <w:rPr>
                <w:sz w:val="20"/>
                <w:szCs w:val="20"/>
                <w:color w:val="auto"/>
              </w:rPr>
            </w:pPr>
            <w:r>
              <w:rPr>
                <w:rFonts w:ascii="Arial" w:cs="Arial" w:eastAsia="Arial" w:hAnsi="Arial"/>
                <w:sz w:val="14"/>
                <w:szCs w:val="14"/>
                <w:color w:val="auto"/>
              </w:rPr>
              <w:t>(First)</w:t>
            </w:r>
          </w:p>
        </w:tc>
        <w:tc>
          <w:tcPr>
            <w:tcW w:w="1140" w:type="dxa"/>
            <w:vAlign w:val="bottom"/>
          </w:tcPr>
          <w:p>
            <w:pPr>
              <w:ind w:left="10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0000FF"/>
                <w:w w:val="96"/>
              </w:rPr>
              <w:t>ONE COMCAST CENTER</w:t>
            </w:r>
          </w:p>
        </w:tc>
        <w:tc>
          <w:tcPr>
            <w:tcW w:w="114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0000FF"/>
              </w:rPr>
              <w:t>PHILADELPHIA PA</w:t>
            </w:r>
          </w:p>
        </w:tc>
        <w:tc>
          <w:tcPr>
            <w:tcW w:w="1140" w:type="dxa"/>
            <w:vAlign w:val="bottom"/>
          </w:tcPr>
          <w:p>
            <w:pPr>
              <w:jc w:val="right"/>
              <w:ind w:right="446"/>
              <w:spacing w:after="0"/>
              <w:rPr>
                <w:sz w:val="20"/>
                <w:szCs w:val="20"/>
                <w:color w:val="auto"/>
              </w:rPr>
            </w:pPr>
            <w:r>
              <w:rPr>
                <w:rFonts w:ascii="Arial" w:cs="Arial" w:eastAsia="Arial" w:hAnsi="Arial"/>
                <w:sz w:val="18"/>
                <w:szCs w:val="18"/>
                <w:color w:val="0000FF"/>
              </w:rPr>
              <w:t>19103</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320" w:type="dxa"/>
            <w:vAlign w:val="bottom"/>
          </w:tcPr>
          <w:p>
            <w:pPr>
              <w:ind w:left="340"/>
              <w:spacing w:after="0"/>
              <w:rPr>
                <w:sz w:val="20"/>
                <w:szCs w:val="20"/>
                <w:color w:val="auto"/>
              </w:rPr>
            </w:pPr>
            <w:r>
              <w:rPr>
                <w:rFonts w:ascii="Arial" w:cs="Arial" w:eastAsia="Arial" w:hAnsi="Arial"/>
                <w:sz w:val="14"/>
                <w:szCs w:val="14"/>
                <w:color w:val="auto"/>
              </w:rPr>
              <w:t>(State)</w:t>
            </w:r>
          </w:p>
        </w:tc>
        <w:tc>
          <w:tcPr>
            <w:tcW w:w="1140" w:type="dxa"/>
            <w:vAlign w:val="bottom"/>
          </w:tcPr>
          <w:p>
            <w:pPr>
              <w:ind w:left="10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60" w:type="dxa"/>
            <w:vAlign w:val="bottom"/>
            <w:gridSpan w:val="2"/>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3"/>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90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3"/>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46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1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0000FF"/>
                <w:w w:val="92"/>
              </w:rPr>
              <w:t>/s/ Arthur R. Block, Attorney-</w:t>
            </w:r>
          </w:p>
        </w:tc>
        <w:tc>
          <w:tcPr>
            <w:tcW w:w="2440" w:type="dxa"/>
            <w:vAlign w:val="bottom"/>
            <w:gridSpan w:val="4"/>
            <w:vMerge w:val="restart"/>
          </w:tcPr>
          <w:p>
            <w:pPr>
              <w:ind w:left="180"/>
              <w:spacing w:after="0"/>
              <w:rPr>
                <w:sz w:val="20"/>
                <w:szCs w:val="20"/>
                <w:color w:val="auto"/>
              </w:rPr>
            </w:pPr>
            <w:r>
              <w:rPr>
                <w:rFonts w:ascii="Arial" w:cs="Arial" w:eastAsia="Arial" w:hAnsi="Arial"/>
                <w:sz w:val="18"/>
                <w:szCs w:val="18"/>
                <w:color w:val="0000FF"/>
              </w:rPr>
              <w:t>09/26/2011</w:t>
            </w:r>
          </w:p>
        </w:tc>
        <w:tc>
          <w:tcPr>
            <w:tcW w:w="0" w:type="dxa"/>
            <w:vAlign w:val="bottom"/>
          </w:tcPr>
          <w:p>
            <w:pPr>
              <w:spacing w:after="0"/>
              <w:rPr>
                <w:sz w:val="1"/>
                <w:szCs w:val="1"/>
                <w:color w:val="auto"/>
              </w:rPr>
            </w:pPr>
          </w:p>
        </w:tc>
      </w:tr>
      <w:tr>
        <w:trPr>
          <w:trHeight w:val="82"/>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60" w:type="dxa"/>
            <w:vAlign w:val="bottom"/>
            <w:gridSpan w:val="3"/>
          </w:tcPr>
          <w:p>
            <w:pPr>
              <w:spacing w:after="0"/>
              <w:rPr>
                <w:sz w:val="7"/>
                <w:szCs w:val="7"/>
                <w:color w:val="auto"/>
              </w:rPr>
            </w:pPr>
          </w:p>
        </w:tc>
        <w:tc>
          <w:tcPr>
            <w:tcW w:w="24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6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40" w:type="dxa"/>
            <w:vAlign w:val="bottom"/>
            <w:gridSpan w:val="2"/>
          </w:tcPr>
          <w:p>
            <w:pPr>
              <w:spacing w:after="0" w:line="95" w:lineRule="exact"/>
              <w:rPr>
                <w:sz w:val="20"/>
                <w:szCs w:val="20"/>
                <w:color w:val="auto"/>
              </w:rPr>
            </w:pPr>
            <w:r>
              <w:rPr>
                <w:rFonts w:ascii="Arial" w:cs="Arial" w:eastAsia="Arial" w:hAnsi="Arial"/>
                <w:sz w:val="10"/>
                <w:szCs w:val="10"/>
                <w:color w:val="0000FF"/>
              </w:rPr>
              <w:t>in-fact</w:t>
            </w: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0" w:type="dxa"/>
            <w:vAlign w:val="bottom"/>
          </w:tcPr>
          <w:p>
            <w:pPr>
              <w:spacing w:after="0"/>
              <w:rPr>
                <w:sz w:val="20"/>
                <w:szCs w:val="20"/>
                <w:color w:val="auto"/>
              </w:rPr>
            </w:pPr>
          </w:p>
        </w:tc>
        <w:tc>
          <w:tcPr>
            <w:tcW w:w="7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Know all by these presents, that the undersigned hereby constitutes and appoints each of Arthur R. Block, David L. Cohen and Michael J. Angelakis, as the undersigned’s true and lawful attorneys-in-fact to:</w:t>
      </w:r>
    </w:p>
    <w:p>
      <w:pPr>
        <w:spacing w:after="0" w:line="197" w:lineRule="exact"/>
        <w:rPr>
          <w:sz w:val="20"/>
          <w:szCs w:val="20"/>
          <w:color w:val="auto"/>
        </w:rPr>
      </w:pPr>
    </w:p>
    <w:p>
      <w:pPr>
        <w:ind w:right="20" w:firstLine="656"/>
        <w:spacing w:after="0" w:line="264" w:lineRule="auto"/>
        <w:tabs>
          <w:tab w:leader="none" w:pos="1353"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reporting person pursuant to Section 16 of the Securities Exchange Act of 1934, as amended (the “Exchange Act”), and the rules thereunder of Comcast Corporation (the “Company”), Forms 3, 4 and 5 in accordance with Section 16(a) of the Exchange Act;</w:t>
      </w:r>
    </w:p>
    <w:p>
      <w:pPr>
        <w:spacing w:after="0" w:line="208" w:lineRule="exact"/>
        <w:rPr>
          <w:rFonts w:ascii="Arial" w:cs="Arial" w:eastAsia="Arial" w:hAnsi="Arial"/>
          <w:sz w:val="18"/>
          <w:szCs w:val="18"/>
          <w:color w:val="auto"/>
        </w:rPr>
      </w:pPr>
    </w:p>
    <w:p>
      <w:pPr>
        <w:ind w:right="340" w:firstLine="656"/>
        <w:spacing w:after="0" w:line="342" w:lineRule="auto"/>
        <w:tabs>
          <w:tab w:leader="none" w:pos="1353" w:val="left"/>
        </w:tabs>
        <w:numPr>
          <w:ilvl w:val="0"/>
          <w:numId w:val="5"/>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 and</w:t>
      </w:r>
    </w:p>
    <w:p>
      <w:pPr>
        <w:spacing w:after="0" w:line="150" w:lineRule="exact"/>
        <w:rPr>
          <w:rFonts w:ascii="Arial" w:cs="Arial" w:eastAsia="Arial" w:hAnsi="Arial"/>
          <w:sz w:val="16"/>
          <w:szCs w:val="16"/>
          <w:color w:val="auto"/>
        </w:rPr>
      </w:pPr>
    </w:p>
    <w:p>
      <w:pPr>
        <w:jc w:val="both"/>
        <w:ind w:right="160" w:firstLine="656"/>
        <w:spacing w:after="0" w:line="259" w:lineRule="auto"/>
        <w:tabs>
          <w:tab w:leader="none" w:pos="1353"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214"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9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September, 2011.</w:t>
      </w:r>
    </w:p>
    <w:p>
      <w:pPr>
        <w:spacing w:after="0" w:line="17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u w:val="single" w:color="auto"/>
          <w:color w:val="auto"/>
        </w:rPr>
        <w:t>/s/ Johnathan Rodgers</w:t>
      </w:r>
    </w:p>
    <w:p>
      <w:pPr>
        <w:spacing w:after="0" w:line="25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u w:val="single" w:color="auto"/>
          <w:color w:val="auto"/>
        </w:rPr>
        <w:t>Johnathan 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190704" TargetMode="External"/><Relationship Id="rId12"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2019-12-16T11:35:24Z</dcterms:created>
  <dcterms:modified xsi:type="dcterms:W3CDTF">2019-12-16T11:35:24Z</dcterms:modified>
</cp:coreProperties>
</file>