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UNITED STATES</w:t>
      </w:r>
    </w:p>
    <w:p>
      <w:pPr>
        <w:spacing w:after="0" w:line="4"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5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201930</wp:posOffset>
            </wp:positionV>
            <wp:extent cx="1106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5"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FORM 8-K</w:t>
      </w:r>
    </w:p>
    <w:p>
      <w:pPr>
        <w:spacing w:after="0" w:line="233"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539"/>
        <w:spacing w:after="0"/>
        <w:rPr>
          <w:sz w:val="20"/>
          <w:szCs w:val="20"/>
          <w:color w:val="auto"/>
        </w:rPr>
      </w:pPr>
      <w:r>
        <w:rPr>
          <w:rFonts w:ascii="Arial" w:cs="Arial" w:eastAsia="Arial" w:hAnsi="Arial"/>
          <w:sz w:val="22"/>
          <w:szCs w:val="22"/>
          <w:b w:val="1"/>
          <w:bCs w:val="1"/>
          <w:color w:val="auto"/>
        </w:rPr>
        <w:t>Pursuant to Section 13 or 15(d) of the</w:t>
      </w:r>
    </w:p>
    <w:p>
      <w:pPr>
        <w:jc w:val="center"/>
        <w:ind w:right="-539"/>
        <w:spacing w:after="0"/>
        <w:rPr>
          <w:sz w:val="20"/>
          <w:szCs w:val="20"/>
          <w:color w:val="auto"/>
        </w:rPr>
      </w:pPr>
      <w:r>
        <w:rPr>
          <w:rFonts w:ascii="Arial" w:cs="Arial" w:eastAsia="Arial" w:hAnsi="Arial"/>
          <w:sz w:val="22"/>
          <w:szCs w:val="22"/>
          <w:b w:val="1"/>
          <w:bCs w:val="1"/>
          <w:color w:val="auto"/>
        </w:rPr>
        <w:t>Securities Exchange Act of 1934</w:t>
      </w:r>
    </w:p>
    <w:p>
      <w:pPr>
        <w:spacing w:after="0" w:line="222"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Date of report (Date of earliest event reported): February 14, 2014 (February 13, 2014)</w:t>
      </w:r>
    </w:p>
    <w:p>
      <w:pPr>
        <w:spacing w:after="0" w:line="158" w:lineRule="exact"/>
        <w:rPr>
          <w:sz w:val="24"/>
          <w:szCs w:val="24"/>
          <w:color w:val="auto"/>
        </w:rPr>
      </w:pPr>
    </w:p>
    <w:p>
      <w:pPr>
        <w:ind w:left="4700"/>
        <w:spacing w:after="0"/>
        <w:rPr>
          <w:sz w:val="20"/>
          <w:szCs w:val="20"/>
          <w:color w:val="auto"/>
        </w:rPr>
      </w:pPr>
      <w:r>
        <w:rPr>
          <w:rFonts w:ascii="Arial" w:cs="Arial" w:eastAsia="Arial" w:hAnsi="Arial"/>
          <w:sz w:val="22"/>
          <w:szCs w:val="22"/>
          <w:b w:val="1"/>
          <w:bCs w:val="1"/>
          <w:color w:val="auto"/>
        </w:rPr>
        <w:t>Comcast Corporation</w:t>
      </w:r>
    </w:p>
    <w:p>
      <w:pPr>
        <w:spacing w:after="0" w:line="19" w:lineRule="exact"/>
        <w:rPr>
          <w:sz w:val="24"/>
          <w:szCs w:val="24"/>
          <w:color w:val="auto"/>
        </w:rPr>
      </w:pPr>
    </w:p>
    <w:p>
      <w:pPr>
        <w:ind w:left="4740"/>
        <w:spacing w:after="0"/>
        <w:rPr>
          <w:sz w:val="20"/>
          <w:szCs w:val="20"/>
          <w:color w:val="auto"/>
        </w:rPr>
      </w:pPr>
      <w:r>
        <w:rPr>
          <w:rFonts w:ascii="Arial" w:cs="Arial" w:eastAsia="Arial" w:hAnsi="Arial"/>
          <w:sz w:val="18"/>
          <w:szCs w:val="18"/>
          <w:color w:val="auto"/>
        </w:rPr>
        <w:t>(Exact Name of Registrant</w:t>
      </w:r>
    </w:p>
    <w:p>
      <w:pPr>
        <w:spacing w:after="0" w:line="7" w:lineRule="exact"/>
        <w:rPr>
          <w:sz w:val="24"/>
          <w:szCs w:val="24"/>
          <w:color w:val="auto"/>
        </w:rPr>
      </w:pPr>
    </w:p>
    <w:p>
      <w:pPr>
        <w:ind w:left="4740"/>
        <w:spacing w:after="0"/>
        <w:rPr>
          <w:sz w:val="20"/>
          <w:szCs w:val="20"/>
          <w:color w:val="auto"/>
        </w:rPr>
      </w:pPr>
      <w:r>
        <w:rPr>
          <w:rFonts w:ascii="Arial" w:cs="Arial" w:eastAsia="Arial" w:hAnsi="Arial"/>
          <w:sz w:val="18"/>
          <w:szCs w:val="18"/>
          <w:color w:val="auto"/>
        </w:rPr>
        <w:t>as Specified in its Charter)</w:t>
      </w:r>
    </w:p>
    <w:p>
      <w:pPr>
        <w:spacing w:after="0" w:line="153" w:lineRule="exact"/>
        <w:rPr>
          <w:sz w:val="24"/>
          <w:szCs w:val="24"/>
          <w:color w:val="auto"/>
        </w:rPr>
      </w:pPr>
    </w:p>
    <w:p>
      <w:pPr>
        <w:jc w:val="center"/>
        <w:ind w:right="-539"/>
        <w:spacing w:after="0"/>
        <w:rPr>
          <w:sz w:val="20"/>
          <w:szCs w:val="20"/>
          <w:color w:val="auto"/>
        </w:rPr>
      </w:pPr>
      <w:r>
        <w:rPr>
          <w:rFonts w:ascii="Arial" w:cs="Arial" w:eastAsia="Arial" w:hAnsi="Arial"/>
          <w:sz w:val="18"/>
          <w:szCs w:val="18"/>
          <w:b w:val="1"/>
          <w:bCs w:val="1"/>
          <w:color w:val="auto"/>
        </w:rPr>
        <w:t>Pennsylvania</w:t>
      </w:r>
    </w:p>
    <w:p>
      <w:pPr>
        <w:spacing w:after="0" w:line="27" w:lineRule="exact"/>
        <w:rPr>
          <w:sz w:val="24"/>
          <w:szCs w:val="24"/>
          <w:color w:val="auto"/>
        </w:rPr>
      </w:pPr>
    </w:p>
    <w:p>
      <w:pPr>
        <w:jc w:val="center"/>
        <w:ind w:right="-539"/>
        <w:spacing w:after="0"/>
        <w:rPr>
          <w:sz w:val="20"/>
          <w:szCs w:val="20"/>
          <w:color w:val="auto"/>
        </w:rPr>
      </w:pPr>
      <w:r>
        <w:rPr>
          <w:rFonts w:ascii="Arial" w:cs="Arial" w:eastAsia="Arial" w:hAnsi="Arial"/>
          <w:sz w:val="18"/>
          <w:szCs w:val="18"/>
          <w:color w:val="auto"/>
        </w:rPr>
        <w:t>(State or Other Jurisdiction of Incorporation)</w:t>
      </w:r>
    </w:p>
    <w:p>
      <w:pPr>
        <w:spacing w:after="0" w:line="153" w:lineRule="exact"/>
        <w:rPr>
          <w:sz w:val="24"/>
          <w:szCs w:val="24"/>
          <w:color w:val="auto"/>
        </w:rPr>
      </w:pPr>
    </w:p>
    <w:tbl>
      <w:tblPr>
        <w:tblLayout w:type="fixed"/>
        <w:tblInd w:w="440" w:type="dxa"/>
        <w:tblCellMar>
          <w:top w:w="0" w:type="dxa"/>
          <w:left w:w="0" w:type="dxa"/>
          <w:bottom w:w="0" w:type="dxa"/>
          <w:right w:w="0" w:type="dxa"/>
        </w:tblCellMar>
      </w:tblPr>
      <w:tr>
        <w:trPr>
          <w:trHeight w:val="220"/>
        </w:trPr>
        <w:tc>
          <w:tcPr>
            <w:tcW w:w="7780" w:type="dxa"/>
            <w:vAlign w:val="bottom"/>
          </w:tcPr>
          <w:p>
            <w:pPr>
              <w:jc w:val="center"/>
              <w:ind w:right="4750"/>
              <w:spacing w:after="0"/>
              <w:rPr>
                <w:sz w:val="20"/>
                <w:szCs w:val="20"/>
                <w:color w:val="auto"/>
              </w:rPr>
            </w:pPr>
            <w:r>
              <w:rPr>
                <w:rFonts w:ascii="Arial" w:cs="Arial" w:eastAsia="Arial" w:hAnsi="Arial"/>
                <w:sz w:val="18"/>
                <w:szCs w:val="18"/>
                <w:b w:val="1"/>
                <w:bCs w:val="1"/>
                <w:color w:val="auto"/>
                <w:w w:val="90"/>
              </w:rPr>
              <w:t>001-32871</w:t>
            </w: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91"/>
              </w:rPr>
              <w:t>27-0000798</w:t>
            </w:r>
          </w:p>
        </w:tc>
      </w:tr>
      <w:tr>
        <w:trPr>
          <w:trHeight w:val="230"/>
        </w:trPr>
        <w:tc>
          <w:tcPr>
            <w:tcW w:w="7780" w:type="dxa"/>
            <w:vAlign w:val="bottom"/>
          </w:tcPr>
          <w:p>
            <w:pPr>
              <w:jc w:val="center"/>
              <w:ind w:right="4750"/>
              <w:spacing w:after="0"/>
              <w:rPr>
                <w:sz w:val="20"/>
                <w:szCs w:val="20"/>
                <w:color w:val="auto"/>
              </w:rPr>
            </w:pPr>
            <w:r>
              <w:rPr>
                <w:rFonts w:ascii="Arial" w:cs="Arial" w:eastAsia="Arial" w:hAnsi="Arial"/>
                <w:sz w:val="18"/>
                <w:szCs w:val="18"/>
                <w:color w:val="auto"/>
                <w:w w:val="92"/>
              </w:rPr>
              <w:t>(Commission File Number)</w:t>
            </w:r>
          </w:p>
        </w:tc>
        <w:tc>
          <w:tcPr>
            <w:tcW w:w="2540" w:type="dxa"/>
            <w:vAlign w:val="bottom"/>
          </w:tcPr>
          <w:p>
            <w:pPr>
              <w:jc w:val="center"/>
              <w:spacing w:after="0"/>
              <w:rPr>
                <w:sz w:val="20"/>
                <w:szCs w:val="20"/>
                <w:color w:val="auto"/>
              </w:rPr>
            </w:pPr>
            <w:r>
              <w:rPr>
                <w:rFonts w:ascii="Arial" w:cs="Arial" w:eastAsia="Arial" w:hAnsi="Arial"/>
                <w:sz w:val="18"/>
                <w:szCs w:val="18"/>
                <w:color w:val="auto"/>
                <w:w w:val="94"/>
              </w:rPr>
              <w:t>(IRS Employer Identification No.)</w:t>
            </w:r>
          </w:p>
        </w:tc>
      </w:tr>
      <w:tr>
        <w:trPr>
          <w:trHeight w:val="360"/>
        </w:trPr>
        <w:tc>
          <w:tcPr>
            <w:tcW w:w="7780" w:type="dxa"/>
            <w:vAlign w:val="bottom"/>
          </w:tcPr>
          <w:p>
            <w:pPr>
              <w:jc w:val="center"/>
              <w:ind w:right="4750"/>
              <w:spacing w:after="0"/>
              <w:rPr>
                <w:sz w:val="20"/>
                <w:szCs w:val="20"/>
                <w:color w:val="auto"/>
              </w:rPr>
            </w:pPr>
            <w:r>
              <w:rPr>
                <w:rFonts w:ascii="Arial" w:cs="Arial" w:eastAsia="Arial" w:hAnsi="Arial"/>
                <w:sz w:val="18"/>
                <w:szCs w:val="18"/>
                <w:b w:val="1"/>
                <w:bCs w:val="1"/>
                <w:color w:val="auto"/>
                <w:w w:val="90"/>
              </w:rPr>
              <w:t>One Comcast Center</w:t>
            </w:r>
          </w:p>
        </w:tc>
        <w:tc>
          <w:tcPr>
            <w:tcW w:w="2540" w:type="dxa"/>
            <w:vAlign w:val="bottom"/>
          </w:tcPr>
          <w:p>
            <w:pPr>
              <w:spacing w:after="0"/>
              <w:rPr>
                <w:sz w:val="24"/>
                <w:szCs w:val="24"/>
                <w:color w:val="auto"/>
              </w:rPr>
            </w:pPr>
          </w:p>
        </w:tc>
      </w:tr>
      <w:tr>
        <w:trPr>
          <w:trHeight w:val="220"/>
        </w:trPr>
        <w:tc>
          <w:tcPr>
            <w:tcW w:w="7780" w:type="dxa"/>
            <w:vAlign w:val="bottom"/>
          </w:tcPr>
          <w:p>
            <w:pPr>
              <w:jc w:val="center"/>
              <w:ind w:right="4770"/>
              <w:spacing w:after="0"/>
              <w:rPr>
                <w:sz w:val="20"/>
                <w:szCs w:val="20"/>
                <w:color w:val="auto"/>
              </w:rPr>
            </w:pPr>
            <w:r>
              <w:rPr>
                <w:rFonts w:ascii="Arial" w:cs="Arial" w:eastAsia="Arial" w:hAnsi="Arial"/>
                <w:sz w:val="18"/>
                <w:szCs w:val="18"/>
                <w:b w:val="1"/>
                <w:bCs w:val="1"/>
                <w:color w:val="auto"/>
                <w:w w:val="90"/>
              </w:rPr>
              <w:t>Philadelphia, PA</w:t>
            </w:r>
          </w:p>
        </w:tc>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91"/>
              </w:rPr>
              <w:t>19103-2838</w:t>
            </w:r>
          </w:p>
        </w:tc>
      </w:tr>
      <w:tr>
        <w:trPr>
          <w:trHeight w:val="230"/>
        </w:trPr>
        <w:tc>
          <w:tcPr>
            <w:tcW w:w="7780" w:type="dxa"/>
            <w:vAlign w:val="bottom"/>
          </w:tcPr>
          <w:p>
            <w:pPr>
              <w:jc w:val="center"/>
              <w:ind w:right="4750"/>
              <w:spacing w:after="0"/>
              <w:rPr>
                <w:sz w:val="20"/>
                <w:szCs w:val="20"/>
                <w:color w:val="auto"/>
              </w:rPr>
            </w:pPr>
            <w:r>
              <w:rPr>
                <w:rFonts w:ascii="Arial" w:cs="Arial" w:eastAsia="Arial" w:hAnsi="Arial"/>
                <w:sz w:val="18"/>
                <w:szCs w:val="18"/>
                <w:color w:val="auto"/>
                <w:w w:val="92"/>
              </w:rPr>
              <w:t>(Address of Principal Executive Offices)</w:t>
            </w:r>
          </w:p>
        </w:tc>
        <w:tc>
          <w:tcPr>
            <w:tcW w:w="2540" w:type="dxa"/>
            <w:vAlign w:val="bottom"/>
          </w:tcPr>
          <w:p>
            <w:pPr>
              <w:jc w:val="center"/>
              <w:spacing w:after="0"/>
              <w:rPr>
                <w:sz w:val="20"/>
                <w:szCs w:val="20"/>
                <w:color w:val="auto"/>
              </w:rPr>
            </w:pPr>
            <w:r>
              <w:rPr>
                <w:rFonts w:ascii="Arial" w:cs="Arial" w:eastAsia="Arial" w:hAnsi="Arial"/>
                <w:sz w:val="18"/>
                <w:szCs w:val="18"/>
                <w:color w:val="auto"/>
                <w:w w:val="94"/>
              </w:rPr>
              <w:t>(Zip Code)</w:t>
            </w:r>
          </w:p>
        </w:tc>
      </w:tr>
      <w:tr>
        <w:trPr>
          <w:trHeight w:val="378"/>
        </w:trPr>
        <w:tc>
          <w:tcPr>
            <w:tcW w:w="7780" w:type="dxa"/>
            <w:vAlign w:val="bottom"/>
          </w:tcPr>
          <w:p>
            <w:pPr>
              <w:jc w:val="center"/>
              <w:ind w:left="2670"/>
              <w:spacing w:after="0"/>
              <w:rPr>
                <w:sz w:val="20"/>
                <w:szCs w:val="20"/>
                <w:color w:val="auto"/>
              </w:rPr>
            </w:pPr>
            <w:r>
              <w:rPr>
                <w:rFonts w:ascii="Arial" w:cs="Arial" w:eastAsia="Arial" w:hAnsi="Arial"/>
                <w:sz w:val="18"/>
                <w:szCs w:val="18"/>
                <w:color w:val="auto"/>
                <w:w w:val="90"/>
              </w:rPr>
              <w:t xml:space="preserve">Registrant’s telephone number, including area code: </w:t>
            </w:r>
            <w:r>
              <w:rPr>
                <w:rFonts w:ascii="Arial" w:cs="Arial" w:eastAsia="Arial" w:hAnsi="Arial"/>
                <w:sz w:val="18"/>
                <w:szCs w:val="18"/>
                <w:b w:val="1"/>
                <w:bCs w:val="1"/>
                <w:color w:val="auto"/>
                <w:w w:val="90"/>
              </w:rPr>
              <w:t>(215) 286-1700</w:t>
            </w:r>
          </w:p>
        </w:tc>
        <w:tc>
          <w:tcPr>
            <w:tcW w:w="2540" w:type="dxa"/>
            <w:vAlign w:val="bottom"/>
          </w:tcPr>
          <w:p>
            <w:pPr>
              <w:spacing w:after="0"/>
              <w:rPr>
                <w:sz w:val="24"/>
                <w:szCs w:val="24"/>
                <w:color w:val="auto"/>
              </w:rPr>
            </w:pPr>
          </w:p>
        </w:tc>
      </w:tr>
      <w:tr>
        <w:trPr>
          <w:trHeight w:val="378"/>
        </w:trPr>
        <w:tc>
          <w:tcPr>
            <w:tcW w:w="7780" w:type="dxa"/>
            <w:vAlign w:val="bottom"/>
          </w:tcPr>
          <w:p>
            <w:pPr>
              <w:jc w:val="center"/>
              <w:ind w:left="2670"/>
              <w:spacing w:after="0"/>
              <w:rPr>
                <w:sz w:val="20"/>
                <w:szCs w:val="20"/>
                <w:color w:val="auto"/>
              </w:rPr>
            </w:pPr>
            <w:r>
              <w:rPr>
                <w:rFonts w:ascii="Arial" w:cs="Arial" w:eastAsia="Arial" w:hAnsi="Arial"/>
                <w:sz w:val="18"/>
                <w:szCs w:val="18"/>
                <w:color w:val="auto"/>
                <w:w w:val="90"/>
              </w:rPr>
              <w:t>(Former Name or Former Address, if Changed Since Last Report)</w:t>
            </w:r>
          </w:p>
        </w:tc>
        <w:tc>
          <w:tcPr>
            <w:tcW w:w="2540" w:type="dxa"/>
            <w:vAlign w:val="bottom"/>
          </w:tcPr>
          <w:p>
            <w:pPr>
              <w:spacing w:after="0"/>
              <w:rPr>
                <w:sz w:val="24"/>
                <w:szCs w:val="24"/>
                <w:color w:val="auto"/>
              </w:rPr>
            </w:pPr>
          </w:p>
        </w:tc>
      </w:tr>
    </w:tbl>
    <w:p>
      <w:pPr>
        <w:spacing w:after="0" w:line="229" w:lineRule="exact"/>
        <w:rPr>
          <w:sz w:val="24"/>
          <w:szCs w:val="24"/>
          <w:color w:val="auto"/>
        </w:rPr>
      </w:pPr>
    </w:p>
    <w:p>
      <w:pPr>
        <w:ind w:firstLine="324"/>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660" w:hanging="572"/>
        <w:spacing w:after="0"/>
        <w:tabs>
          <w:tab w:leader="none" w:pos="66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Written communications pursuant to Rule 425 under the Securities Act (17 CFR 230.425)</w:t>
      </w:r>
    </w:p>
    <w:p>
      <w:pPr>
        <w:spacing w:after="0" w:line="153" w:lineRule="exact"/>
        <w:rPr>
          <w:rFonts w:ascii="Arial" w:cs="Arial" w:eastAsia="Arial" w:hAnsi="Arial"/>
          <w:sz w:val="29"/>
          <w:szCs w:val="29"/>
          <w:color w:val="auto"/>
          <w:vertAlign w:val="superscript"/>
        </w:rPr>
      </w:pPr>
    </w:p>
    <w:p>
      <w:pPr>
        <w:ind w:left="660" w:hanging="572"/>
        <w:spacing w:after="0" w:line="220" w:lineRule="auto"/>
        <w:tabs>
          <w:tab w:leader="none" w:pos="66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Soliciting material pursuant to Rule 14a-12 under the Exchange Act (17 CFR 240.14a-12)</w:t>
      </w:r>
    </w:p>
    <w:p>
      <w:pPr>
        <w:spacing w:after="0" w:line="153" w:lineRule="exact"/>
        <w:rPr>
          <w:rFonts w:ascii="Arial" w:cs="Arial" w:eastAsia="Arial" w:hAnsi="Arial"/>
          <w:sz w:val="29"/>
          <w:szCs w:val="29"/>
          <w:color w:val="auto"/>
          <w:vertAlign w:val="superscript"/>
        </w:rPr>
      </w:pPr>
    </w:p>
    <w:p>
      <w:pPr>
        <w:ind w:left="660" w:hanging="572"/>
        <w:spacing w:after="0" w:line="220" w:lineRule="auto"/>
        <w:tabs>
          <w:tab w:leader="none" w:pos="66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Pre-commencement communications pursuant to Rule 14d-2(b) under the Exchange Act (17 CFR 240.14d-2(b))</w:t>
      </w:r>
    </w:p>
    <w:p>
      <w:pPr>
        <w:spacing w:after="0" w:line="153" w:lineRule="exact"/>
        <w:rPr>
          <w:rFonts w:ascii="Arial" w:cs="Arial" w:eastAsia="Arial" w:hAnsi="Arial"/>
          <w:sz w:val="29"/>
          <w:szCs w:val="29"/>
          <w:color w:val="auto"/>
          <w:vertAlign w:val="superscript"/>
        </w:rPr>
      </w:pPr>
    </w:p>
    <w:p>
      <w:pPr>
        <w:ind w:left="660" w:hanging="572"/>
        <w:spacing w:after="0" w:line="220" w:lineRule="auto"/>
        <w:tabs>
          <w:tab w:leader="none" w:pos="660" w:val="left"/>
        </w:tabs>
        <w:numPr>
          <w:ilvl w:val="0"/>
          <w:numId w:val="1"/>
        </w:numPr>
        <w:rPr>
          <w:rFonts w:ascii="Arial" w:cs="Arial" w:eastAsia="Arial" w:hAnsi="Arial"/>
          <w:sz w:val="29"/>
          <w:szCs w:val="29"/>
          <w:color w:val="auto"/>
          <w:vertAlign w:val="superscript"/>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563880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240" w:top="544" w:right="779" w:bottom="1440" w:gutter="0" w:footer="0" w:header="0"/>
        </w:sectPr>
      </w:pPr>
    </w:p>
    <w:bookmarkStart w:id="1" w:name="page2"/>
    <w:bookmarkEnd w:id="1"/>
    <w:p>
      <w:pPr>
        <w:ind w:right="380"/>
        <w:spacing w:after="0" w:line="282" w:lineRule="auto"/>
        <w:rPr>
          <w:sz w:val="20"/>
          <w:szCs w:val="20"/>
          <w:color w:val="auto"/>
        </w:rPr>
      </w:pPr>
      <w:r>
        <w:rPr>
          <w:rFonts w:ascii="Arial" w:cs="Arial" w:eastAsia="Arial" w:hAnsi="Arial"/>
          <w:sz w:val="18"/>
          <w:szCs w:val="18"/>
          <w:b w:val="1"/>
          <w:bCs w:val="1"/>
          <w:color w:val="auto"/>
        </w:rPr>
        <w:t>Item 5.02. Departure of Directors or Certain Officers; Election of Directors; Appointment of Certain Officers; Compensatory Arrangements of Certain Officers.</w:t>
      </w:r>
    </w:p>
    <w:p>
      <w:pPr>
        <w:spacing w:after="0" w:line="193"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On February 13, 2014, Edward D. Breen was appointed to Comcast Corporation’s Board of Directors and to the Audit and Compensation Committees of the Board. The Board has determined that Mr. Breen is independent in accordance with applicable NASDAQ Global Select Market rules and Comcast’s corporate governance guidelines. Mr. Breen previously served as a director of Comcast for over six years until November 2011, when he resigned due to time constraints stemming from his responsibilities as Tyco International Ltd.’s Chairman and Chief Executive Officer. Mr. Breen stepped down from his role as Tyco International’s CEO in September 2012 and continues as Chairman of Tyco International’s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545465</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513" w:right="25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right="82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40" w:type="dxa"/>
            <w:vAlign w:val="bottom"/>
          </w:tcPr>
          <w:p>
            <w:pPr>
              <w:spacing w:after="0"/>
              <w:rPr>
                <w:sz w:val="20"/>
                <w:szCs w:val="20"/>
                <w:color w:val="auto"/>
              </w:rPr>
            </w:pPr>
          </w:p>
        </w:tc>
        <w:tc>
          <w:tcPr>
            <w:tcW w:w="7080" w:type="dxa"/>
            <w:vAlign w:val="bottom"/>
            <w:gridSpan w:val="2"/>
          </w:tcPr>
          <w:p>
            <w:pPr>
              <w:ind w:left="2300"/>
              <w:spacing w:after="0"/>
              <w:rPr>
                <w:sz w:val="20"/>
                <w:szCs w:val="20"/>
                <w:color w:val="auto"/>
              </w:rPr>
            </w:pPr>
            <w:r>
              <w:rPr>
                <w:rFonts w:ascii="Arial" w:cs="Arial" w:eastAsia="Arial" w:hAnsi="Arial"/>
                <w:sz w:val="18"/>
                <w:szCs w:val="18"/>
                <w:b w:val="1"/>
                <w:bCs w:val="1"/>
                <w:color w:val="auto"/>
              </w:rPr>
              <w:t>COMCAST CORPORATION</w:t>
            </w:r>
          </w:p>
        </w:tc>
      </w:tr>
      <w:tr>
        <w:trPr>
          <w:trHeight w:val="648"/>
        </w:trPr>
        <w:tc>
          <w:tcPr>
            <w:tcW w:w="4340" w:type="dxa"/>
            <w:vAlign w:val="bottom"/>
          </w:tcPr>
          <w:p>
            <w:pPr>
              <w:spacing w:after="0"/>
              <w:rPr>
                <w:sz w:val="20"/>
                <w:szCs w:val="20"/>
                <w:color w:val="auto"/>
              </w:rPr>
            </w:pPr>
            <w:r>
              <w:rPr>
                <w:rFonts w:ascii="Arial" w:cs="Arial" w:eastAsia="Arial" w:hAnsi="Arial"/>
                <w:sz w:val="18"/>
                <w:szCs w:val="18"/>
                <w:color w:val="auto"/>
              </w:rPr>
              <w:t>Date:    February 14, 2014</w:t>
            </w:r>
          </w:p>
        </w:tc>
        <w:tc>
          <w:tcPr>
            <w:tcW w:w="7080" w:type="dxa"/>
            <w:vAlign w:val="bottom"/>
            <w:gridSpan w:val="2"/>
          </w:tcPr>
          <w:p>
            <w:pPr>
              <w:ind w:left="2300"/>
              <w:spacing w:after="0"/>
              <w:rPr>
                <w:sz w:val="20"/>
                <w:szCs w:val="20"/>
                <w:color w:val="auto"/>
              </w:rPr>
            </w:pPr>
            <w:r>
              <w:rPr>
                <w:rFonts w:ascii="Arial" w:cs="Arial" w:eastAsia="Arial" w:hAnsi="Arial"/>
                <w:sz w:val="18"/>
                <w:szCs w:val="18"/>
                <w:color w:val="auto"/>
              </w:rPr>
              <w:t>By:    /s/ Arthur R. Block</w:t>
            </w:r>
          </w:p>
        </w:tc>
      </w:tr>
      <w:tr>
        <w:trPr>
          <w:trHeight w:val="195"/>
        </w:trPr>
        <w:tc>
          <w:tcPr>
            <w:tcW w:w="434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422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Arthur R. Block</w:t>
            </w:r>
          </w:p>
        </w:tc>
      </w:tr>
      <w:tr>
        <w:trPr>
          <w:trHeight w:val="230"/>
        </w:trPr>
        <w:tc>
          <w:tcPr>
            <w:tcW w:w="434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6"/>
              </w:rPr>
              <w:t>Senior Vice President, General Counsel and Secretary</w:t>
            </w:r>
          </w:p>
        </w:tc>
      </w:tr>
    </w:tbl>
    <w:p>
      <w:pPr>
        <w:spacing w:after="0" w:line="1" w:lineRule="exact"/>
        <w:rPr>
          <w:sz w:val="20"/>
          <w:szCs w:val="20"/>
          <w:color w:val="auto"/>
        </w:rPr>
      </w:pPr>
    </w:p>
    <w:sectPr>
      <w:pgSz w:w="11900" w:h="16838" w:orient="portrait"/>
      <w:cols w:equalWidth="0" w:num="1">
        <w:col w:w="11420"/>
      </w:cols>
      <w:pgMar w:left="240" w:top="51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2019-12-07T03:28:02Z</dcterms:created>
  <dcterms:modified xsi:type="dcterms:W3CDTF">2019-12-07T03:28:02Z</dcterms:modified>
</cp:coreProperties>
</file>