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236220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FORM 10-Q</w:t>
      </w:r>
    </w:p>
    <w:p>
      <w:pPr>
        <w:spacing w:after="0" w:line="238"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380" w:right="180" w:hanging="778"/>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 for the Quarterly Period Ended:</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MARCH 31, 2005</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380" w:right="120" w:hanging="737"/>
        <w:spacing w:after="0" w:line="242"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 for the Transition Period</w:t>
      </w:r>
    </w:p>
    <w:p>
      <w:pPr>
        <w:ind w:left="1380"/>
        <w:spacing w:after="0"/>
        <w:rPr>
          <w:rFonts w:ascii="Arial" w:cs="Arial" w:eastAsia="Arial" w:hAnsi="Arial"/>
          <w:sz w:val="22"/>
          <w:szCs w:val="22"/>
          <w:color w:val="auto"/>
        </w:rPr>
      </w:pPr>
      <w:r>
        <w:rPr>
          <w:rFonts w:ascii="Arial" w:cs="Arial" w:eastAsia="Arial" w:hAnsi="Arial"/>
          <w:sz w:val="22"/>
          <w:szCs w:val="22"/>
          <w:b w:val="1"/>
          <w:bCs w:val="1"/>
          <w:color w:val="auto"/>
        </w:rPr>
        <w:t>fromto</w:t>
      </w:r>
      <w:r>
        <w:rPr>
          <w:rFonts w:ascii="Arial" w:cs="Arial" w:eastAsia="Arial" w:hAnsi="Arial"/>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1201420</wp:posOffset>
            </wp:positionH>
            <wp:positionV relativeFrom="paragraph">
              <wp:posOffset>-29210</wp:posOffset>
            </wp:positionV>
            <wp:extent cx="1006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6475" cy="8890"/>
                    </a:xfrm>
                    <a:prstGeom prst="rect">
                      <a:avLst/>
                    </a:prstGeom>
                    <a:noFill/>
                  </pic:spPr>
                </pic:pic>
              </a:graphicData>
            </a:graphic>
          </wp:anchor>
        </w:drawing>
      </w:r>
    </w:p>
    <w:p>
      <w:pPr>
        <w:spacing w:after="0" w:line="17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000-50093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306705</wp:posOffset>
            </wp:positionV>
            <wp:extent cx="2418080" cy="62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1808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685" w:right="319" w:bottom="1440" w:gutter="0" w:footer="0" w:header="0"/>
        </w:sectPr>
      </w:pPr>
    </w:p>
    <w:p>
      <w:pPr>
        <w:spacing w:after="0" w:line="205" w:lineRule="exact"/>
        <w:rPr>
          <w:sz w:val="24"/>
          <w:szCs w:val="24"/>
          <w:color w:val="auto"/>
        </w:rPr>
      </w:pPr>
    </w:p>
    <w:p>
      <w:pPr>
        <w:ind w:left="2120"/>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27-0000798</w:t>
      </w:r>
    </w:p>
    <w:p>
      <w:pPr>
        <w:spacing w:after="0" w:line="21" w:lineRule="exact"/>
        <w:rPr>
          <w:sz w:val="24"/>
          <w:szCs w:val="24"/>
          <w:color w:val="auto"/>
        </w:rPr>
      </w:pPr>
    </w:p>
    <w:p>
      <w:pPr>
        <w:jc w:val="center"/>
        <w:ind w:right="200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jc w:val="center"/>
        <w:ind w:right="20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2">
            <w:col w:w="7300" w:space="720"/>
            <w:col w:w="3320"/>
          </w:cols>
          <w:pgMar w:left="240" w:top="685" w:right="319" w:bottom="1440" w:gutter="0" w:footer="0" w:header="0"/>
          <w:type w:val="continuous"/>
        </w:sectPr>
      </w:pP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1500 Market Street, Philadelphia, PA 19102-2148</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(Zip Code)</w:t>
      </w:r>
    </w:p>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168275</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ectPr>
          <w:pgSz w:w="11900" w:h="16838" w:orient="portrait"/>
          <w:cols w:equalWidth="0" w:num="1">
            <w:col w:w="11340"/>
          </w:cols>
          <w:pgMar w:left="240" w:top="685" w:right="319" w:bottom="1440" w:gutter="0" w:footer="0" w:header="0"/>
          <w:type w:val="continuous"/>
        </w:sectPr>
      </w:pPr>
    </w:p>
    <w:p>
      <w:pPr>
        <w:spacing w:after="0" w:line="200" w:lineRule="exact"/>
        <w:rPr>
          <w:sz w:val="24"/>
          <w:szCs w:val="24"/>
          <w:color w:val="auto"/>
        </w:rPr>
      </w:pPr>
    </w:p>
    <w:p>
      <w:pPr>
        <w:spacing w:after="0" w:line="303" w:lineRule="exact"/>
        <w:rPr>
          <w:sz w:val="24"/>
          <w:szCs w:val="24"/>
          <w:color w:val="auto"/>
        </w:rPr>
      </w:pPr>
    </w:p>
    <w:p>
      <w:pPr>
        <w:ind w:firstLine="351"/>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62"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167005</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360"/>
        <w:spacing w:after="0" w:line="207" w:lineRule="exact"/>
        <w:tabs>
          <w:tab w:leader="none" w:pos="8660" w:val="left"/>
          <w:tab w:leader="none" w:pos="9300" w:val="left"/>
        </w:tabs>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o</w:t>
      </w:r>
    </w:p>
    <w:p>
      <w:pPr>
        <w:spacing w:after="0" w:line="258" w:lineRule="exact"/>
        <w:rPr>
          <w:sz w:val="24"/>
          <w:szCs w:val="24"/>
          <w:color w:val="auto"/>
        </w:rPr>
      </w:pPr>
    </w:p>
    <w:p>
      <w:pPr>
        <w:ind w:right="380" w:firstLine="341"/>
        <w:spacing w:after="0" w:line="268" w:lineRule="auto"/>
        <w:rPr>
          <w:sz w:val="20"/>
          <w:szCs w:val="20"/>
          <w:color w:val="auto"/>
        </w:rPr>
      </w:pPr>
      <w:r>
        <w:rPr>
          <w:rFonts w:ascii="Arial" w:cs="Arial" w:eastAsia="Arial" w:hAnsi="Arial"/>
          <w:sz w:val="18"/>
          <w:szCs w:val="18"/>
          <w:color w:val="auto"/>
        </w:rPr>
        <w:t>As of March 31, 2005, there were 1,361,166,466 shares of our Class A Common Stock, 834,858,073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85"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3"/>
              </w:rPr>
              <w:t>Page Number</w:t>
            </w:r>
          </w:p>
        </w:tc>
        <w:tc>
          <w:tcPr>
            <w:tcW w:w="0" w:type="dxa"/>
            <w:vAlign w:val="bottom"/>
          </w:tcPr>
          <w:p>
            <w:pPr>
              <w:spacing w:after="0"/>
              <w:rPr>
                <w:sz w:val="1"/>
                <w:szCs w:val="1"/>
                <w:color w:val="auto"/>
              </w:rPr>
            </w:pPr>
          </w:p>
        </w:tc>
      </w:tr>
      <w:tr>
        <w:trPr>
          <w:trHeight w:val="105"/>
        </w:trPr>
        <w:tc>
          <w:tcPr>
            <w:tcW w:w="700" w:type="dxa"/>
            <w:vAlign w:val="bottom"/>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2260" w:type="dxa"/>
            <w:vAlign w:val="bottom"/>
            <w:gridSpan w:val="6"/>
            <w:vMerge w:val="restart"/>
          </w:tcPr>
          <w:p>
            <w:pPr>
              <w:ind w:left="60"/>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FINANCIAL INFORMATION</w:t>
              </w:r>
            </w:hyperlink>
          </w:p>
        </w:tc>
        <w:tc>
          <w:tcPr>
            <w:tcW w:w="7540" w:type="dxa"/>
            <w:vAlign w:val="bottom"/>
            <w:gridSpan w:val="3"/>
            <w:vMerge w:val="restart"/>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85"/>
        </w:trPr>
        <w:tc>
          <w:tcPr>
            <w:tcW w:w="700" w:type="dxa"/>
            <w:vAlign w:val="bottom"/>
            <w:tcBorders>
              <w:bottom w:val="single" w:sz="8" w:color="0000EE"/>
            </w:tcBorders>
            <w:vMerge w:val="continue"/>
          </w:tcPr>
          <w:p>
            <w:pPr>
              <w:spacing w:after="0"/>
              <w:rPr>
                <w:sz w:val="24"/>
                <w:szCs w:val="24"/>
                <w:color w:val="auto"/>
              </w:rPr>
            </w:pPr>
          </w:p>
        </w:tc>
        <w:tc>
          <w:tcPr>
            <w:tcW w:w="2260" w:type="dxa"/>
            <w:vAlign w:val="bottom"/>
            <w:tcBorders>
              <w:bottom w:val="single" w:sz="8" w:color="0000EE"/>
            </w:tcBorders>
            <w:gridSpan w:val="6"/>
            <w:vMerge w:val="continue"/>
          </w:tcPr>
          <w:p>
            <w:pPr>
              <w:spacing w:after="0"/>
              <w:rPr>
                <w:sz w:val="24"/>
                <w:szCs w:val="24"/>
                <w:color w:val="auto"/>
              </w:rPr>
            </w:pPr>
          </w:p>
        </w:tc>
        <w:tc>
          <w:tcPr>
            <w:tcW w:w="754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gridSpan w:val="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740" w:type="dxa"/>
            <w:vAlign w:val="bottom"/>
            <w:gridSpan w:val="4"/>
          </w:tcPr>
          <w:p>
            <w:pPr>
              <w:ind w:left="120"/>
              <w:spacing w:after="0" w:line="196" w:lineRule="exact"/>
              <w:rPr>
                <w:sz w:val="20"/>
                <w:szCs w:val="20"/>
                <w:color w:val="auto"/>
              </w:rPr>
            </w:pPr>
            <w:r>
              <w:rPr>
                <w:rFonts w:ascii="Arial" w:cs="Arial" w:eastAsia="Arial" w:hAnsi="Arial"/>
                <w:sz w:val="18"/>
                <w:szCs w:val="18"/>
                <w:color w:val="auto"/>
              </w:rPr>
              <w:t>Financial Statements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740" w:type="dxa"/>
            <w:vAlign w:val="bottom"/>
            <w:gridSpan w:val="4"/>
          </w:tcPr>
          <w:p>
            <w:pPr>
              <w:ind w:left="120"/>
              <w:spacing w:after="0"/>
              <w:rPr>
                <w:sz w:val="20"/>
                <w:szCs w:val="20"/>
                <w:color w:val="auto"/>
              </w:rPr>
            </w:pPr>
            <w:r>
              <w:rPr>
                <w:rFonts w:ascii="Arial" w:cs="Arial" w:eastAsia="Arial" w:hAnsi="Arial"/>
                <w:sz w:val="18"/>
                <w:szCs w:val="18"/>
                <w:color w:val="auto"/>
                <w:w w:val="95"/>
              </w:rPr>
              <w:t>Condensed Consolidated Balance Sheet as of March 31, 2005 and December 31, 2004 (Unaudited)</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4"/>
          </w:tcPr>
          <w:p>
            <w:pPr>
              <w:ind w:left="120"/>
              <w:spacing w:after="0"/>
              <w:rPr>
                <w:sz w:val="20"/>
                <w:szCs w:val="20"/>
                <w:color w:val="auto"/>
              </w:rPr>
            </w:pPr>
            <w:r>
              <w:rPr>
                <w:rFonts w:ascii="Arial" w:cs="Arial" w:eastAsia="Arial" w:hAnsi="Arial"/>
                <w:sz w:val="18"/>
                <w:szCs w:val="18"/>
                <w:color w:val="auto"/>
                <w:w w:val="95"/>
              </w:rPr>
              <w:t>Condensed Consolidated Statement of Operations for the Three Months Ended March 31, 2005 and</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4"/>
          </w:tcPr>
          <w:p>
            <w:pPr>
              <w:ind w:left="120"/>
              <w:spacing w:after="0"/>
              <w:rPr>
                <w:sz w:val="20"/>
                <w:szCs w:val="20"/>
                <w:color w:val="auto"/>
              </w:rPr>
            </w:pPr>
            <w:r>
              <w:rPr>
                <w:rFonts w:ascii="Arial" w:cs="Arial" w:eastAsia="Arial" w:hAnsi="Arial"/>
                <w:sz w:val="18"/>
                <w:szCs w:val="18"/>
                <w:color w:val="auto"/>
              </w:rPr>
              <w:t>2004 (Unaudited)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4"/>
          </w:tcPr>
          <w:p>
            <w:pPr>
              <w:ind w:left="120"/>
              <w:spacing w:after="0"/>
              <w:rPr>
                <w:sz w:val="20"/>
                <w:szCs w:val="20"/>
                <w:color w:val="auto"/>
              </w:rPr>
            </w:pPr>
            <w:r>
              <w:rPr>
                <w:rFonts w:ascii="Arial" w:cs="Arial" w:eastAsia="Arial" w:hAnsi="Arial"/>
                <w:sz w:val="18"/>
                <w:szCs w:val="18"/>
                <w:color w:val="auto"/>
                <w:w w:val="94"/>
              </w:rPr>
              <w:t>Condensed Consolidated Statement of Cash Flows for the Three Months Ended March 31, 2005 and</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4"/>
          </w:tcPr>
          <w:p>
            <w:pPr>
              <w:ind w:left="120"/>
              <w:spacing w:after="0"/>
              <w:rPr>
                <w:sz w:val="20"/>
                <w:szCs w:val="20"/>
                <w:color w:val="auto"/>
              </w:rPr>
            </w:pPr>
            <w:r>
              <w:rPr>
                <w:rFonts w:ascii="Arial" w:cs="Arial" w:eastAsia="Arial" w:hAnsi="Arial"/>
                <w:sz w:val="18"/>
                <w:szCs w:val="18"/>
                <w:color w:val="auto"/>
              </w:rPr>
              <w:t>2004 (Unaudited)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4"/>
          </w:tcPr>
          <w:p>
            <w:pPr>
              <w:ind w:left="120"/>
              <w:spacing w:after="0"/>
              <w:rPr>
                <w:sz w:val="20"/>
                <w:szCs w:val="20"/>
                <w:color w:val="auto"/>
              </w:rPr>
            </w:pPr>
            <w:r>
              <w:rPr>
                <w:rFonts w:ascii="Arial" w:cs="Arial" w:eastAsia="Arial" w:hAnsi="Arial"/>
                <w:sz w:val="18"/>
                <w:szCs w:val="18"/>
                <w:color w:val="auto"/>
              </w:rPr>
              <w:t>Notes to Condensed Consolidated Financial Statements (Unaudited)</w:t>
            </w: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4"/>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80" w:type="dxa"/>
            <w:vAlign w:val="bottom"/>
            <w:gridSpan w:val="4"/>
          </w:tcPr>
          <w:p>
            <w:pPr>
              <w:spacing w:after="0" w:line="184" w:lineRule="exact"/>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7740" w:type="dxa"/>
            <w:vAlign w:val="bottom"/>
            <w:gridSpan w:val="4"/>
          </w:tcPr>
          <w:p>
            <w:pPr>
              <w:ind w:left="120"/>
              <w:spacing w:after="0" w:line="184"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20" w:type="dxa"/>
            <w:vAlign w:val="bottom"/>
          </w:tcPr>
          <w:p>
            <w:pPr>
              <w:jc w:val="right"/>
              <w:spacing w:after="0" w:line="184"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7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7740" w:type="dxa"/>
            <w:vAlign w:val="bottom"/>
            <w:gridSpan w:val="4"/>
          </w:tcPr>
          <w:p>
            <w:pPr>
              <w:ind w:left="120"/>
              <w:spacing w:after="0" w:line="196" w:lineRule="exact"/>
              <w:rPr>
                <w:sz w:val="20"/>
                <w:szCs w:val="20"/>
                <w:color w:val="auto"/>
              </w:rPr>
            </w:pPr>
            <w:r>
              <w:rPr>
                <w:rFonts w:ascii="Arial" w:cs="Arial" w:eastAsia="Arial" w:hAnsi="Arial"/>
                <w:sz w:val="18"/>
                <w:szCs w:val="18"/>
                <w:color w:val="auto"/>
              </w:rPr>
              <w:t>Quantitative and Qualitative Disclosures About Market Risk</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7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7740" w:type="dxa"/>
            <w:vAlign w:val="bottom"/>
            <w:gridSpan w:val="4"/>
          </w:tcPr>
          <w:p>
            <w:pPr>
              <w:ind w:left="120"/>
              <w:spacing w:after="0" w:line="196" w:lineRule="exact"/>
              <w:rPr>
                <w:sz w:val="20"/>
                <w:szCs w:val="20"/>
                <w:color w:val="auto"/>
              </w:rPr>
            </w:pPr>
            <w:r>
              <w:rPr>
                <w:rFonts w:ascii="Arial" w:cs="Arial" w:eastAsia="Arial" w:hAnsi="Arial"/>
                <w:sz w:val="18"/>
                <w:szCs w:val="18"/>
                <w:color w:val="auto"/>
              </w:rPr>
              <w:t>Controls and Procedures</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PART II.</w:t>
              </w:r>
            </w:hyperlink>
          </w:p>
        </w:tc>
        <w:tc>
          <w:tcPr>
            <w:tcW w:w="2060" w:type="dxa"/>
            <w:vAlign w:val="bottom"/>
            <w:gridSpan w:val="5"/>
          </w:tcPr>
          <w:p>
            <w:pPr>
              <w:ind w:left="120"/>
              <w:spacing w:after="0" w:line="196" w:lineRule="exact"/>
              <w:rPr>
                <w:rFonts w:ascii="Arial" w:cs="Arial" w:eastAsia="Arial" w:hAnsi="Arial"/>
                <w:sz w:val="18"/>
                <w:szCs w:val="18"/>
                <w:color w:val="0000EE"/>
                <w:w w:val="98"/>
              </w:rPr>
            </w:pPr>
            <w:hyperlink w:anchor="page35">
              <w:r>
                <w:rPr>
                  <w:rFonts w:ascii="Arial" w:cs="Arial" w:eastAsia="Arial" w:hAnsi="Arial"/>
                  <w:sz w:val="18"/>
                  <w:szCs w:val="18"/>
                  <w:color w:val="0000EE"/>
                  <w:w w:val="98"/>
                </w:rPr>
                <w:t>OTHER INFORMATION</w:t>
              </w:r>
            </w:hyperlink>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1.</w:t>
              </w:r>
            </w:hyperlink>
          </w:p>
        </w:tc>
        <w:tc>
          <w:tcPr>
            <w:tcW w:w="120" w:type="dxa"/>
            <w:vAlign w:val="bottom"/>
          </w:tcPr>
          <w:p>
            <w:pPr>
              <w:spacing w:after="0"/>
              <w:rPr>
                <w:sz w:val="17"/>
                <w:szCs w:val="17"/>
                <w:color w:val="auto"/>
              </w:rPr>
            </w:pPr>
          </w:p>
        </w:tc>
        <w:tc>
          <w:tcPr>
            <w:tcW w:w="7740" w:type="dxa"/>
            <w:vAlign w:val="bottom"/>
            <w:gridSpan w:val="4"/>
          </w:tcPr>
          <w:p>
            <w:pPr>
              <w:ind w:left="120"/>
              <w:spacing w:after="0" w:line="196" w:lineRule="exact"/>
              <w:rPr>
                <w:sz w:val="20"/>
                <w:szCs w:val="20"/>
                <w:color w:val="auto"/>
              </w:rPr>
            </w:pPr>
            <w:r>
              <w:rPr>
                <w:rFonts w:ascii="Arial" w:cs="Arial" w:eastAsia="Arial" w:hAnsi="Arial"/>
                <w:sz w:val="18"/>
                <w:szCs w:val="18"/>
                <w:color w:val="auto"/>
              </w:rPr>
              <w:t>Legal Proceedings</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7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7740" w:type="dxa"/>
            <w:vAlign w:val="bottom"/>
            <w:gridSpan w:val="4"/>
          </w:tcPr>
          <w:p>
            <w:pPr>
              <w:ind w:left="120"/>
              <w:spacing w:after="0" w:line="196" w:lineRule="exact"/>
              <w:rPr>
                <w:sz w:val="20"/>
                <w:szCs w:val="20"/>
                <w:color w:val="auto"/>
              </w:rPr>
            </w:pPr>
            <w:r>
              <w:rPr>
                <w:rFonts w:ascii="Arial" w:cs="Arial" w:eastAsia="Arial" w:hAnsi="Arial"/>
                <w:sz w:val="18"/>
                <w:szCs w:val="18"/>
                <w:color w:val="auto"/>
              </w:rPr>
              <w:t>Unregistered Sales of Equity Securities and Use of Proceeds</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7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gridSpan w:val="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6.</w:t>
              </w:r>
            </w:hyperlink>
          </w:p>
        </w:tc>
        <w:tc>
          <w:tcPr>
            <w:tcW w:w="7740" w:type="dxa"/>
            <w:vAlign w:val="bottom"/>
            <w:gridSpan w:val="4"/>
          </w:tcPr>
          <w:p>
            <w:pPr>
              <w:ind w:left="120"/>
              <w:spacing w:after="0" w:line="196" w:lineRule="exact"/>
              <w:rPr>
                <w:sz w:val="20"/>
                <w:szCs w:val="20"/>
                <w:color w:val="auto"/>
              </w:rPr>
            </w:pPr>
            <w:r>
              <w:rPr>
                <w:rFonts w:ascii="Arial" w:cs="Arial" w:eastAsia="Arial" w:hAnsi="Arial"/>
                <w:sz w:val="18"/>
                <w:szCs w:val="18"/>
                <w:color w:val="auto"/>
              </w:rPr>
              <w:t>Exhibits</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gridSpan w:val="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39"/>
        </w:trPr>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480" w:type="dxa"/>
            <w:vAlign w:val="bottom"/>
            <w:tcBorders>
              <w:top w:val="single" w:sz="8" w:color="0000EE"/>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40" w:type="dxa"/>
            <w:vAlign w:val="bottom"/>
            <w:tcBorders>
              <w:bottom w:val="single" w:sz="8" w:color="808080"/>
            </w:tcBorders>
          </w:tcPr>
          <w:p>
            <w:pPr>
              <w:spacing w:after="0"/>
              <w:rPr>
                <w:sz w:val="12"/>
                <w:szCs w:val="12"/>
                <w:color w:val="auto"/>
              </w:rPr>
            </w:pPr>
          </w:p>
        </w:tc>
        <w:tc>
          <w:tcPr>
            <w:tcW w:w="3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-2364105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-2364105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This Quarterly Report on Form 10-Q is for the three months ended March 31, 2005.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198" w:lineRule="exact"/>
        <w:rPr>
          <w:sz w:val="20"/>
          <w:szCs w:val="20"/>
          <w:color w:val="auto"/>
        </w:rPr>
      </w:pPr>
    </w:p>
    <w:p>
      <w:pPr>
        <w:ind w:right="120" w:firstLine="345"/>
        <w:spacing w:after="0" w:line="291" w:lineRule="auto"/>
        <w:rPr>
          <w:sz w:val="20"/>
          <w:szCs w:val="20"/>
          <w:color w:val="auto"/>
        </w:rPr>
      </w:pPr>
      <w:r>
        <w:rPr>
          <w:rFonts w:ascii="Arial" w:cs="Arial" w:eastAsia="Arial" w:hAnsi="Arial"/>
          <w:sz w:val="16"/>
          <w:szCs w:val="16"/>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"plans," "anticipates," "believes," "estimates," "predicts," "potential," or "continue," or the negative of those words, and other comparable words. You should be aware that those statements are only our predictions. In evaluating those statements, you should specifically consider various factors, including the risks outlined below. Actual events or our actual results may differ materially from any of our forward-looking statements.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of the services offered by our cable systems face a wide range of competition that could adversely affect our future results of operations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Programming costs are increasing, which could adversely affect our future results of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costs and restrictions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 including litigation associated with our acquisition of AT&amp;T's Broadband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Chairman and CEO has considerable influence over our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a more detailed explanation of the factors affecting our businesses, please refer to the Risk Factors section in Item 1 of our 2004 Form 10-K.</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2"/>
              </w:rPr>
              <w:t>(Dollars in millions, except share data)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43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55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less allowance for doubtful accounts of $131 and</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90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90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12,945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of</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$10,196 and $9,416</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FRANCHISE RIGHTS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51,088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 of</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$3,758 and $3,452</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3,824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 net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104,238</w:t>
            </w:r>
          </w:p>
        </w:tc>
        <w:tc>
          <w:tcPr>
            <w:tcW w:w="180" w:type="dxa"/>
            <w:vAlign w:val="bottom"/>
          </w:tcPr>
          <w:p>
            <w:pPr>
              <w:spacing w:after="0"/>
              <w:rPr>
                <w:sz w:val="24"/>
                <w:szCs w:val="24"/>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104,694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90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90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90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19,317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7,237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Preferred stock—authorized 20,000,000 shares; issued, zero</w:t>
            </w:r>
          </w:p>
        </w:tc>
        <w:tc>
          <w:tcPr>
            <w:tcW w:w="2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common stock, $0.01 par value—authorized,</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7,500,000,000 shares; issued, 1,604,806,966 and 1,603,320,864;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1,361,166,466 and 1,359,680,364</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Class A Special common stock, $0.01 par value—authorized,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60"/>
              <w:spacing w:after="0"/>
              <w:rPr>
                <w:sz w:val="20"/>
                <w:szCs w:val="20"/>
                <w:color w:val="auto"/>
              </w:rPr>
            </w:pPr>
            <w:r>
              <w:rPr>
                <w:rFonts w:ascii="Arial" w:cs="Arial" w:eastAsia="Arial" w:hAnsi="Arial"/>
                <w:sz w:val="18"/>
                <w:szCs w:val="18"/>
                <w:color w:val="auto"/>
              </w:rPr>
              <w:t>7,500,000,000 shares; issued 882,147,916 and 890,234,413;</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360"/>
              <w:spacing w:after="0"/>
              <w:rPr>
                <w:sz w:val="20"/>
                <w:szCs w:val="20"/>
                <w:color w:val="auto"/>
              </w:rPr>
            </w:pPr>
            <w:r>
              <w:rPr>
                <w:rFonts w:ascii="Arial" w:cs="Arial" w:eastAsia="Arial" w:hAnsi="Arial"/>
                <w:sz w:val="18"/>
                <w:szCs w:val="18"/>
                <w:color w:val="auto"/>
              </w:rPr>
              <w:t>outstanding, 834,858,073 and 842,944,570</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B common stock, $0.01 par value—authorized,</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75,000,000 shares; issued and</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9,444,375</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Additional capital</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44,055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Treasury stock, 243,640,500 Class A common shares and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360"/>
              <w:spacing w:after="0"/>
              <w:rPr>
                <w:sz w:val="20"/>
                <w:szCs w:val="20"/>
                <w:color w:val="auto"/>
              </w:rPr>
            </w:pPr>
            <w:r>
              <w:rPr>
                <w:rFonts w:ascii="Arial" w:cs="Arial" w:eastAsia="Arial" w:hAnsi="Arial"/>
                <w:sz w:val="18"/>
                <w:szCs w:val="18"/>
                <w:color w:val="auto"/>
              </w:rPr>
              <w:t>47,289,843 Class A Special common shares</w:t>
            </w:r>
          </w:p>
        </w:tc>
        <w:tc>
          <w:tcPr>
            <w:tcW w:w="2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(7,517)</w:t>
            </w:r>
          </w:p>
        </w:tc>
        <w:tc>
          <w:tcPr>
            <w:tcW w:w="24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80" w:type="dxa"/>
            <w:vAlign w:val="bottom"/>
          </w:tcPr>
          <w:p>
            <w:pPr>
              <w:ind w:left="56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41,356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41,422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-8384540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-8384540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-8041005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-8041005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-8041005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-8041005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-6926580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-6926580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-6926580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-6926580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-6635115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-6635115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-6635115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-6635115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-5382895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-5382895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-5382895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-5382895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-3942080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-3942080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-3942080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-3942080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-3650615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-3650615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-3650615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-3650615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-614680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-614680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-614680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-614680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-323215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-323215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-323215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5" w:right="1440" w:bottom="0" w:gutter="0" w:footer="0" w:header="0"/>
        </w:sectPr>
      </w:pPr>
    </w:p>
    <w:p>
      <w:pPr>
        <w:spacing w:after="0" w:line="313"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See notes to condensed consolidated financial statements.</w:t>
      </w:r>
    </w:p>
    <w:p>
      <w:pPr>
        <w:sectPr>
          <w:pgSz w:w="11900" w:h="16838" w:orient="portrait"/>
          <w:cols w:equalWidth="0" w:num="1">
            <w:col w:w="10219"/>
          </w:cols>
          <w:pgMar w:left="240" w:top="125" w:right="1440" w:bottom="0" w:gutter="0" w:footer="0" w:header="0"/>
          <w:type w:val="continuous"/>
        </w:sectPr>
      </w:pPr>
    </w:p>
    <w:bookmarkStart w:id="3" w:name="page4"/>
    <w:bookmarkEnd w:id="3"/>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175260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(Dollars in millions, except per share</w:t>
      </w:r>
    </w:p>
    <w:p>
      <w:pPr>
        <w:spacing w:after="0" w:line="1"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5637530</wp:posOffset>
            </wp:positionH>
            <wp:positionV relativeFrom="paragraph">
              <wp:posOffset>58420</wp:posOffset>
            </wp:positionV>
            <wp:extent cx="147066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1"/>
              </w:rPr>
              <w:t>Three Months Ended March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29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8880" w:type="dxa"/>
            <w:vAlign w:val="bottom"/>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888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(excluding depreciation)</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88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88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(444)</w:t>
            </w: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loss, net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200"/>
              <w:spacing w:after="0"/>
              <w:rPr>
                <w:sz w:val="20"/>
                <w:szCs w:val="20"/>
                <w:color w:val="auto"/>
              </w:rPr>
            </w:pPr>
            <w:r>
              <w:rPr>
                <w:rFonts w:ascii="Arial" w:cs="Arial" w:eastAsia="Arial" w:hAnsi="Arial"/>
                <w:sz w:val="18"/>
                <w:szCs w:val="18"/>
                <w:color w:val="auto"/>
              </w:rPr>
              <w:t>Equity in net income (losses) of affiliates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8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8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8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8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8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6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8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80" w:type="dxa"/>
            <w:vAlign w:val="bottom"/>
            <w:gridSpan w:val="2"/>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880" w:type="dxa"/>
            <w:vAlign w:val="bottom"/>
            <w:gridSpan w:val="2"/>
          </w:tcPr>
          <w:p>
            <w:pPr>
              <w:spacing w:after="0"/>
              <w:rPr>
                <w:sz w:val="20"/>
                <w:szCs w:val="20"/>
                <w:color w:val="auto"/>
              </w:rPr>
            </w:pPr>
            <w:r>
              <w:rPr>
                <w:rFonts w:ascii="Arial" w:cs="Arial" w:eastAsia="Arial" w:hAnsi="Arial"/>
                <w:sz w:val="18"/>
                <w:szCs w:val="18"/>
                <w:color w:val="auto"/>
              </w:rPr>
              <w:t>BASIC EARNINGS FOR COMMON STOCKHOLDERS PER COMMON SHARE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8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FOR COMMON STOCKHOLDERS PER COMMON SHARE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8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8860" w:type="dxa"/>
            <w:vAlign w:val="bottom"/>
          </w:tcPr>
          <w:p>
            <w:pPr>
              <w:ind w:left="3660"/>
              <w:spacing w:after="0"/>
              <w:rPr>
                <w:sz w:val="20"/>
                <w:szCs w:val="20"/>
                <w:color w:val="auto"/>
              </w:rPr>
            </w:pPr>
            <w:r>
              <w:rPr>
                <w:rFonts w:ascii="Arial" w:cs="Arial" w:eastAsia="Arial" w:hAnsi="Arial"/>
                <w:sz w:val="18"/>
                <w:szCs w:val="18"/>
                <w:color w:val="auto"/>
              </w:rPr>
              <w:t>See notes to condensed consolidated financial statements.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80" w:type="dxa"/>
            <w:vAlign w:val="bottom"/>
            <w:gridSpan w:val="2"/>
          </w:tcPr>
          <w:p>
            <w:pPr>
              <w:ind w:left="56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-6043295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-6043295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-5794375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-5794375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-5794375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-5794375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-4542155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-4542155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-4542155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-4542155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-4250690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-4250690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-4250690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-4250690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-3135630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-3135630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-3135630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-3135630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-2844165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-2844165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-2844165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-2844165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-2278380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-2278380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-2278380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-2278380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-1712595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-1712595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-1712595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-1712595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Non-cash interest expense,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(income) losses of affiliates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Losses on investments and non-cash other (income) expense,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contribution expense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Minority interest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 net of effects of acquisitions and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600"/>
              <w:spacing w:after="0"/>
              <w:rPr>
                <w:sz w:val="20"/>
                <w:szCs w:val="20"/>
                <w:color w:val="auto"/>
              </w:rPr>
            </w:pPr>
            <w:r>
              <w:rPr>
                <w:rFonts w:ascii="Arial" w:cs="Arial" w:eastAsia="Arial" w:hAnsi="Arial"/>
                <w:sz w:val="18"/>
                <w:szCs w:val="18"/>
                <w:color w:val="auto"/>
              </w:rPr>
              <w:t>divestitures: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Change in accounts receivable, net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6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Change in other operating assets and liabilities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62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Proceeds from borrowings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Retirements and repayments of debt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18"/>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86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Proceeds from sales and restructuring of investments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intangible and other noncurrent assets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(Purchases of) proceeds from sales of short-term investments, net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settlement of contract of acquired company</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62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430"/>
        </w:trPr>
        <w:tc>
          <w:tcPr>
            <w:tcW w:w="864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6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-7149465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-7149465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-6900545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-6900545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-6652260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-6652260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-6652260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-6652260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-3993515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-3993515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-3993515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-3993515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-3702050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-3702050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-3702050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-3702050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-2724150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-2724150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-2724150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-2724150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-2432685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-2432685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-2432685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-2432685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-1180465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-1180465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-1180465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-1180465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-889000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-889000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-889000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-889000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-323215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-323215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CONDENSED CONSOLIDATED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have prepared these unaudited condensed consolidated financial statements based upon Securities and Exchange Commission ("SEC") rules that permit reduced disclosure for interim periods.</w:t>
      </w:r>
    </w:p>
    <w:p>
      <w:pPr>
        <w:spacing w:after="0" w:line="18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financial statements include all adjustments that are necessary for a fair presentation of our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a more complete discussion of our accounting policies and certain other information, refer to our annual financial statements for the preceding fiscal year as filed with the SEC.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 year financial statements to conform to those classifications used in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SFAS No. 123R</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December 2004, the Financial Accounting Standards Board ("FASB") issued Statement of Financial Accounting Standards ("SFAS") No. 123 (revised 2004), "Share-Based Payment" ("SFAS No. 123R"), which replaces SFAS No. 123, "Accounting for Stock-Based Compensation" ("SFAS No. 123") and supersedes Accounting Principles Board ("APB") Opinion No. 25, "Accounting for Stock Issued to Employees" ("APB No. 25"). SFAS No. 123R requires all share-based payments to employees, including grants of employee stock options, to be recognized in the financial statements based on their fair values, beginning with the next fiscal year that begins after June 15, 2005, with early adoption encouraged. In addition, SFAS No. 123R will cause unrecognized expense (based on the amounts in our pro forma footnote disclosure) related to options vesting after the date of initial adoption to be recognized as a charge to results of operations over the remaining vesting period. We are required to adopt SFAS No. 123R beginning January 1, 2006. Under SFAS No. 123R, we must determine the appropriate fair value model to be used for valuing share-based payments, the amortization method for compensation cost and the transition method to be used at the date of adoption. The transition alternatives include prospective and retroactive adoption methods. Under the retroactive methods, prior periods may be retroactively adjusted either as of the beginning of the year of adoption or for all periods presented. The prospective method requires that compensation expense be recorded for all unvested stock options and share awards at the beginning of the first quarter of adoption of SFAS No. 123R, while the retroactive methods would record compensation expense for all unvested stock options and share awards beginning with the first period retroactively adjusted. We are evaluating the requirements of SFAS No. 123R, and we expect that the adoption of SFAS No. 123R will have a material impact on our consolidated results of operations and earnings per share. We have not determined the date or method of adoption or the effect of adopting SFAS No. 123R.</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Basic earnings (loss) per common share ("Basic EPS") is computed by dividing net income (loss) for common stockholders by the weighted average number of common shares outstanding during the period.</w:t>
      </w:r>
    </w:p>
    <w:p>
      <w:pPr>
        <w:spacing w:after="0" w:line="18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potentially dilutive securities include potential common shares related to our stock options, restricted stock and Comcast exchangeable notes (see Note 7). Diluted earnings for common stockholders per common share ("Diluted EPS") considers the impact of potentially dilutive securities except in periods in which there is a loss because the inclusion of the potential common shares would have an antidilutive effect. Diluted EPS excludes the impact of potential common shares related to our stock options in periods in which the option exercise price is greater than the average market price of our Class A common stock and our Class A Special common stock for the period. Diluted EPS excludes the impact of potential common shares related to our Class A Special common stock held in treasury because it is our intent to settle the related Comcast exchangeable notes using cash.</w:t>
      </w:r>
    </w:p>
    <w:p>
      <w:pPr>
        <w:spacing w:after="0" w:line="174"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Diluted EPS for the interim periods in 2005 and in 2004 excludes approximately 74 million and 89 million potential common shares related to our stock plans because the option exercise price was greater than the average market price of our Class A common stock and our Class A Special common stock for the period.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the numerator and denominator of the computations of Diluted EPS for common stockholders for the interim periods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8"/>
          </w:tcPr>
          <w:p>
            <w:pPr>
              <w:jc w:val="center"/>
              <w:ind w:left="412"/>
              <w:spacing w:after="0"/>
              <w:rPr>
                <w:sz w:val="20"/>
                <w:szCs w:val="20"/>
                <w:color w:val="auto"/>
              </w:rPr>
            </w:pPr>
            <w:r>
              <w:rPr>
                <w:rFonts w:ascii="Arial" w:cs="Arial" w:eastAsia="Arial" w:hAnsi="Arial"/>
                <w:sz w:val="14"/>
                <w:szCs w:val="14"/>
                <w:b w:val="1"/>
                <w:bCs w:val="1"/>
                <w:color w:val="auto"/>
                <w:w w:val="86"/>
              </w:rPr>
              <w:t>(Amounts in millions, except per share data)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8"/>
              </w:rPr>
              <w:t>Three Months Ended March 31,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Per Share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39"/>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100" w:type="dxa"/>
            <w:vAlign w:val="bottom"/>
            <w:gridSpan w:val="3"/>
          </w:tcPr>
          <w:p>
            <w:pPr>
              <w:ind w:left="200"/>
              <w:spacing w:after="0"/>
              <w:rPr>
                <w:sz w:val="20"/>
                <w:szCs w:val="20"/>
                <w:color w:val="auto"/>
              </w:rPr>
            </w:pPr>
            <w:r>
              <w:rPr>
                <w:rFonts w:ascii="Arial" w:cs="Arial" w:eastAsia="Arial" w:hAnsi="Arial"/>
                <w:sz w:val="14"/>
                <w:szCs w:val="14"/>
                <w:b w:val="1"/>
                <w:bCs w:val="1"/>
                <w:color w:val="auto"/>
              </w:rPr>
              <w:t>Income</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EPS for common stockholders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Assumed exercise or issuance of shares relating to stock plans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620" w:type="dxa"/>
            <w:vAlign w:val="bottom"/>
            <w:gridSpan w:val="2"/>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20" w:type="dxa"/>
            <w:vAlign w:val="bottom"/>
            <w:gridSpan w:val="2"/>
          </w:tcPr>
          <w:p>
            <w:pPr>
              <w:spacing w:after="0"/>
              <w:rPr>
                <w:sz w:val="20"/>
                <w:szCs w:val="20"/>
                <w:color w:val="auto"/>
              </w:rPr>
            </w:pPr>
            <w:r>
              <w:rPr>
                <w:rFonts w:ascii="Arial" w:cs="Arial" w:eastAsia="Arial" w:hAnsi="Arial"/>
                <w:sz w:val="18"/>
                <w:szCs w:val="18"/>
                <w:color w:val="auto"/>
              </w:rPr>
              <w:t>Diluted EPS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2,222</w:t>
            </w: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-1480820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-1480820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-1231900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-1231900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-1231900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-1231900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-889000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-889000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-889000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-889000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-889000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-889000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-889000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-889000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-889000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-889000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-889000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-323215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-323215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-323215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-323215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-323215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-323215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-323215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-323215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-323215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-323215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OTHER SIGNIFICANT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Motorola</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March 31, 2005, we entered into a strategic alliance with Motorola, Inc. whereby we will jointly develop next-generation conditional access software for cable networks and related products and market such products to other equipment manufacturers and cable companies through the creation of two ventures. Under the agreements, in addition to funding approximately 50% of the annual cost requirements of the ventures, we have paid, through the ventures, $20 million to Motorola and committed up to $80 million in cash, also to be paid through the ventures, over a four-year period to Motorola based on the achievement of certain milestones. Motorola contributed their conditional access technology and related licenses for their ownership in these entities. These two ventures are both considered variable interest entities under FASB Interpretation No. 46, "Consolidation of Variable Interest Entities," and we have consolidated both of these ventures since we are the primary beneficiary. Accordingly, we have recorded approximately $190 million in intangible assets, of which we recorded a charge of $20 million related to in-process research and development in the first quarter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that has been included in amortization expense. These amounts are based on a preliminary valuation estimate of the intangibles contributed to the joint ventures, and these intangibles, including in-process research and development, are subject to further adjustment as final valuations are obtained.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Exit Activities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purchase price allocation of AT&amp;T Broadband in 2002 (the "Broadband acquisition"), we recorded approximately $1.5 billion of liabilities associated with exit activities and employee termination accruals. Remaining amounts under these accruals as of December 31, 2004, totaled $75 million. Payments under these liabilities are expected to continue over the next six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3"/>
          </w:tcPr>
          <w:p>
            <w:pPr>
              <w:ind w:left="560"/>
              <w:spacing w:after="0"/>
              <w:rPr>
                <w:sz w:val="20"/>
                <w:szCs w:val="20"/>
                <w:color w:val="auto"/>
              </w:rPr>
            </w:pPr>
            <w:r>
              <w:rPr>
                <w:rFonts w:ascii="Arial" w:cs="Arial" w:eastAsia="Arial" w:hAnsi="Arial"/>
                <w:sz w:val="14"/>
                <w:szCs w:val="14"/>
                <w:b w:val="1"/>
                <w:bCs w:val="1"/>
                <w:color w:val="auto"/>
                <w:w w:val="93"/>
              </w:rPr>
              <w:t>(Dollars in millions)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15"/>
              <w:spacing w:after="0"/>
              <w:rPr>
                <w:sz w:val="20"/>
                <w:szCs w:val="20"/>
                <w:color w:val="auto"/>
              </w:rPr>
            </w:pPr>
            <w:r>
              <w:rPr>
                <w:rFonts w:ascii="Arial" w:cs="Arial" w:eastAsia="Arial" w:hAnsi="Arial"/>
                <w:sz w:val="14"/>
                <w:szCs w:val="14"/>
                <w:b w:val="1"/>
                <w:bCs w:val="1"/>
                <w:color w:val="auto"/>
                <w:w w:val="88"/>
              </w:rPr>
              <w:t>March 31, 2005</w:t>
            </w:r>
          </w:p>
        </w:tc>
        <w:tc>
          <w:tcPr>
            <w:tcW w:w="1360" w:type="dxa"/>
            <w:vAlign w:val="bottom"/>
            <w:gridSpan w:val="3"/>
          </w:tcPr>
          <w:p>
            <w:pPr>
              <w:ind w:left="260"/>
              <w:spacing w:after="0"/>
              <w:rPr>
                <w:sz w:val="20"/>
                <w:szCs w:val="20"/>
                <w:color w:val="auto"/>
              </w:rPr>
            </w:pPr>
            <w:r>
              <w:rPr>
                <w:rFonts w:ascii="Arial" w:cs="Arial" w:eastAsia="Arial" w:hAnsi="Arial"/>
                <w:sz w:val="14"/>
                <w:szCs w:val="14"/>
                <w:b w:val="1"/>
                <w:bCs w:val="1"/>
                <w:color w:val="auto"/>
                <w:w w:val="85"/>
              </w:rPr>
              <w:t>December 31, 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Fair value method</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80"/>
              <w:spacing w:after="0"/>
              <w:rPr>
                <w:sz w:val="20"/>
                <w:szCs w:val="20"/>
                <w:color w:val="auto"/>
              </w:rPr>
            </w:pPr>
            <w:r>
              <w:rPr>
                <w:rFonts w:ascii="Arial" w:cs="Arial" w:eastAsia="Arial" w:hAnsi="Arial"/>
                <w:sz w:val="18"/>
                <w:szCs w:val="18"/>
                <w:color w:val="auto"/>
              </w:rPr>
              <w:t>Cablevision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Liberty Media Corporation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2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80"/>
              <w:spacing w:after="0"/>
              <w:rPr>
                <w:sz w:val="20"/>
                <w:szCs w:val="20"/>
                <w:color w:val="auto"/>
              </w:rPr>
            </w:pPr>
            <w:r>
              <w:rPr>
                <w:rFonts w:ascii="Arial" w:cs="Arial" w:eastAsia="Arial" w:hAnsi="Arial"/>
                <w:sz w:val="18"/>
                <w:szCs w:val="18"/>
                <w:color w:val="auto"/>
              </w:rPr>
              <w:t>Liberty Media International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Microsoft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80"/>
              <w:spacing w:after="0"/>
              <w:rPr>
                <w:sz w:val="20"/>
                <w:szCs w:val="20"/>
                <w:color w:val="auto"/>
              </w:rPr>
            </w:pPr>
            <w:r>
              <w:rPr>
                <w:rFonts w:ascii="Arial" w:cs="Arial" w:eastAsia="Arial" w:hAnsi="Arial"/>
                <w:sz w:val="18"/>
                <w:szCs w:val="18"/>
                <w:color w:val="auto"/>
              </w:rPr>
              <w:t>Sprint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Time Warner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2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80"/>
              <w:spacing w:after="0"/>
              <w:rPr>
                <w:sz w:val="20"/>
                <w:szCs w:val="20"/>
                <w:color w:val="auto"/>
              </w:rPr>
            </w:pPr>
            <w:r>
              <w:rPr>
                <w:rFonts w:ascii="Arial" w:cs="Arial" w:eastAsia="Arial" w:hAnsi="Arial"/>
                <w:sz w:val="18"/>
                <w:szCs w:val="18"/>
                <w:color w:val="auto"/>
              </w:rPr>
              <w:t>Vodafone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4,671</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Equity method, principally cable-related</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2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1"/>
              </w:rPr>
              <w:t>Cost method, principally Time Warner Cable at March 31, 2005, and Time Warner Cable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gridSpan w:val="2"/>
          </w:tcPr>
          <w:p>
            <w:pPr>
              <w:spacing w:after="0"/>
              <w:rPr>
                <w:sz w:val="20"/>
                <w:szCs w:val="20"/>
                <w:color w:val="auto"/>
              </w:rPr>
            </w:pPr>
            <w:r>
              <w:rPr>
                <w:rFonts w:ascii="Arial" w:cs="Arial" w:eastAsia="Arial" w:hAnsi="Arial"/>
                <w:sz w:val="18"/>
                <w:szCs w:val="18"/>
                <w:color w:val="auto"/>
              </w:rPr>
              <w:t>and Time Warner at December 31, 2004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6,696</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8,190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investments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13,895</w:t>
            </w:r>
          </w:p>
        </w:tc>
        <w:tc>
          <w:tcPr>
            <w:tcW w:w="2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Less, current investments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Non-current investments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12,945</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12,812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-2844165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-2844165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-2844165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-2844165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-1454785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-1454785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-1454785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-1454785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-751840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-751840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-751840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-751840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-323215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-323215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of December 31, 2004, TWE Holdings II Trust (the "Trust"), a Delaware statutory trust whose beneficial interest is indirectly wholly held by Comcast, beneficially owned one share of Time Warner Inc. ("TW") Series A Mandatorily Convertible Preferred Stock (the "Preferred Stock"). We accounted for the Preferred Stock as a cost method investment with a carrying value of $1.5 billion as of December 31, 2004. On March 31, 2005, the Preferred Stock was converted into 83,835,883 shares of TW common stock (the "TW Stock Conversion"). We recorded the TW common stock received at its fair value of approximately $1.471 billion at the date of the TW Stock Conversion and recognized an investment loss of approximately $29 million, representing the difference between the fair value of the TW common stock on the date it was converted and the carrying amount of our investment in the Preferred Stock. We have designated our investment in the TW common stock as an available for sale security.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Method</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hold unrestricted equity investments, which we account for as available for sale or trading securities, in publicly traded companies. Our investments in Liberty Media Corporation, Liberty Media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International, Inc. ("Liberty International"), Microsoft, Sprint and Vodafone, and approximately 42% of our investment in Cablevision, are accounted for as trading securities. The net unrealized pre-tax gains on investments accounted for as available for sale securities as of March 31, 2005, and December 31, 2004, of $42 million and $26 million, respectively, have been reported in our consolidated balance sheet principally as a component of accumulated other comprehensive loss, net of related deferred income taxes of $15 million and $9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cost, fair value and unrealized gains and losses related to our available for sale securities are as follows (dollars in millions):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March 31, 2005</w:t>
            </w:r>
          </w:p>
        </w:tc>
        <w:tc>
          <w:tcPr>
            <w:tcW w:w="12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December 31, 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Unrealized gains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668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68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1,632</w:t>
            </w:r>
          </w:p>
        </w:tc>
        <w:tc>
          <w:tcPr>
            <w:tcW w:w="140" w:type="dxa"/>
            <w:vAlign w:val="bottom"/>
          </w:tcPr>
          <w:p>
            <w:pPr>
              <w:spacing w:after="0"/>
              <w:rPr>
                <w:sz w:val="24"/>
                <w:szCs w:val="24"/>
                <w:color w:val="auto"/>
              </w:rPr>
            </w:pPr>
          </w:p>
        </w:tc>
        <w:tc>
          <w:tcPr>
            <w:tcW w:w="6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-889000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-889000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-889000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-889000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-323215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-323215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February 23, 2005, we entered into a 10 year prepaid forward sale of approximately 2.7 million shares of Liberty International Series A common stock for proceeds of $99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Loss,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loss, net for the interim periods includes the following (dollars in millions):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8"/>
              </w:rPr>
              <w:t>Three Months Ended March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(Losses) gains on sales and exchanges of investments, net</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losses on trading securities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Mark to market adjustments on derivatives related to trading securities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 to market adjustments on derivatives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880" w:type="dxa"/>
            <w:vAlign w:val="bottom"/>
          </w:tcPr>
          <w:p>
            <w:pPr>
              <w:ind w:left="180"/>
              <w:spacing w:after="0"/>
              <w:rPr>
                <w:sz w:val="20"/>
                <w:szCs w:val="20"/>
                <w:color w:val="auto"/>
              </w:rPr>
            </w:pPr>
            <w:r>
              <w:rPr>
                <w:rFonts w:ascii="Arial" w:cs="Arial" w:eastAsia="Arial" w:hAnsi="Arial"/>
                <w:sz w:val="18"/>
                <w:szCs w:val="18"/>
                <w:color w:val="auto"/>
              </w:rPr>
              <w:t>Investment loss,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8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6409055</wp:posOffset>
            </wp:positionH>
            <wp:positionV relativeFrom="paragraph">
              <wp:posOffset>-1412240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-1412240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-1163320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-1163320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-1163320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-1163320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-323215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-323215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-323215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(see Note 11) for the period presented are as follows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19"/>
              <w:spacing w:after="0"/>
              <w:rPr>
                <w:sz w:val="20"/>
                <w:szCs w:val="20"/>
                <w:color w:val="auto"/>
              </w:rPr>
            </w:pPr>
            <w:r>
              <w:rPr>
                <w:rFonts w:ascii="Arial" w:cs="Arial" w:eastAsia="Arial" w:hAnsi="Arial"/>
                <w:sz w:val="14"/>
                <w:szCs w:val="14"/>
                <w:b w:val="1"/>
                <w:bCs w:val="1"/>
                <w:color w:val="auto"/>
                <w:w w:val="87"/>
              </w:rPr>
              <w:t>Corporate and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Cable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Content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79"/>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160" w:type="dxa"/>
            <w:vAlign w:val="bottom"/>
            <w:vMerge w:val="restart"/>
          </w:tcPr>
          <w:p>
            <w:pPr>
              <w:spacing w:after="0"/>
              <w:rPr>
                <w:sz w:val="9"/>
                <w:szCs w:val="9"/>
                <w:color w:val="auto"/>
              </w:rPr>
            </w:pPr>
          </w:p>
        </w:tc>
        <w:tc>
          <w:tcPr>
            <w:tcW w:w="3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Settlement or adjustments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Acquisitions or additions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420" w:type="dxa"/>
            <w:vAlign w:val="bottom"/>
            <w:gridSpan w:val="2"/>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20" w:type="dxa"/>
            <w:vAlign w:val="bottom"/>
            <w:gridSpan w:val="2"/>
          </w:tcPr>
          <w:p>
            <w:pPr>
              <w:ind w:left="1140"/>
              <w:spacing w:after="0"/>
              <w:rPr>
                <w:sz w:val="20"/>
                <w:szCs w:val="20"/>
                <w:color w:val="auto"/>
              </w:rPr>
            </w:pPr>
            <w:r>
              <w:rPr>
                <w:rFonts w:ascii="Arial" w:cs="Arial" w:eastAsia="Arial" w:hAnsi="Arial"/>
                <w:sz w:val="18"/>
                <w:szCs w:val="18"/>
                <w:color w:val="auto"/>
              </w:rPr>
              <w:t>Balance, March 31, 2005</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12,929</w:t>
            </w:r>
          </w:p>
        </w:tc>
        <w:tc>
          <w:tcPr>
            <w:tcW w:w="120" w:type="dxa"/>
            <w:vAlign w:val="bottom"/>
          </w:tcPr>
          <w:p>
            <w:pPr>
              <w:spacing w:after="0"/>
              <w:rPr>
                <w:sz w:val="24"/>
                <w:szCs w:val="24"/>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261</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14,014</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11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4256405</wp:posOffset>
            </wp:positionH>
            <wp:positionV relativeFrom="paragraph">
              <wp:posOffset>-1386205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-1386205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-1386205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-1386205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-1386205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-1386205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-1386205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-1386205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-820420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-820420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-820420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-820420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-820420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-820420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-820420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-820420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3"/>
          </w:tcPr>
          <w:p>
            <w:pPr>
              <w:ind w:left="560"/>
              <w:spacing w:after="0"/>
              <w:rPr>
                <w:sz w:val="20"/>
                <w:szCs w:val="20"/>
                <w:color w:val="auto"/>
              </w:rPr>
            </w:pPr>
            <w:r>
              <w:rPr>
                <w:rFonts w:ascii="Arial" w:cs="Arial" w:eastAsia="Arial" w:hAnsi="Arial"/>
                <w:sz w:val="14"/>
                <w:szCs w:val="14"/>
                <w:b w:val="1"/>
                <w:bCs w:val="1"/>
                <w:color w:val="auto"/>
                <w:w w:val="93"/>
              </w:rPr>
              <w:t>(Dollars in millions)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19"/>
              <w:spacing w:after="0"/>
              <w:rPr>
                <w:sz w:val="20"/>
                <w:szCs w:val="20"/>
                <w:color w:val="auto"/>
              </w:rPr>
            </w:pPr>
            <w:r>
              <w:rPr>
                <w:rFonts w:ascii="Arial" w:cs="Arial" w:eastAsia="Arial" w:hAnsi="Arial"/>
                <w:sz w:val="14"/>
                <w:szCs w:val="14"/>
                <w:b w:val="1"/>
                <w:bCs w:val="1"/>
                <w:color w:val="auto"/>
                <w:w w:val="88"/>
              </w:rPr>
              <w:t>March 31, 2005</w:t>
            </w:r>
          </w:p>
        </w:tc>
        <w:tc>
          <w:tcPr>
            <w:tcW w:w="1360" w:type="dxa"/>
            <w:vAlign w:val="bottom"/>
            <w:gridSpan w:val="3"/>
          </w:tcPr>
          <w:p>
            <w:pPr>
              <w:ind w:left="260"/>
              <w:spacing w:after="0"/>
              <w:rPr>
                <w:sz w:val="20"/>
                <w:szCs w:val="20"/>
                <w:color w:val="auto"/>
              </w:rPr>
            </w:pPr>
            <w:r>
              <w:rPr>
                <w:rFonts w:ascii="Arial" w:cs="Arial" w:eastAsia="Arial" w:hAnsi="Arial"/>
                <w:sz w:val="14"/>
                <w:szCs w:val="14"/>
                <w:b w:val="1"/>
                <w:bCs w:val="1"/>
                <w:color w:val="auto"/>
                <w:w w:val="85"/>
              </w:rPr>
              <w:t>December 31, 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Notes exchangeable into 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Bank and public debt</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21,464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capital lease obligations</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Total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23,172</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23,592</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8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5654675</wp:posOffset>
            </wp:positionH>
            <wp:positionV relativeFrom="paragraph">
              <wp:posOffset>-889000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-889000</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-889000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-889000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-323215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-323215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-323215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-323215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Cross-Guarantee Structure</w:t>
      </w:r>
    </w:p>
    <w:p>
      <w:pPr>
        <w:spacing w:after="0" w:line="22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and a number of our wholly-owned subsidiaries that hold substantially all of our cable assets have unconditionally guaranteed each other's debt securities and indebtedness for borrowed money. As of March 31, 2005, $20.275 billion of our debt was included in the cross-guarantee structure.</w:t>
      </w:r>
    </w:p>
    <w:p>
      <w:pPr>
        <w:spacing w:after="0" w:line="13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Comcast Holdings is not a guarantor, and none of its debt is guaranteed under the cross-guarantee structure. As of March 31, 2005, $902 million of our debt was outstanding at Comcast Holdings.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and Letters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2005, we and certain of our subsidiaries had unused lines of credit of $3.839 billion under each's respective credit facilities.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As of March 31, 2005, we and certain of our subsidiaries had unused irrevocable standby letters of credit totaling $442 million to cover potential fundings under various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Exchangeable into Common Stock</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As of March 31, 2005, we held Microsoft, Vodafone and Comcast exchangeable notes (the "Exchangeable Notes") that are mandatorily redeemable at our option into shares of (a) Microsoft common stock or its cash equivalent; (b)(i) Vodafone ADRs, (ii) the cash equivalent, or (iii) a combination of cash and Vodafone ADRs; and (c) Comcast Class A Special common stock or its cash equivalent, respectively. The maturity value of the Exchangeable Notes varies based upon the fair market value of the security to which it is indexed. Our Exchangeable Notes are collateralized by our investments in Microsoft and Vodafone, respectively, and the Comcast Class A Special common stock held in treasury (see Note 5).</w:t>
      </w:r>
    </w:p>
    <w:p>
      <w:pPr>
        <w:spacing w:after="0" w:line="1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2005 interim period, we settled an aggregate of $396 million face amount of our obligations relating to our Cablevision and Vodafone exchangeable notes by delivering the underlying shares or ADRs to the counterparties upon maturity of the instruments, and the equity collar agreements related to the underlying securities were exercised. The Cablevision and Vodafone transactions represented non-cash investing and financing activities and had no effect on our statement of cash flows due to their non-cash nature.</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March 31, 2005, the securities we held collateralizing the Exchangeable Notes were sufficient to satisfy the debt obligations associated with the outstanding Exchangeable Notes (see Notes 5 and 9).</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ZONES</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At maturity, holders of our 2.0% Exchangeable Subordinated Debentures due 2029 (the "ZONES") are entitled to receive in cash an amount equal to the higher of the principal amount of the ZONES of $1.807 billion or the market value of Sprint common stock. Prior to maturity, each ZONES is exchangeable at the holder's option for an amount of cash equal to 95% of the market value of Sprint common stock.</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separated the accounting for the Exchangeable Notes and the ZONES into derivative and debt components. We record the change in the fair value of the derivative component of the Exchangeable Notes and the ZONES (see Note 5) and the change in the carrying value of the debt component of the Exchangeable Notes and the ZONES as follows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Exchangeable Notes</w:t>
            </w: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ZONES</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gridSpan w:val="2"/>
          </w:tcPr>
          <w:p>
            <w:pPr>
              <w:spacing w:after="0"/>
              <w:rPr>
                <w:sz w:val="9"/>
                <w:szCs w:val="9"/>
                <w:color w:val="auto"/>
              </w:rPr>
            </w:pPr>
          </w:p>
        </w:tc>
        <w:tc>
          <w:tcPr>
            <w:tcW w:w="320" w:type="dxa"/>
            <w:vAlign w:val="bottom"/>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520" w:type="dxa"/>
            <w:vAlign w:val="bottom"/>
          </w:tcPr>
          <w:p>
            <w:pPr>
              <w:spacing w:after="0"/>
              <w:rPr>
                <w:sz w:val="23"/>
                <w:szCs w:val="23"/>
                <w:color w:val="auto"/>
              </w:rPr>
            </w:pPr>
          </w:p>
        </w:tc>
        <w:tc>
          <w:tcPr>
            <w:tcW w:w="29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 March 31,</w:t>
            </w:r>
          </w:p>
        </w:tc>
        <w:tc>
          <w:tcPr>
            <w:tcW w:w="194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Three Months Ended March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5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20" w:type="dxa"/>
            <w:vAlign w:val="bottom"/>
          </w:tcPr>
          <w:p>
            <w:pPr>
              <w:jc w:val="right"/>
              <w:ind w:right="354"/>
              <w:spacing w:after="0"/>
              <w:rPr>
                <w:sz w:val="20"/>
                <w:szCs w:val="20"/>
                <w:color w:val="auto"/>
              </w:rPr>
            </w:pPr>
            <w:r>
              <w:rPr>
                <w:rFonts w:ascii="Arial" w:cs="Arial" w:eastAsia="Arial" w:hAnsi="Arial"/>
                <w:sz w:val="14"/>
                <w:szCs w:val="14"/>
                <w:b w:val="1"/>
                <w:bCs w:val="1"/>
                <w:color w:val="auto"/>
                <w:w w:val="83"/>
              </w:rPr>
              <w:t>2004</w:t>
            </w: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20"/>
              <w:spacing w:after="0"/>
              <w:rPr>
                <w:sz w:val="20"/>
                <w:szCs w:val="20"/>
                <w:color w:val="auto"/>
              </w:rPr>
            </w:pPr>
            <w:r>
              <w:rPr>
                <w:rFonts w:ascii="Arial" w:cs="Arial" w:eastAsia="Arial" w:hAnsi="Arial"/>
                <w:sz w:val="18"/>
                <w:szCs w:val="18"/>
                <w:color w:val="auto"/>
              </w:rPr>
              <w:t>Debt component</w:t>
            </w:r>
          </w:p>
        </w:tc>
        <w:tc>
          <w:tcPr>
            <w:tcW w:w="720" w:type="dxa"/>
            <w:vAlign w:val="bottom"/>
          </w:tcPr>
          <w:p>
            <w:pPr>
              <w:jc w:val="right"/>
              <w:ind w:right="568"/>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1,758</w:t>
            </w:r>
          </w:p>
        </w:tc>
        <w:tc>
          <w:tcPr>
            <w:tcW w:w="340" w:type="dxa"/>
            <w:vAlign w:val="bottom"/>
          </w:tcPr>
          <w:p>
            <w:pPr>
              <w:spacing w:after="0"/>
              <w:rPr>
                <w:sz w:val="18"/>
                <w:szCs w:val="18"/>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5,030</w:t>
            </w:r>
          </w:p>
        </w:tc>
        <w:tc>
          <w:tcPr>
            <w:tcW w:w="3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540</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Derivative component</w:t>
            </w:r>
          </w:p>
        </w:tc>
        <w:tc>
          <w:tcPr>
            <w:tcW w:w="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1,699</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4,318</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708</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debt component due to maturities</w:t>
            </w:r>
          </w:p>
        </w:tc>
        <w:tc>
          <w:tcPr>
            <w:tcW w:w="7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w:t>
            </w:r>
          </w:p>
        </w:tc>
        <w:tc>
          <w:tcPr>
            <w:tcW w:w="4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24"/>
                <w:szCs w:val="24"/>
                <w:color w:val="auto"/>
              </w:rPr>
            </w:pPr>
          </w:p>
        </w:tc>
        <w:tc>
          <w:tcPr>
            <w:tcW w:w="10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Change in debt component to interest expense</w:t>
            </w:r>
          </w:p>
        </w:tc>
        <w:tc>
          <w:tcPr>
            <w:tcW w:w="7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derivative component due to settlements</w:t>
            </w:r>
          </w:p>
        </w:tc>
        <w:tc>
          <w:tcPr>
            <w:tcW w:w="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Change in derivative component to investment loss, net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20"/>
              <w:spacing w:after="0"/>
              <w:rPr>
                <w:sz w:val="20"/>
                <w:szCs w:val="20"/>
                <w:color w:val="auto"/>
              </w:rPr>
            </w:pPr>
            <w:r>
              <w:rPr>
                <w:rFonts w:ascii="Arial" w:cs="Arial" w:eastAsia="Arial" w:hAnsi="Arial"/>
                <w:sz w:val="18"/>
                <w:szCs w:val="18"/>
                <w:color w:val="auto"/>
              </w:rPr>
              <w:t>Debt component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1,360</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4,834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Derivative component</w:t>
            </w:r>
          </w:p>
        </w:tc>
        <w:tc>
          <w:tcPr>
            <w:tcW w:w="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rPr>
              <w:t>Total</w:t>
            </w:r>
          </w:p>
        </w:tc>
        <w:tc>
          <w:tcPr>
            <w:tcW w:w="720" w:type="dxa"/>
            <w:vAlign w:val="bottom"/>
          </w:tcPr>
          <w:p>
            <w:pPr>
              <w:jc w:val="right"/>
              <w:ind w:right="568"/>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1,269</w:t>
            </w:r>
          </w:p>
        </w:tc>
        <w:tc>
          <w:tcPr>
            <w:tcW w:w="340" w:type="dxa"/>
            <w:vAlign w:val="bottom"/>
          </w:tcPr>
          <w:p>
            <w:pPr>
              <w:spacing w:after="0"/>
              <w:rPr>
                <w:sz w:val="24"/>
                <w:szCs w:val="24"/>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4,005</w:t>
            </w:r>
          </w:p>
        </w:tc>
        <w:tc>
          <w:tcPr>
            <w:tcW w:w="3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2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-2912745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-2912745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-2912745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-2912745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-2664460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-2664460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-2664460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-2664460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-2415540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-2415540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-2415540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-2415540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-2415540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-2415540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-2415540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-2415540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-1849755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-1849755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-1849755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-1849755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-1849755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-1849755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-1849755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-1849755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-323215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-323215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-323215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-323215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-323215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-323215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-323215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-323215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22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Excluding the derivative component of the Exchangeable Notes and the ZONES whose changes in fair value are recorded to investment income (loss), net, our effective weighted average interest rate on our total debt outstanding was 7.42% and 7.38% as of March 31, 2005, and December 31, 2004, respectively. As of March 31, 2005, and December 31, 2004, accrued interest was $340 million and $444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We use derivative financial instruments to manage our exposure to fluctuations in interest rates and securities prices. We have issued indexed debt instruments and prepaid forward sale agreements whose value, in part, is derived from the market value of certain publicly traded common stock.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Board-Authorized Repurchase Program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2005, we repurchased approximately 9.4 million shares of our Class A Special common stock for aggregate consideration of</w:t>
      </w:r>
    </w:p>
    <w:p>
      <w:pPr>
        <w:spacing w:after="0" w:line="38"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$303 million pursuant to our Board-authorized share repurchase program. On April 27, 2005, our Board of Directors authorized a $2 billion increase to our share repurchase program, increasing the maximum dollar value of shares that may yet be repurchased under the program to approximately $2.3 billion.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account for stock-based compensation in accordance with APB No. 25 and related interpretations, as permitted by SFAS No. 123, as amended. Compensation expense for stock options is measured as the excess, if any, of the quoted market price of our stock at the date of the grant over the amount an optionee must pay to acquire the stock. We record compensation expense for restricted stock awards based on the quoted market price of our stock at the date of the grant and the vesting period. We record compensation expense for stock appreciation rights based on the changes in quoted market prices of our stock or other determinants of fair value.</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illustrates the effect on net income and earnings per share if we had applied the fair value recognition provisions of SFAS No. 123 to stock-based compensation. Total stock-based compensation expense was determined under the fair value-based method for all awards using the accelerated recognition method as permitted under SFAS No. 123 (dollars in millions, except per share data):</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7"/>
          </w:tcPr>
          <w:p>
            <w:pPr>
              <w:ind w:left="2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Add: Stock-based compensation expense included in net income, as reported above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w w:val="90"/>
              </w:rPr>
              <w:t>Deduct: Stock-based compensation expense determined under fair value-based method for all</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awards, net of related tax effects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18"/>
        </w:trPr>
        <w:tc>
          <w:tcPr>
            <w:tcW w:w="686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6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24"/>
                <w:szCs w:val="2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for common stockholders per common share: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80"/>
              <w:spacing w:after="0"/>
              <w:rPr>
                <w:sz w:val="20"/>
                <w:szCs w:val="20"/>
                <w:color w:val="auto"/>
              </w:rPr>
            </w:pPr>
            <w:r>
              <w:rPr>
                <w:rFonts w:ascii="Arial" w:cs="Arial" w:eastAsia="Arial" w:hAnsi="Arial"/>
                <w:sz w:val="18"/>
                <w:szCs w:val="18"/>
                <w:color w:val="auto"/>
              </w:rPr>
              <w:t>As reported</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 forma</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Diluted earnings for common stockholders per common share: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 reported</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280"/>
              <w:spacing w:after="0"/>
              <w:rPr>
                <w:sz w:val="20"/>
                <w:szCs w:val="20"/>
                <w:color w:val="auto"/>
              </w:rPr>
            </w:pPr>
            <w:r>
              <w:rPr>
                <w:rFonts w:ascii="Arial" w:cs="Arial" w:eastAsia="Arial" w:hAnsi="Arial"/>
                <w:sz w:val="18"/>
                <w:szCs w:val="18"/>
                <w:color w:val="auto"/>
              </w:rPr>
              <w:t>Pro forma</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6460490</wp:posOffset>
            </wp:positionH>
            <wp:positionV relativeFrom="paragraph">
              <wp:posOffset>-2168525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-2168525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-1920240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-1920240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-1920240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-1920240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-1216660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-1216660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-1216660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-1216660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pro forma effect on net income and net income per share for the interim periods by applying SFAS No. 123 may not be indicative of the effect on net income or loss in future years since SFAS No. 123 does not take into consideration additional awards that may be granted in future years on a much larger employee base.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of the Comcast option plans during the 2005 interim period (options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jc w:val="right"/>
              <w:ind w:right="800"/>
              <w:spacing w:after="0"/>
              <w:rPr>
                <w:sz w:val="20"/>
                <w:szCs w:val="20"/>
                <w:color w:val="auto"/>
              </w:rPr>
            </w:pPr>
            <w:r>
              <w:rPr>
                <w:rFonts w:ascii="Arial" w:cs="Arial" w:eastAsia="Arial" w:hAnsi="Arial"/>
                <w:sz w:val="14"/>
                <w:szCs w:val="14"/>
                <w:b w:val="1"/>
                <w:bCs w:val="1"/>
                <w:color w:val="auto"/>
              </w:rPr>
              <w:t>Class A</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4"/>
              </w:rPr>
              <w:t>Class A Special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ind w:right="580"/>
              <w:spacing w:after="0"/>
              <w:rPr>
                <w:sz w:val="20"/>
                <w:szCs w:val="20"/>
                <w:color w:val="auto"/>
              </w:rPr>
            </w:pPr>
            <w:r>
              <w:rPr>
                <w:rFonts w:ascii="Arial" w:cs="Arial" w:eastAsia="Arial" w:hAnsi="Arial"/>
                <w:sz w:val="14"/>
                <w:szCs w:val="14"/>
                <w:b w:val="1"/>
                <w:bCs w:val="1"/>
                <w:color w:val="auto"/>
                <w:w w:val="91"/>
              </w:rPr>
              <w:t>Common Stock</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5"/>
              </w:rPr>
              <w:t>Common Stock</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Weighted-Average</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1620" w:type="dxa"/>
            <w:vAlign w:val="bottom"/>
          </w:tcPr>
          <w:p>
            <w:pPr>
              <w:jc w:val="right"/>
              <w:ind w:right="100"/>
              <w:spacing w:after="0"/>
              <w:rPr>
                <w:sz w:val="20"/>
                <w:szCs w:val="20"/>
                <w:color w:val="auto"/>
              </w:rPr>
            </w:pPr>
            <w:r>
              <w:rPr>
                <w:rFonts w:ascii="Arial" w:cs="Arial" w:eastAsia="Arial" w:hAnsi="Arial"/>
                <w:sz w:val="14"/>
                <w:szCs w:val="14"/>
                <w:b w:val="1"/>
                <w:bCs w:val="1"/>
                <w:color w:val="auto"/>
              </w:rPr>
              <w:t>Exercise Price</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5"/>
                <w:szCs w:val="15"/>
                <w:color w:val="auto"/>
              </w:rPr>
            </w:pPr>
          </w:p>
        </w:tc>
        <w:tc>
          <w:tcPr>
            <w:tcW w:w="2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82,344</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55,238</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8,071</w:t>
            </w:r>
          </w:p>
        </w:tc>
        <w:tc>
          <w:tcPr>
            <w:tcW w:w="200" w:type="dxa"/>
            <w:vAlign w:val="bottom"/>
          </w:tcPr>
          <w:p>
            <w:pPr>
              <w:spacing w:after="0"/>
              <w:rPr>
                <w:sz w:val="18"/>
                <w:szCs w:val="18"/>
                <w:color w:val="auto"/>
              </w:rPr>
            </w:pPr>
          </w:p>
        </w:tc>
        <w:tc>
          <w:tcPr>
            <w:tcW w:w="1620" w:type="dxa"/>
            <w:vAlign w:val="bottom"/>
          </w:tcPr>
          <w:p>
            <w:pPr>
              <w:jc w:val="right"/>
              <w:ind w:right="144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33.84</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(948)</w:t>
            </w:r>
          </w:p>
        </w:tc>
        <w:tc>
          <w:tcPr>
            <w:tcW w:w="1620" w:type="dxa"/>
            <w:vAlign w:val="bottom"/>
            <w:shd w:val="clear" w:color="auto" w:fill="CCEEFF"/>
          </w:tcPr>
          <w:p>
            <w:pPr>
              <w:jc w:val="right"/>
              <w:ind w:right="14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26.38</w:t>
            </w:r>
          </w:p>
        </w:tc>
        <w:tc>
          <w:tcPr>
            <w:tcW w:w="12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Forfeited, expired or cancelled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(1,914)</w:t>
            </w:r>
          </w:p>
        </w:tc>
        <w:tc>
          <w:tcPr>
            <w:tcW w:w="1620" w:type="dxa"/>
            <w:vAlign w:val="bottom"/>
          </w:tcPr>
          <w:p>
            <w:pPr>
              <w:jc w:val="right"/>
              <w:ind w:right="144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40.94</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39.41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87,553</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36.80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53,965</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980" w:type="dxa"/>
            <w:vAlign w:val="bottom"/>
            <w:gridSpan w:val="2"/>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80" w:type="dxa"/>
            <w:vAlign w:val="bottom"/>
            <w:gridSpan w:val="2"/>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40" w:type="dxa"/>
            <w:vAlign w:val="bottom"/>
            <w:gridSpan w:val="2"/>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980" w:type="dxa"/>
            <w:vAlign w:val="bottom"/>
            <w:gridSpan w:val="2"/>
          </w:tcPr>
          <w:p>
            <w:pPr>
              <w:spacing w:after="0"/>
              <w:rPr>
                <w:sz w:val="20"/>
                <w:szCs w:val="20"/>
                <w:color w:val="auto"/>
              </w:rPr>
            </w:pPr>
            <w:r>
              <w:rPr>
                <w:rFonts w:ascii="Arial" w:cs="Arial" w:eastAsia="Arial" w:hAnsi="Arial"/>
                <w:sz w:val="18"/>
                <w:szCs w:val="18"/>
                <w:color w:val="auto"/>
              </w:rPr>
              <w:t>Exercisable at end of period</w:t>
            </w:r>
          </w:p>
        </w:tc>
        <w:tc>
          <w:tcPr>
            <w:tcW w:w="820" w:type="dxa"/>
            <w:vAlign w:val="bottom"/>
          </w:tcPr>
          <w:p>
            <w:pPr>
              <w:jc w:val="right"/>
              <w:spacing w:after="0"/>
              <w:rPr>
                <w:sz w:val="20"/>
                <w:szCs w:val="20"/>
                <w:color w:val="auto"/>
              </w:rPr>
            </w:pPr>
            <w:r>
              <w:rPr>
                <w:rFonts w:ascii="Arial" w:cs="Arial" w:eastAsia="Arial" w:hAnsi="Arial"/>
                <w:sz w:val="18"/>
                <w:szCs w:val="18"/>
                <w:color w:val="auto"/>
              </w:rPr>
              <w:t>46,499</w:t>
            </w:r>
          </w:p>
        </w:tc>
        <w:tc>
          <w:tcPr>
            <w:tcW w:w="200" w:type="dxa"/>
            <w:vAlign w:val="bottom"/>
          </w:tcPr>
          <w:p>
            <w:pPr>
              <w:spacing w:after="0"/>
              <w:rPr>
                <w:sz w:val="24"/>
                <w:szCs w:val="24"/>
                <w:color w:val="auto"/>
              </w:rPr>
            </w:pPr>
          </w:p>
        </w:tc>
        <w:tc>
          <w:tcPr>
            <w:tcW w:w="1620" w:type="dxa"/>
            <w:vAlign w:val="bottom"/>
          </w:tcPr>
          <w:p>
            <w:pPr>
              <w:jc w:val="right"/>
              <w:ind w:right="144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42.68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48,588</w:t>
            </w:r>
          </w:p>
        </w:tc>
        <w:tc>
          <w:tcPr>
            <w:tcW w:w="2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60" w:type="dxa"/>
            <w:vAlign w:val="bottom"/>
          </w:tcPr>
          <w:p>
            <w:pPr>
              <w:spacing w:after="0"/>
              <w:rPr>
                <w:sz w:val="5"/>
                <w:szCs w:val="5"/>
                <w:color w:val="auto"/>
              </w:rPr>
            </w:pPr>
          </w:p>
        </w:tc>
        <w:tc>
          <w:tcPr>
            <w:tcW w:w="82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-1678305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-1678305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-1678305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-1678305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-1334770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-1334770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-1334770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-1334770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-1334770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-1334770</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-1334770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-1334770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-631825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-631825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-631825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-631825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-631825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-631825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-631825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-631825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of our restricted stock plan during the 2005 interim period (shares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Class A Common</w:t>
            </w:r>
          </w:p>
        </w:tc>
        <w:tc>
          <w:tcPr>
            <w:tcW w:w="2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Class A Special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Stock</w:t>
            </w:r>
          </w:p>
        </w:tc>
        <w:tc>
          <w:tcPr>
            <w:tcW w:w="2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Common Stock</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760" w:type="dxa"/>
            <w:vAlign w:val="bottom"/>
          </w:tcPr>
          <w:p>
            <w:pPr>
              <w:spacing w:after="0"/>
              <w:rPr>
                <w:sz w:val="23"/>
                <w:szCs w:val="23"/>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Awards</w:t>
            </w:r>
          </w:p>
        </w:tc>
        <w:tc>
          <w:tcPr>
            <w:tcW w:w="2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Awards outstanding at beginning of period</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3,114</w:t>
            </w:r>
          </w:p>
        </w:tc>
        <w:tc>
          <w:tcPr>
            <w:tcW w:w="220" w:type="dxa"/>
            <w:vAlign w:val="bottom"/>
          </w:tcPr>
          <w:p>
            <w:pPr>
              <w:spacing w:after="0"/>
              <w:rPr>
                <w:sz w:val="18"/>
                <w:szCs w:val="18"/>
                <w:color w:val="auto"/>
              </w:rPr>
            </w:pPr>
          </w:p>
        </w:tc>
        <w:tc>
          <w:tcPr>
            <w:tcW w:w="2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Awards vested and shares issued</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Forfeited or cancelled</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Awards outstanding at end of period</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760" w:type="dxa"/>
            <w:vAlign w:val="bottom"/>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-1275080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-1275080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-1275080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-1275080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-1026160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-1026160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-1026160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-1026160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-323215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-323215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-323215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-323215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share price of each Class A Common restricted stock grant during the 2005 interim period was $33.92.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total comprehensive income for the interim periods was as follows (dollars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18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2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980" w:type="dxa"/>
            <w:vAlign w:val="bottom"/>
          </w:tcPr>
          <w:p>
            <w:pPr>
              <w:spacing w:after="0"/>
              <w:rPr>
                <w:sz w:val="23"/>
                <w:szCs w:val="23"/>
                <w:color w:val="auto"/>
              </w:rPr>
            </w:pPr>
          </w:p>
        </w:tc>
        <w:tc>
          <w:tcPr>
            <w:tcW w:w="4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2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4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9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Unrealized gains on marketable securities</w:t>
            </w:r>
          </w:p>
        </w:tc>
        <w:tc>
          <w:tcPr>
            <w:tcW w:w="4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 for losses included in net income</w:t>
            </w:r>
          </w:p>
        </w:tc>
        <w:tc>
          <w:tcPr>
            <w:tcW w:w="4260" w:type="dxa"/>
            <w:vAlign w:val="bottom"/>
            <w:shd w:val="clear" w:color="auto" w:fill="CCEEFF"/>
          </w:tcPr>
          <w:p>
            <w:pPr>
              <w:spacing w:after="0"/>
              <w:rPr>
                <w:sz w:val="18"/>
                <w:szCs w:val="18"/>
                <w:color w:val="auto"/>
              </w:rPr>
            </w:pPr>
          </w:p>
        </w:tc>
        <w:tc>
          <w:tcPr>
            <w:tcW w:w="70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000" w:type="dxa"/>
            <w:vAlign w:val="bottom"/>
            <w:gridSpan w:val="2"/>
          </w:tcPr>
          <w:p>
            <w:pPr>
              <w:spacing w:after="0"/>
              <w:rPr>
                <w:sz w:val="10"/>
                <w:szCs w:val="10"/>
                <w:color w:val="auto"/>
              </w:rPr>
            </w:pPr>
          </w:p>
        </w:tc>
        <w:tc>
          <w:tcPr>
            <w:tcW w:w="426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0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960" w:type="dxa"/>
            <w:vAlign w:val="bottom"/>
            <w:gridSpan w:val="2"/>
          </w:tcPr>
          <w:p>
            <w:pPr>
              <w:jc w:val="right"/>
              <w:ind w:right="53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156</w:t>
            </w:r>
          </w:p>
        </w:tc>
        <w:tc>
          <w:tcPr>
            <w:tcW w:w="3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4260" w:type="dxa"/>
            <w:vAlign w:val="bottom"/>
            <w:vMerge w:val="restart"/>
          </w:tcPr>
          <w:p>
            <w:pPr>
              <w:jc w:val="right"/>
              <w:ind w:right="3377"/>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4260" w:type="dxa"/>
            <w:vAlign w:val="bottom"/>
            <w:vMerge w:val="continue"/>
          </w:tcPr>
          <w:p>
            <w:pPr>
              <w:spacing w:after="0"/>
              <w:rPr>
                <w:sz w:val="5"/>
                <w:szCs w:val="5"/>
                <w:color w:val="auto"/>
              </w:rPr>
            </w:pPr>
          </w:p>
        </w:tc>
        <w:tc>
          <w:tcPr>
            <w:tcW w:w="700" w:type="dxa"/>
            <w:vAlign w:val="bottom"/>
            <w:tcBorders>
              <w:left w:val="single" w:sz="8" w:color="808080"/>
            </w:tcBorders>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-1635125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-1635125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-1386205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-1386205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-1386205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-1386205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-820420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-820420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-820420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-820420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STATEMENT OF CASH FLOWS—SUPPLEMENTAL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made cash payments for interest and income taxes during the interim periods as follows (dollars in millions):</w:t>
      </w:r>
    </w:p>
    <w:p>
      <w:pPr>
        <w:spacing w:after="0" w:line="22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58420</wp:posOffset>
            </wp:positionV>
            <wp:extent cx="1213485"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13485" cy="21590"/>
                    </a:xfrm>
                    <a:prstGeom prst="rect">
                      <a:avLst/>
                    </a:prstGeom>
                    <a:noFill/>
                  </pic:spPr>
                </pic:pic>
              </a:graphicData>
            </a:graphic>
          </wp:anchor>
        </w:drawing>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3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7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538</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taxes</w:t>
            </w:r>
          </w:p>
        </w:tc>
        <w:tc>
          <w:tcPr>
            <w:tcW w:w="3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-359410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-359410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-359410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-359410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2005 interim period, we:</w:t>
      </w:r>
    </w:p>
    <w:p>
      <w:pPr>
        <w:spacing w:after="0" w:line="239"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$170 million of intangible assets in connection with the formation of the ventures in the Motorola transaction, which is considered a non-cash investing and financing activity and</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recorded $40 million of investments in connection with our commitment to fund an equity method investment, which is considered a non-cash investing and financing activity.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During the 2004 and 2005 interim periods, we entered into non-cash financing and investing activities related to certain of our Exchangeable Notes (see Note 7).</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Certain of our subsidiaries support debt compliance with respect to obligations of certain cable television partnerships and investments in which we hold an ownership interest (see Note 5). The obligations expire between May 2007 and September 2010. Although there can be no assurance, we believe that we will not be required to meet our obligations under such commitments. The total notional amount of our commitments was $1.021 billion as of March 31, 2005, at which time there were no quoted market prices for similar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 Home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Chairman and Chief Executive Officer and a director), AT&amp;T (the former controlling shareholder of At Home and also a former distributor of the At Home service) and others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us, AT&amp;T and others in the United States District Court for the Southern District of New York, alleging securities law violations and common law fraud in connection with disclosures made by At Home in 2001; (iii) a lawsuit brought in the United States District Court for the District of Delaware in the name of At Home by certain At Home bondholders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against us, Brian L. Roberts, Cox and others, alleging breaches of fiduciary duty relating to the March 2000 transactions and seeking recovery of alleged short-swing profits of at least $600 million, pursuant to Section 16(b) of the Securities Exchange Act of 1934, as amended ("the 1934 Act"), purported to have arisen in connection with certain transactions relating to At Home stock, effected pursuant to the March 2000 agreements; and (iv) a lawsuit brought in the United States Bankruptcy Court for the Northern District of California by certain At Home bondholders against us, AT&amp;T, AT&amp;T Credit Holdings, Inc. and AT&amp;T Wireless Services, Inc., seeking to avoid and recover certain alleged "preference" payments in excess of $89 million, allegedly made to the defendants prior to the At Home bankruptcy filing.</w:t>
      </w:r>
    </w:p>
    <w:p>
      <w:pPr>
        <w:spacing w:after="0" w:line="19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actions in San Mateo County, California (item (i) above), have been stayed by the United States Bankruptcy Court for the Northern District of California, the court in which At Home filed for bankruptcy, as violating the automatic bankruptcy stay. The decision to stay the actions was affirmed by the District Court, and an appeal to the Court of Appeals for the Ninth Circuit is pending. In the Southern District of New York actions (item (ii) above), the court has dismissed the common law fraud claims against all defendants, leaving only the securities law claims. In a subsequent decision, the court limited the remaining claims against us and Mr. Roberts to disclosures that are alleged to have been made by At Home prior to August 28, 2000. On March 10, 2005, the court certified a class of all purchasers of publicly traded At Home stock between March 28, 2000, and September 28, 2001. The Delaware case (item (iii) above) was transferred to the United States District Court for the Southern District of New York. The court dismissed the Section 16(b) claims against us for failure to state a claim and the breach of fiduciary duty claim for lack of federal jurisdiction. The plaintiffs have appealed the decision dismissing the Section 16(b) claims and may recommence the breach of fiduciary duty claim. In the meantime, we have entered into an agreement with plaintiffs tolling the statute of limitations for the breach of fiduciary duty claim. In the action in the United States Bankruptcy Court for the Northern District of California (item (iv) above), the parties filed a stipulation in January 2004, staying the case until such time as either party elects to resume the case. Pursuant to the settlement between At Home's bondholders and AT&amp;T described below, this action will be dismissed upon approval of the settlement by the Bankruptcy Court.</w:t>
      </w:r>
    </w:p>
    <w:p>
      <w:pPr>
        <w:spacing w:after="0" w:line="17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Under the terms of the Broadband acquisition, we are contractually liable for 50% of any liabilities of AT&amp;T relating to certain At Home litigation. For litigation in which we are contractually liable for 50% of any liabilities, AT&amp;T will be liable for the other 50%. In addition to the actions against AT&amp;T described in items (i), (ii) and (iv) above, (in which we are also a defendant), such litigation matters included two additional actions brought by At Home's bondholders' liquidating trust against AT&amp;T (and not naming us): (i) a lawsuit filed against AT&amp;T and certain of its senior officers in Santa Clara, California, state court alleging various breaches of fiduciary duties, misappropriation of trade secrets and other causes of action in connection with the transactions and prior and subsequent alleged conduct on the part of the defendants and (ii) an action filed against AT&amp;T in the District Court for the Northern District of California, alleging that AT&amp;T infringes an At Home patent by using its broadband distribution and high-speed Internet backbone networks and equipment. In May 2005, At Home's bondholders' liquidating trust and AT&amp;T agreed to settle these two actions. Pursuant to the settlement, AT&amp;T agreed to pay $340 million to the bondholders' liquidating trust. The settlement is subject to the approval of the Bankruptcy Court. Upon approval, these two actions, as well as the action described in item (iv) above, will be dismissed. As a result of the settlement by AT&amp;T, we recorded a $170 million charge to other income (expense), reflecting our portion of the settlement</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6" w:name="page17"/>
    <w:bookmarkEnd w:id="16"/>
    <w:p>
      <w:pPr>
        <w:jc w:val="center"/>
        <w:ind w:right="-1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amount, in our first quarter financial results. We expect to make this payment during the second quarter of 2005.</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deny any wrongdoing in connection with the claims that have been made directly against us, our subsidiaries and Brian L. Roberts, and are defending all of these claims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AT&amp;T—Wireless and Common Stock Cases</w:t>
      </w:r>
    </w:p>
    <w:p>
      <w:pPr>
        <w:spacing w:after="0" w:line="225"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Under the terms of the Broadband acquisition, we are potentially responsible for a portion of the liabilities arising from two purported securities class action lawsuits brought against AT&amp;T and others and consolidated for pre-trial purposes in the United States District Court for the District of New Jersey. These lawsuits assert claims under Section 11 and Section 12(a)(2) of the Securities Act of 1933, as amended, and Section 10(b) of the 1934 Act.</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first lawsuit, for which our portion of any loss is up to 15%, alleges, among other things, that AT&amp;T made material misstatements and omissions in the Registration Statement and Prospectus for the AT&amp;T Wireless initial public offering ("Wireless Case"). In March 2004, the plaintiffs, and AT&amp;T and the other defendants, moved for summary judgment in the Wireless Case. The New Jersey District Court denied the motions and the Judicial Panel on Multidistrict Litigation remanded the cases for trial to the United States District Court for the Southern District of New York, where they had originally been brought. No trial date has been set. We and AT&amp;T believe that AT&amp;T has meritorious defenses in the Wireless Case, and it is being vigorously defended.</w:t>
      </w:r>
    </w:p>
    <w:p>
      <w:pPr>
        <w:spacing w:after="0" w:line="17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second lawsuit, for which our portion of any loss is 50%, alleges, among other things, that AT&amp;T knowingly provided false projections relating to AT&amp;T common stock ("Common Stock Case"). In October 2004, the plaintiffs, and AT&amp;T and the other defendants, agreed to settle the Common Stock Case for $100 million. In April 2005, the court entered an order approving the proposed settlement. In May 2005, we paid the $50 million settlement amount.</w:t>
      </w:r>
    </w:p>
    <w:p>
      <w:pPr>
        <w:spacing w:after="0" w:line="16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November 2004, AT&amp;T brought suit against the D&amp;O insurers in Delaware Superior Court, seeking a declaration of coverage and damages in the At Home cases, the Wireless Case and the Common Stock Case. This litigation is in its very early stages.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AT&amp;T—TCI</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June 1998, the first of a number of purported class action lawsuits was filed by then-shareholders of Tele-Communications, Inc. ("TCI") Series A TCI Group Common Stock ("Common A") against AT&amp;T and the directors of TCI relating to the acquisition of TCI by AT&amp;T. A consolidated amended complaint combining the various different actions was filed in February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 of their fiduciary duties.</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we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w:t>
      </w:r>
    </w:p>
    <w:p>
      <w:pPr>
        <w:spacing w:after="0" w:line="1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July 2003, the Delaware Court of Chancery granted AT&amp;T's motion to dismiss on the ground that the complaint failed to adequately plead AT&amp;T's "knowing participation," as required to state a claim for aiding and abetting a breach of fiduciary duty. The other claims made in the complaint remain outstanding. Fact discovery in this matter is now closed. In February 2005, the former TCI director defendants filed a motion for summary judgment. In April 2005, plaintiffs filed their brief in opposition.</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Acacia</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June 2004, Acacia Media Technologies Corporation ("Acacia") filed a lawsuit against us and others in the United States District Court for the Northern District of California. The complaint alleges infringement of certain United States patents that allegedly relate to systems and methods for transmitting and/or receiving digital audio and video content. The complaint seeks injunctive relief and damages in an unspecified amount. In the event that a Court ultimately determines that we infringe on any of the patents, we may be subject to substantial damages, which may include treble damages and/or an injunction that could require us to materially modify certain products and services that we currently offer to subscribers. We believe that the claims are without merit and intend to defend the action vigorously.</w:t>
      </w:r>
    </w:p>
    <w:p>
      <w:pPr>
        <w:spacing w:after="0" w:line="19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final disposition of this claim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DATA BY BUSINESS SEGMENT</w:t>
      </w:r>
    </w:p>
    <w:p>
      <w:pPr>
        <w:spacing w:after="0" w:line="2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Our reportable segments consist of our Cable and Content businesses. Our content segment consists of our national networks E! Entertainment and Style Network, The Golf Channel, Outdoor Life Network, G4 and AZN Television (formerly known as International Channel). In evaluating the profitability of our segments, the components of net income (loss) below operating income (loss) before depreciation and amortization are not separately evaluated by our management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Corporate and</w:t>
            </w: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Cable(1)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Content</w:t>
            </w:r>
          </w:p>
        </w:tc>
        <w:tc>
          <w:tcPr>
            <w:tcW w:w="14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Other(2)</w:t>
            </w:r>
          </w:p>
        </w:tc>
        <w:tc>
          <w:tcPr>
            <w:tcW w:w="240" w:type="dxa"/>
            <w:vAlign w:val="bottom"/>
          </w:tcPr>
          <w:p>
            <w:pPr>
              <w:spacing w:after="0"/>
              <w:rPr>
                <w:sz w:val="15"/>
                <w:szCs w:val="15"/>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Eliminations(3)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Three Months Ended March 31, 2005</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Revenues(4)</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5,103</w:t>
            </w:r>
          </w:p>
        </w:tc>
        <w:tc>
          <w:tcPr>
            <w:tcW w:w="1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213</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amortization(5)</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8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8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Three Months Ended March 31, 2004</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Revenues(4)</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4,647</w:t>
            </w:r>
          </w:p>
        </w:tc>
        <w:tc>
          <w:tcPr>
            <w:tcW w:w="1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176</w:t>
            </w:r>
          </w:p>
        </w:tc>
        <w:tc>
          <w:tcPr>
            <w:tcW w:w="8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before</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amortization(5)</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w:t>
            </w:r>
          </w:p>
        </w:tc>
        <w:tc>
          <w:tcPr>
            <w:tcW w:w="8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8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8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As of March 31, 2005</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104,114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2,484</w:t>
            </w:r>
          </w:p>
        </w:tc>
        <w:tc>
          <w:tcPr>
            <w:tcW w:w="8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$353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(2,713)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104,238</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As of December 31, 2004</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103,727</w:t>
            </w:r>
          </w:p>
        </w:tc>
        <w:tc>
          <w:tcPr>
            <w:tcW w:w="10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2,533</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1,112</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(2,678)</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104,694</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-3101340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-3101340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-3101340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-3101340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-3101340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-3101340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-3101340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-3101340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-3101340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-3101340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360" w:hanging="532"/>
        <w:spacing w:after="0" w:line="26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regional sports and news networks Comcast SportsNet, Comcast SportsNet Mid-Atlantic, Comcast SportsNet Chicago, Comcast SportsNet West, Cable Sports Southeast and CN8-The Comcast Network are included in our cable segment.</w:t>
      </w:r>
    </w:p>
    <w:p>
      <w:pPr>
        <w:spacing w:after="0" w:line="212" w:lineRule="exact"/>
        <w:rPr>
          <w:rFonts w:ascii="Arial" w:cs="Arial" w:eastAsia="Arial" w:hAnsi="Arial"/>
          <w:sz w:val="18"/>
          <w:szCs w:val="18"/>
          <w:color w:val="auto"/>
        </w:rPr>
      </w:pPr>
    </w:p>
    <w:p>
      <w:pPr>
        <w:ind w:left="540" w:right="440" w:hanging="532"/>
        <w:spacing w:after="0" w:line="26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and other includes Comcast-Spectacor, corporate activities and all other businesses not presented in our cable or content segments. Assets included in this caption consist primarily of our investments (see Note 5).</w:t>
      </w:r>
    </w:p>
    <w:p>
      <w:pPr>
        <w:spacing w:after="0" w:line="199"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Included in the Eliminations column are intersegment transactions that our segments enter into with one another. The most common types of transactions are the following:</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right="560" w:hanging="532"/>
        <w:spacing w:after="0" w:line="268"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content segment generates affiliate revenue by selling cable network programming to our cable segment, which represents a substantial majority of the revenue elimination amount</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cable segment receives incentives offered by our content segment when negotiating programming contracts that are recorded as a reduction of programming costs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center"/>
        <w:ind w:right="-171"/>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(Unaudited)</w:t>
      </w:r>
    </w:p>
    <w:p>
      <w:pPr>
        <w:spacing w:after="0" w:line="245" w:lineRule="exact"/>
        <w:rPr>
          <w:sz w:val="20"/>
          <w:szCs w:val="20"/>
          <w:color w:val="auto"/>
        </w:rPr>
      </w:pPr>
    </w:p>
    <w:p>
      <w:pPr>
        <w:ind w:left="1072" w:hanging="532"/>
        <w:spacing w:after="0"/>
        <w:tabs>
          <w:tab w:leader="none" w:pos="1072"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cable segment generates revenue by selling the use of satellite feeds to our content segment</w:t>
      </w:r>
    </w:p>
    <w:p>
      <w:pPr>
        <w:spacing w:after="0" w:line="252" w:lineRule="exact"/>
        <w:rPr>
          <w:rFonts w:ascii="Arial" w:cs="Arial" w:eastAsia="Arial" w:hAnsi="Arial"/>
          <w:sz w:val="18"/>
          <w:szCs w:val="18"/>
          <w:color w:val="auto"/>
        </w:rPr>
      </w:pPr>
    </w:p>
    <w:p>
      <w:pPr>
        <w:ind w:left="1072" w:right="160" w:hanging="532"/>
        <w:spacing w:after="0" w:line="335" w:lineRule="auto"/>
        <w:tabs>
          <w:tab w:leader="none" w:pos="1072" w:val="left"/>
        </w:tabs>
        <w:numPr>
          <w:ilvl w:val="1"/>
          <w:numId w:val="6"/>
        </w:numPr>
        <w:rPr>
          <w:rFonts w:ascii="Arial" w:cs="Arial" w:eastAsia="Arial" w:hAnsi="Arial"/>
          <w:sz w:val="15"/>
          <w:szCs w:val="15"/>
          <w:color w:val="auto"/>
        </w:rPr>
      </w:pPr>
      <w:r>
        <w:rPr>
          <w:rFonts w:ascii="Arial" w:cs="Arial" w:eastAsia="Arial" w:hAnsi="Arial"/>
          <w:sz w:val="15"/>
          <w:szCs w:val="15"/>
          <w:color w:val="auto"/>
        </w:rPr>
        <w:t>our cable segment generates revenue by selling the use of its fiber-optic lines and site conditioning to our corporate and other segment. Our corporate and other segment pays our cable segment a lump sum and holds the property and the related depreciation expense and accumulated depreciation. Our cable segment's revenue is generated through the amortization of the deferred revenue recorded for the lump sum payment</w:t>
      </w:r>
    </w:p>
    <w:p>
      <w:pPr>
        <w:spacing w:after="0" w:line="155" w:lineRule="exact"/>
        <w:rPr>
          <w:rFonts w:ascii="Arial" w:cs="Arial" w:eastAsia="Arial" w:hAnsi="Arial"/>
          <w:sz w:val="15"/>
          <w:szCs w:val="15"/>
          <w:color w:val="auto"/>
        </w:rPr>
      </w:pPr>
    </w:p>
    <w:p>
      <w:pPr>
        <w:ind w:left="1072" w:hanging="532"/>
        <w:spacing w:after="0"/>
        <w:tabs>
          <w:tab w:leader="none" w:pos="1072" w:val="left"/>
        </w:tabs>
        <w:numPr>
          <w:ilvl w:val="1"/>
          <w:numId w:val="6"/>
        </w:numPr>
        <w:rPr>
          <w:rFonts w:ascii="Arial" w:cs="Arial" w:eastAsia="Arial" w:hAnsi="Arial"/>
          <w:sz w:val="18"/>
          <w:szCs w:val="18"/>
          <w:color w:val="auto"/>
        </w:rPr>
      </w:pPr>
      <w:r>
        <w:rPr>
          <w:rFonts w:ascii="Arial" w:cs="Arial" w:eastAsia="Arial" w:hAnsi="Arial"/>
          <w:sz w:val="18"/>
          <w:szCs w:val="18"/>
          <w:color w:val="auto"/>
        </w:rPr>
        <w:t>our corporate and other segment generates revenue by selling long-distance services to our cable segment</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32" w:hanging="532"/>
        <w:spacing w:after="0"/>
        <w:tabs>
          <w:tab w:leader="none" w:pos="532"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Non-U.S. revenues were not significant in any period. No single customer accounted for a significant amount of our revenue in any period.</w:t>
      </w:r>
    </w:p>
    <w:p>
      <w:pPr>
        <w:spacing w:after="0" w:line="275" w:lineRule="exact"/>
        <w:rPr>
          <w:rFonts w:ascii="Arial" w:cs="Arial" w:eastAsia="Arial" w:hAnsi="Arial"/>
          <w:sz w:val="16"/>
          <w:szCs w:val="16"/>
          <w:color w:val="auto"/>
        </w:rPr>
      </w:pPr>
    </w:p>
    <w:p>
      <w:pPr>
        <w:ind w:left="532" w:hanging="532"/>
        <w:spacing w:after="0" w:line="287" w:lineRule="auto"/>
        <w:tabs>
          <w:tab w:leader="none" w:pos="532" w:val="left"/>
        </w:tabs>
        <w:numPr>
          <w:ilvl w:val="0"/>
          <w:numId w:val="6"/>
        </w:numPr>
        <w:rPr>
          <w:rFonts w:ascii="Arial" w:cs="Arial" w:eastAsia="Arial" w:hAnsi="Arial"/>
          <w:sz w:val="16"/>
          <w:szCs w:val="16"/>
          <w:color w:val="auto"/>
        </w:rPr>
      </w:pPr>
      <w:r>
        <w:rPr>
          <w:rFonts w:ascii="Arial" w:cs="Arial" w:eastAsia="Arial" w:hAnsi="Arial"/>
          <w:sz w:val="16"/>
          <w:szCs w:val="16"/>
          <w:color w:val="auto"/>
        </w:rPr>
        <w:t>Operating income (loss) before depreciation and amortization is defined as operating income (loss)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177"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32"/>
          </w:cols>
          <w:pgMar w:left="248" w:top="125" w:right="41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CONDENSED CONSOLIDATING FINANCIAL INFORMATION</w:t>
      </w:r>
    </w:p>
    <w:p>
      <w:pPr>
        <w:spacing w:after="0" w:line="23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and five of our cable holding company subsidiaries, Comcast Cable Communications, LLC ("CCCL"), Comcast Cable Communications Holdings, Inc. ("CCCH"), Comcast MO Group, Inc. ("Comcast MO Group"), Comcast Cable Holdings, LLC ("CCH"), and Comcast MO of Delaware, LLC ("Comcast MO of Delaware") fully and unconditionally guaranteed each other's debt securities. Comcast MO Group, CCH and Comcast MO of Delaware are collectively referred to as the "Combined CCHMO Parents." Our condensed consolidating financial information is as follows (dollars in millions):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Elimination</w:t>
            </w: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Combined</w:t>
            </w:r>
          </w:p>
        </w:tc>
        <w:tc>
          <w:tcPr>
            <w:tcW w:w="16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w w:val="94"/>
              </w:rPr>
              <w:t>Comcast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CCCL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CCCH</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CCHMO</w:t>
            </w:r>
          </w:p>
        </w:tc>
        <w:tc>
          <w:tcPr>
            <w:tcW w:w="16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4"/>
              </w:rPr>
              <w:t>Guarantor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4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Parents</w:t>
            </w:r>
          </w:p>
        </w:tc>
        <w:tc>
          <w:tcPr>
            <w:tcW w:w="160" w:type="dxa"/>
            <w:vAlign w:val="bottom"/>
          </w:tcPr>
          <w:p>
            <w:pPr>
              <w:spacing w:after="0"/>
              <w:rPr>
                <w:sz w:val="15"/>
                <w:szCs w:val="15"/>
                <w:color w:val="auto"/>
              </w:rPr>
            </w:pPr>
          </w:p>
        </w:tc>
        <w:tc>
          <w:tcPr>
            <w:tcW w:w="1080" w:type="dxa"/>
            <w:vAlign w:val="bottom"/>
          </w:tcPr>
          <w:p>
            <w:pPr>
              <w:jc w:val="center"/>
              <w:ind w:right="92"/>
              <w:spacing w:after="0"/>
              <w:rPr>
                <w:sz w:val="20"/>
                <w:szCs w:val="20"/>
                <w:color w:val="auto"/>
              </w:rPr>
            </w:pPr>
            <w:r>
              <w:rPr>
                <w:rFonts w:ascii="Arial" w:cs="Arial" w:eastAsia="Arial" w:hAnsi="Arial"/>
                <w:sz w:val="14"/>
                <w:szCs w:val="14"/>
                <w:b w:val="1"/>
                <w:bCs w:val="1"/>
                <w:color w:val="auto"/>
                <w:w w:val="86"/>
              </w:rPr>
              <w:t>Subsidiaries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Adjustments</w:t>
            </w:r>
          </w:p>
        </w:tc>
        <w:tc>
          <w:tcPr>
            <w:tcW w:w="4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614</w:t>
            </w: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Investments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883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current 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0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2,930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12,945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12,945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tcPr>
          <w:p>
            <w:pPr>
              <w:spacing w:after="0" w:line="138" w:lineRule="exact"/>
              <w:rPr>
                <w:sz w:val="20"/>
                <w:szCs w:val="20"/>
                <w:color w:val="auto"/>
              </w:rPr>
            </w:pPr>
            <w:r>
              <w:rPr>
                <w:rFonts w:ascii="Arial" w:cs="Arial" w:eastAsia="Arial" w:hAnsi="Arial"/>
                <w:sz w:val="14"/>
                <w:szCs w:val="14"/>
                <w:color w:val="auto"/>
              </w:rPr>
              <w:t>INVESTMENTS IN AND AMOUNTS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120"/>
              <w:spacing w:after="0" w:line="149" w:lineRule="exact"/>
              <w:rPr>
                <w:sz w:val="20"/>
                <w:szCs w:val="20"/>
                <w:color w:val="auto"/>
              </w:rPr>
            </w:pPr>
            <w:r>
              <w:rPr>
                <w:rFonts w:ascii="Arial" w:cs="Arial" w:eastAsia="Arial" w:hAnsi="Arial"/>
                <w:sz w:val="14"/>
                <w:szCs w:val="14"/>
                <w:color w:val="auto"/>
              </w:rPr>
              <w:t>DUE FROM SUBSIDIARIES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120"/>
              <w:spacing w:after="0" w:line="149" w:lineRule="exact"/>
              <w:rPr>
                <w:sz w:val="20"/>
                <w:szCs w:val="20"/>
                <w:color w:val="auto"/>
              </w:rPr>
            </w:pPr>
            <w:r>
              <w:rPr>
                <w:rFonts w:ascii="Arial" w:cs="Arial" w:eastAsia="Arial" w:hAnsi="Arial"/>
                <w:sz w:val="14"/>
                <w:szCs w:val="14"/>
                <w:color w:val="auto"/>
              </w:rPr>
              <w:t>ELIMINATED UPON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tcPr>
          <w:p>
            <w:pPr>
              <w:ind w:left="120"/>
              <w:spacing w:after="0" w:line="159" w:lineRule="exact"/>
              <w:rPr>
                <w:sz w:val="20"/>
                <w:szCs w:val="20"/>
                <w:color w:val="auto"/>
              </w:rPr>
            </w:pPr>
            <w:r>
              <w:rPr>
                <w:rFonts w:ascii="Arial" w:cs="Arial" w:eastAsia="Arial" w:hAnsi="Arial"/>
                <w:sz w:val="14"/>
                <w:szCs w:val="14"/>
                <w:color w:val="auto"/>
              </w:rPr>
              <w:t>CONSOLIDATION</w:t>
            </w:r>
          </w:p>
        </w:tc>
        <w:tc>
          <w:tcPr>
            <w:tcW w:w="1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48,390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29,133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35,753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41,793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22,502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(177,571)</w:t>
            </w:r>
          </w:p>
        </w:tc>
        <w:tc>
          <w:tcPr>
            <w:tcW w:w="40" w:type="dxa"/>
            <w:vAlign w:val="bottom"/>
          </w:tcPr>
          <w:p>
            <w:pPr>
              <w:spacing w:after="0"/>
              <w:rPr>
                <w:sz w:val="13"/>
                <w:szCs w:val="13"/>
                <w:color w:val="auto"/>
              </w:rPr>
            </w:pPr>
          </w:p>
        </w:tc>
        <w:tc>
          <w:tcPr>
            <w:tcW w:w="8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18,727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FRANCHISE RIGHTS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51,088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51,088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14,014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3,820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3,824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 net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0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48,534</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29,165</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35,782</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41,793</w:t>
            </w:r>
          </w:p>
        </w:tc>
        <w:tc>
          <w:tcPr>
            <w:tcW w:w="100" w:type="dxa"/>
            <w:vAlign w:val="bottom"/>
          </w:tcPr>
          <w:p>
            <w:pPr>
              <w:spacing w:after="0"/>
              <w:rPr>
                <w:sz w:val="23"/>
                <w:szCs w:val="2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126,535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($177,571)</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104,238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tcPr>
          <w:p>
            <w:pPr>
              <w:ind w:left="220"/>
              <w:spacing w:after="0" w:line="138" w:lineRule="exact"/>
              <w:rPr>
                <w:sz w:val="20"/>
                <w:szCs w:val="20"/>
                <w:color w:val="auto"/>
              </w:rPr>
            </w:pPr>
            <w:r>
              <w:rPr>
                <w:rFonts w:ascii="Arial" w:cs="Arial" w:eastAsia="Arial" w:hAnsi="Arial"/>
                <w:sz w:val="14"/>
                <w:szCs w:val="14"/>
                <w:color w:val="auto"/>
              </w:rPr>
              <w:t>Accounts payable and accrued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tcPr>
          <w:p>
            <w:pPr>
              <w:ind w:left="360"/>
              <w:spacing w:after="0" w:line="159" w:lineRule="exact"/>
              <w:rPr>
                <w:sz w:val="20"/>
                <w:szCs w:val="20"/>
                <w:color w:val="auto"/>
              </w:rPr>
            </w:pPr>
            <w:r>
              <w:rPr>
                <w:rFonts w:ascii="Arial" w:cs="Arial" w:eastAsia="Arial" w:hAnsi="Arial"/>
                <w:sz w:val="14"/>
                <w:szCs w:val="14"/>
                <w:color w:val="auto"/>
              </w:rPr>
              <w:t>expenses related to trade creditors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1,998</w:t>
            </w:r>
          </w:p>
        </w:tc>
        <w:tc>
          <w:tcPr>
            <w:tcW w:w="3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1,998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Accrued expenses and other current</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shd w:val="clear" w:color="auto" w:fill="CCEEFF"/>
          </w:tcPr>
          <w:p>
            <w:pPr>
              <w:ind w:left="360"/>
              <w:spacing w:after="0" w:line="159" w:lineRule="exact"/>
              <w:rPr>
                <w:sz w:val="20"/>
                <w:szCs w:val="20"/>
                <w:color w:val="auto"/>
              </w:rPr>
            </w:pPr>
            <w:r>
              <w:rPr>
                <w:rFonts w:ascii="Arial" w:cs="Arial" w:eastAsia="Arial" w:hAnsi="Arial"/>
                <w:sz w:val="14"/>
                <w:szCs w:val="14"/>
                <w:color w:val="auto"/>
              </w:rPr>
              <w:t>liabilities</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271</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1,964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0" w:type="dxa"/>
            <w:vAlign w:val="bottom"/>
            <w:tcBorders>
              <w:right w:val="single" w:sz="8" w:color="CCEEFF"/>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166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long-term debt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0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8,796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5,125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4,570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26,930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26,930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602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220"/>
              <w:spacing w:after="0" w:line="149" w:lineRule="exact"/>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stockholders' equity</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41,331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32,013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35,753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87,303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(177,571)</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00" w:type="dxa"/>
            <w:vAlign w:val="bottom"/>
          </w:tcPr>
          <w:p>
            <w:pPr>
              <w:ind w:left="440"/>
              <w:spacing w:after="0"/>
              <w:rPr>
                <w:sz w:val="20"/>
                <w:szCs w:val="20"/>
                <w:color w:val="auto"/>
              </w:rPr>
            </w:pPr>
            <w:r>
              <w:rPr>
                <w:rFonts w:ascii="Arial" w:cs="Arial" w:eastAsia="Arial" w:hAnsi="Arial"/>
                <w:sz w:val="14"/>
                <w:szCs w:val="14"/>
                <w:color w:val="auto"/>
              </w:rPr>
              <w:t>Total stockholders' equity</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41,356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22,502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32,013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35,753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87,303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(177,571)</w:t>
            </w:r>
          </w:p>
        </w:tc>
        <w:tc>
          <w:tcPr>
            <w:tcW w:w="4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41,356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Total liabilities and stockholders'</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00" w:type="dxa"/>
            <w:vAlign w:val="bottom"/>
            <w:shd w:val="clear" w:color="auto" w:fill="CCEEFF"/>
          </w:tcPr>
          <w:p>
            <w:pPr>
              <w:ind w:left="580"/>
              <w:spacing w:after="0" w:line="159" w:lineRule="exact"/>
              <w:rPr>
                <w:sz w:val="20"/>
                <w:szCs w:val="20"/>
                <w:color w:val="auto"/>
              </w:rPr>
            </w:pPr>
            <w:r>
              <w:rPr>
                <w:rFonts w:ascii="Arial" w:cs="Arial" w:eastAsia="Arial" w:hAnsi="Arial"/>
                <w:sz w:val="14"/>
                <w:szCs w:val="14"/>
                <w:color w:val="auto"/>
              </w:rPr>
              <w:t>equity</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48,534</w:t>
            </w:r>
          </w:p>
        </w:tc>
        <w:tc>
          <w:tcPr>
            <w:tcW w:w="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29,165</w:t>
            </w:r>
          </w:p>
        </w:tc>
        <w:tc>
          <w:tcPr>
            <w:tcW w:w="2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35,782</w:t>
            </w:r>
          </w:p>
        </w:tc>
        <w:tc>
          <w:tcPr>
            <w:tcW w:w="3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98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41,793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126,535</w:t>
            </w:r>
          </w:p>
        </w:tc>
        <w:tc>
          <w:tcPr>
            <w:tcW w:w="3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0" w:type="dxa"/>
            <w:vAlign w:val="bottom"/>
            <w:tcBorders>
              <w:right w:val="single" w:sz="8" w:color="CCEEFF"/>
            </w:tcBorders>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(177,571)</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104,238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-4833620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-4833620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-4833620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-4833620</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-4833620</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-4833620</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-4833620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-4833620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-4833620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-4833620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-4833620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-4833620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-4833620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-4833620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-4208145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-4208145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-4208145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-4208145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-4208145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-4208145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-4208145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-4208145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-4208145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-4208145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-4208145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-4208145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-4208145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-4208145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-3959225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-3959225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-3959225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-3959225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-3959225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-3959225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-3959225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-3959225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-3959225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-3959225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-3959225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-3959225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-3959225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-3959225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-2861310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-2861310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-2861310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-2861310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-2861310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-2861310</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-2861310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-2861310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-2861310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-2861310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-2861310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-2861310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-2861310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-2861310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-1781175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-1781175</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-1781175</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-1781175</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-1781175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-1781175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-1781175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-1781175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-1781175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-1781175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-1781175</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-1781175</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-1781175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-1781175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-1532255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-1532255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-1532255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-1532255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-1532255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-1532255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-1532255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-1532255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-1532255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-1532255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-1532255</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-1532255</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-1532255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-1532255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-622935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-622935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-622935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-622935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-622935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-622935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-622935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-622935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-622935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-622935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-622935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-622935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-622935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-622935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-374650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-374650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-374650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-374650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-374650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-374650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-374650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-374650</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-374650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-374650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-374650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-374650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-374650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-374650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Elimination</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7"/>
              </w:rPr>
              <w:t>Combined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Non-</w:t>
            </w:r>
          </w:p>
        </w:tc>
        <w:tc>
          <w:tcPr>
            <w:tcW w:w="16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w w:val="94"/>
              </w:rPr>
              <w:t>Comcast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CCCL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CCCH</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rPr>
              <w:t>CCHMO</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6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Consolidation</w:t>
            </w:r>
          </w:p>
        </w:tc>
        <w:tc>
          <w:tcPr>
            <w:tcW w:w="8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92"/>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52"/>
              <w:spacing w:after="0"/>
              <w:rPr>
                <w:sz w:val="20"/>
                <w:szCs w:val="20"/>
                <w:color w:val="auto"/>
              </w:rPr>
            </w:pPr>
            <w:r>
              <w:rPr>
                <w:rFonts w:ascii="Arial" w:cs="Arial" w:eastAsia="Arial" w:hAnsi="Arial"/>
                <w:sz w:val="14"/>
                <w:szCs w:val="14"/>
                <w:b w:val="1"/>
                <w:bCs w:val="1"/>
                <w:color w:val="auto"/>
                <w:w w:val="85"/>
              </w:rPr>
              <w:t>Parents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Subsidiaries</w:t>
            </w:r>
          </w:p>
        </w:tc>
        <w:tc>
          <w:tcPr>
            <w:tcW w:w="16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Adjustments</w:t>
            </w:r>
          </w:p>
        </w:tc>
        <w:tc>
          <w:tcPr>
            <w:tcW w:w="8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452</w:t>
            </w:r>
          </w:p>
        </w:tc>
        <w:tc>
          <w:tcPr>
            <w:tcW w:w="10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Investments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1,555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current assets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tcPr>
          <w:p>
            <w:pPr>
              <w:ind w:left="44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3,535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12,812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12,812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tcPr>
          <w:p>
            <w:pPr>
              <w:spacing w:after="0" w:line="138" w:lineRule="exact"/>
              <w:rPr>
                <w:sz w:val="20"/>
                <w:szCs w:val="20"/>
                <w:color w:val="auto"/>
              </w:rPr>
            </w:pPr>
            <w:r>
              <w:rPr>
                <w:rFonts w:ascii="Arial" w:cs="Arial" w:eastAsia="Arial" w:hAnsi="Arial"/>
                <w:sz w:val="14"/>
                <w:szCs w:val="14"/>
                <w:color w:val="auto"/>
              </w:rPr>
              <w:t>INVESTMENTS IN AND AMOUNTS DUE</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rPr>
              <w:t>FROM SUBSIDIARIES ELIMINATED</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tcPr>
          <w:p>
            <w:pPr>
              <w:ind w:left="120"/>
              <w:spacing w:after="0" w:line="159" w:lineRule="exact"/>
              <w:rPr>
                <w:sz w:val="20"/>
                <w:szCs w:val="20"/>
                <w:color w:val="auto"/>
              </w:rPr>
            </w:pPr>
            <w:r>
              <w:rPr>
                <w:rFonts w:ascii="Arial" w:cs="Arial" w:eastAsia="Arial" w:hAnsi="Arial"/>
                <w:sz w:val="14"/>
                <w:szCs w:val="14"/>
                <w:color w:val="auto"/>
              </w:rPr>
              <w:t>UPON CONSOLIDATION</w:t>
            </w:r>
          </w:p>
        </w:tc>
        <w:tc>
          <w:tcPr>
            <w:tcW w:w="14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48,317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28,687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35,642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41,898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22,135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(176,679)</w:t>
            </w:r>
          </w:p>
        </w:tc>
        <w:tc>
          <w:tcPr>
            <w:tcW w:w="80" w:type="dxa"/>
            <w:vAlign w:val="bottom"/>
          </w:tcPr>
          <w:p>
            <w:pPr>
              <w:spacing w:after="0"/>
              <w:rPr>
                <w:sz w:val="13"/>
                <w:szCs w:val="13"/>
                <w:color w:val="auto"/>
              </w:rPr>
            </w:pPr>
          </w:p>
        </w:tc>
        <w:tc>
          <w:tcPr>
            <w:tcW w:w="9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FRANCHISE RIGHTS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51,071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51,071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14,020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3,851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 net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48,447</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28,717</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35,672</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41,898</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126,639</w:t>
            </w:r>
          </w:p>
        </w:tc>
        <w:tc>
          <w:tcPr>
            <w:tcW w:w="100" w:type="dxa"/>
            <w:vAlign w:val="bottom"/>
          </w:tcPr>
          <w:p>
            <w:pPr>
              <w:spacing w:after="0"/>
              <w:rPr>
                <w:sz w:val="23"/>
                <w:szCs w:val="2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(176,679)</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104,694</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tcPr>
          <w:p>
            <w:pPr>
              <w:ind w:left="220"/>
              <w:spacing w:after="0" w:line="138" w:lineRule="exact"/>
              <w:rPr>
                <w:sz w:val="20"/>
                <w:szCs w:val="20"/>
                <w:color w:val="auto"/>
              </w:rPr>
            </w:pPr>
            <w:r>
              <w:rPr>
                <w:rFonts w:ascii="Arial" w:cs="Arial" w:eastAsia="Arial" w:hAnsi="Arial"/>
                <w:sz w:val="14"/>
                <w:szCs w:val="14"/>
                <w:color w:val="auto"/>
              </w:rPr>
              <w:t>Accounts payable and accrued expenses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tcPr>
          <w:p>
            <w:pPr>
              <w:ind w:left="360"/>
              <w:spacing w:after="0" w:line="159" w:lineRule="exact"/>
              <w:rPr>
                <w:sz w:val="20"/>
                <w:szCs w:val="20"/>
                <w:color w:val="auto"/>
              </w:rPr>
            </w:pPr>
            <w:r>
              <w:rPr>
                <w:rFonts w:ascii="Arial" w:cs="Arial" w:eastAsia="Arial" w:hAnsi="Arial"/>
                <w:sz w:val="14"/>
                <w:szCs w:val="14"/>
                <w:color w:val="auto"/>
              </w:rPr>
              <w:t>related to trade creditors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59" w:lineRule="exact"/>
              <w:rPr>
                <w:sz w:val="20"/>
                <w:szCs w:val="20"/>
                <w:color w:val="auto"/>
              </w:rPr>
            </w:pPr>
            <w:r>
              <w:rPr>
                <w:rFonts w:ascii="Arial" w:cs="Arial" w:eastAsia="Arial" w:hAnsi="Arial"/>
                <w:sz w:val="14"/>
                <w:szCs w:val="14"/>
                <w:color w:val="auto"/>
              </w:rPr>
              <w:t>2,041</w:t>
            </w:r>
          </w:p>
        </w:tc>
        <w:tc>
          <w:tcPr>
            <w:tcW w:w="10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9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360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Current portion of long-term debt</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tcPr>
          <w:p>
            <w:pPr>
              <w:ind w:left="440"/>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5,645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8,635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 less current portion</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5,643</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26,815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26,815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5,207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MINORITY INTEREST</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468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220"/>
              <w:spacing w:after="0" w:line="149" w:lineRule="exact"/>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stockholders' equity</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41,397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22,135</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32,048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35,642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86,854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(176,679)</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60" w:type="dxa"/>
            <w:vAlign w:val="bottom"/>
          </w:tcPr>
          <w:p>
            <w:pPr>
              <w:ind w:left="440"/>
              <w:spacing w:after="0"/>
              <w:rPr>
                <w:sz w:val="20"/>
                <w:szCs w:val="20"/>
                <w:color w:val="auto"/>
              </w:rPr>
            </w:pPr>
            <w:r>
              <w:rPr>
                <w:rFonts w:ascii="Arial" w:cs="Arial" w:eastAsia="Arial" w:hAnsi="Arial"/>
                <w:sz w:val="14"/>
                <w:szCs w:val="14"/>
                <w:color w:val="auto"/>
              </w:rPr>
              <w:t>Total stockholders' equity</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41,422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22,135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32,048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35,642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86,854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(176,679)</w:t>
            </w:r>
          </w:p>
        </w:tc>
        <w:tc>
          <w:tcPr>
            <w:tcW w:w="8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41,422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48,447</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28,717</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35,672</w:t>
            </w:r>
          </w:p>
        </w:tc>
        <w:tc>
          <w:tcPr>
            <w:tcW w:w="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41,898</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126,639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32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(176,679)</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104,694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-4456430</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-4456430</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-4456430</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-4456430</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-4456430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-4456430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-4456430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-4456430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-4456430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-4456430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-4456430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-4456430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-4456430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-4456430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-3830320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-3830320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-3830320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-3830320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-3830320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-3830320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-3830320</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-3830320</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-3830320</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-3830320</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-3830320</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-3830320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-3830320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-3830320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-3582035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-3582035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-3582035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-3582035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-3582035</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-3582035</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-3582035</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-3582035</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-3582035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-3582035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-3582035</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-3582035</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-3582035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-3582035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-2578735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-2578735</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-2578735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-2578735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-2578735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-2578735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-2578735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-2578735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-2578735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-2578735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-2578735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-2578735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-2578735</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-2578735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-1591945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-1591945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-1591945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-1591945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-1591945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-1591945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-1591945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-1591945</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-1591945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-1591945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-1591945</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-1591945</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-1591945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-1591945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-1343660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-1343660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-1343660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-1343660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-1343660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-1343660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-1343660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-1343660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-1343660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-1343660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-1343660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-1343660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-1343660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-1343660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-528955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-528955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-528955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-528955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-528955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-528955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-528955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-528955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-528955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-528955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-528955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-528955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-528955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-528955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-280035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-280035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-280035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-280035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-280035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-280035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-280035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-280035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-280035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-280035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-280035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-280035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-280035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-280035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4"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For the Three Months Ended March 31,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Elimination</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Combined</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1"/>
              </w:rPr>
              <w:t>Comcast</w:t>
            </w: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CCCL</w:t>
            </w:r>
          </w:p>
        </w:tc>
        <w:tc>
          <w:tcPr>
            <w:tcW w:w="14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CCCH</w:t>
            </w: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CCHMO</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14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Parent</w:t>
            </w:r>
          </w:p>
        </w:tc>
        <w:tc>
          <w:tcPr>
            <w:tcW w:w="14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Parents</w:t>
            </w: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Subsidiaries</w:t>
            </w:r>
          </w:p>
        </w:tc>
        <w:tc>
          <w:tcPr>
            <w:tcW w:w="1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Adjustments</w:t>
            </w:r>
          </w:p>
        </w:tc>
        <w:tc>
          <w:tcPr>
            <w:tcW w:w="14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Service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Management fee revenue</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5,363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Operating (excluding</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Investment loss, net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 in net income (losses) of</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affiliates</w:t>
            </w: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w:t>
            </w: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INCOME TAXES AND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(1,130)</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BENEFIT</w:t>
            </w:r>
          </w:p>
        </w:tc>
        <w:tc>
          <w:tcPr>
            <w:tcW w:w="140" w:type="dxa"/>
            <w:vAlign w:val="bottom"/>
            <w:shd w:val="clear" w:color="auto" w:fill="CCEEFF"/>
          </w:tcPr>
          <w:p>
            <w:pPr>
              <w:spacing w:after="0"/>
              <w:rPr>
                <w:sz w:val="19"/>
                <w:szCs w:val="19"/>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18"/>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w:t>
            </w: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3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(1,130)</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8"/>
        </w:trPr>
        <w:tc>
          <w:tcPr>
            <w:tcW w:w="334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3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19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-5897245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-5897245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-5897245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-5897245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-5897245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-5897245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-5897245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-5897245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-5897245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-5897245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-5897245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-5897245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-5897245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-5897245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-5331460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-5331460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-5331460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-5331460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-5331460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-5331460</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-5331460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-5331460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-5331460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-5331460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-5331460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-5331460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-5331460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-5331460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-5039995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-5039995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-5039995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-5039995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-5039995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-5039995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-5039995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-5039995</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-5039995</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-5039995</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-5039995</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-5039995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-5039995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-5039995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-3924935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-3924935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-3924935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-3924935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-3924935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-3924935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-3924935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-3924935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-3924935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-3924935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-3924935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-3924935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-3924935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-3924935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-3633470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-3633470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-3633470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-3633470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-3633470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-3633470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-3633470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-3633470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-3633470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-3633470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-3633470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-3633470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-3633470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-3633470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-2518410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-2518410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-2518410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-2518410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-2518410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-2518410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-2518410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-2518410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-2518410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-2518410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-2518410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-2518410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-2518410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-2518410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-2226945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-2226945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-2226945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-2226945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-2226945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-2226945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-2226945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-2226945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-2226945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-2226945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-2226945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-2226945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-2226945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-2226945</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-1386205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-1386205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-1386205</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-1386205</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-1386205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-1386205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-1386205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-1386205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-1386205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-1386205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-1386205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-1386205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-1386205</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-1386205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-820420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-820420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-820420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-820420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-820420</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-820420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-820420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-820420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-820420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-820420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-820420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-820420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-820420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-820420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For the Three Months Ended March 31, 2004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Elimination</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Combined</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Comcast</w:t>
            </w:r>
          </w:p>
        </w:tc>
        <w:tc>
          <w:tcPr>
            <w:tcW w:w="14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CCCL</w:t>
            </w: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CCCH</w:t>
            </w: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CCHMO</w:t>
            </w:r>
          </w:p>
        </w:tc>
        <w:tc>
          <w:tcPr>
            <w:tcW w:w="1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Parents</w:t>
            </w: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Subsidiaries</w:t>
            </w:r>
          </w:p>
        </w:tc>
        <w:tc>
          <w:tcPr>
            <w:tcW w:w="1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Adjustments</w:t>
            </w: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Service revenues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Management fee revenue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Operating (excluding depreciation)</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Investment loss, net</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Equity in net (losses) income of</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affiliates</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118"/>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w:t>
            </w: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INCOME TAXES AND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BENEFIT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18"/>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w:t>
            </w: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580" w:type="dxa"/>
            <w:vAlign w:val="bottom"/>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5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4"/>
                <w:szCs w:val="24"/>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6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414"/>
              <w:spacing w:after="0"/>
              <w:rPr>
                <w:sz w:val="20"/>
                <w:szCs w:val="20"/>
                <w:color w:val="auto"/>
              </w:rPr>
            </w:pPr>
            <w:r>
              <w:rPr>
                <w:rFonts w:ascii="Arial" w:cs="Arial" w:eastAsia="Arial" w:hAnsi="Arial"/>
                <w:sz w:val="18"/>
                <w:szCs w:val="18"/>
                <w:color w:val="auto"/>
                <w:w w:val="79"/>
              </w:rPr>
              <w:t>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-5622925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-5622925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-5622925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-5622925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-5622925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-5622925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-5622925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-5622925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-5622925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-5622925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-5622925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-5622925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-5622925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-5622925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-5057140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-5057140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-5057140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-5057140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-5057140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-5057140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-5057140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-5057140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-5057140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-5057140</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-5057140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-5057140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-5057140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-5057140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-4765040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-4765040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-4765040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-4765040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-4765040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-4765040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-4765040</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-4765040</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-4765040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-4765040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-4765040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-4765040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-4765040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-4765040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-3924935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-3924935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-3924935</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-3924935</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-3924935</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-3924935</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-3924935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-3924935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-3924935</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-3924935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-3924935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-3924935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-3924935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-3924935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-3633470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-3633470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-3633470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-3633470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-3633470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-3633470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-3633470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-3633470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-3633470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-3633470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-3633470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-3633470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-3633470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-3633470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-2518410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-2518410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-2518410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-2518410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-2518410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-2518410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-2518410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-2518410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-2518410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-2518410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-2518410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-2518410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-2518410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-2518410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-2226945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-2226945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-2226945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-2226945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-2226945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-2226945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-2226945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-2226945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-2226945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-2226945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-2226945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-2226945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-2226945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-2226945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-1386205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-1386205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-1386205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-1386205</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-1386205</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-1386205</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-1386205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-1386205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-1386205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-1386205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-1386205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-1386205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-1386205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-1386205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-820420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-820420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-820420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-820420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-820420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-820420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-820420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-820420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-820420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-820420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-820420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-820420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-820420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-820420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12"/>
              <w:spacing w:after="0"/>
              <w:rPr>
                <w:sz w:val="20"/>
                <w:szCs w:val="20"/>
                <w:color w:val="auto"/>
              </w:rPr>
            </w:pPr>
            <w:r>
              <w:rPr>
                <w:rFonts w:ascii="Arial" w:cs="Arial" w:eastAsia="Arial" w:hAnsi="Arial"/>
                <w:sz w:val="14"/>
                <w:szCs w:val="14"/>
                <w:b w:val="1"/>
                <w:bCs w:val="1"/>
                <w:color w:val="auto"/>
                <w:w w:val="90"/>
              </w:rPr>
              <w:t>Elimination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Combined</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Non-</w:t>
            </w:r>
          </w:p>
        </w:tc>
        <w:tc>
          <w:tcPr>
            <w:tcW w:w="200" w:type="dxa"/>
            <w:vAlign w:val="bottom"/>
          </w:tcPr>
          <w:p>
            <w:pPr>
              <w:spacing w:after="0"/>
              <w:rPr>
                <w:sz w:val="12"/>
                <w:szCs w:val="12"/>
                <w:color w:val="auto"/>
              </w:rPr>
            </w:pPr>
          </w:p>
        </w:tc>
        <w:tc>
          <w:tcPr>
            <w:tcW w:w="12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CCCL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CCCH</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CCHMO</w:t>
            </w:r>
          </w:p>
        </w:tc>
        <w:tc>
          <w:tcPr>
            <w:tcW w:w="20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Guarantor</w:t>
            </w:r>
          </w:p>
        </w:tc>
        <w:tc>
          <w:tcPr>
            <w:tcW w:w="200" w:type="dxa"/>
            <w:vAlign w:val="bottom"/>
          </w:tcPr>
          <w:p>
            <w:pPr>
              <w:spacing w:after="0"/>
              <w:rPr>
                <w:sz w:val="12"/>
                <w:szCs w:val="12"/>
                <w:color w:val="auto"/>
              </w:rPr>
            </w:pPr>
          </w:p>
        </w:tc>
        <w:tc>
          <w:tcPr>
            <w:tcW w:w="12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760" w:type="dxa"/>
            <w:vAlign w:val="bottom"/>
          </w:tcPr>
          <w:p>
            <w:pPr>
              <w:jc w:val="right"/>
              <w:ind w:right="15"/>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Parents</w:t>
            </w:r>
          </w:p>
        </w:tc>
        <w:tc>
          <w:tcPr>
            <w:tcW w:w="20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Subsidiaries</w:t>
            </w:r>
          </w:p>
        </w:tc>
        <w:tc>
          <w:tcPr>
            <w:tcW w:w="200" w:type="dxa"/>
            <w:vAlign w:val="bottom"/>
          </w:tcPr>
          <w:p>
            <w:pPr>
              <w:spacing w:after="0"/>
              <w:rPr>
                <w:sz w:val="15"/>
                <w:szCs w:val="15"/>
                <w:color w:val="auto"/>
              </w:rPr>
            </w:pPr>
          </w:p>
        </w:tc>
        <w:tc>
          <w:tcPr>
            <w:tcW w:w="1260" w:type="dxa"/>
            <w:vAlign w:val="bottom"/>
          </w:tcPr>
          <w:p>
            <w:pPr>
              <w:jc w:val="center"/>
              <w:ind w:right="132"/>
              <w:spacing w:after="0"/>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Pr>
          <w:p>
            <w:pPr>
              <w:spacing w:after="0" w:line="138" w:lineRule="exact"/>
              <w:rPr>
                <w:sz w:val="20"/>
                <w:szCs w:val="20"/>
                <w:color w:val="auto"/>
              </w:rPr>
            </w:pPr>
            <w:r>
              <w:rPr>
                <w:rFonts w:ascii="Arial" w:cs="Arial" w:eastAsia="Arial" w:hAnsi="Arial"/>
                <w:sz w:val="14"/>
                <w:szCs w:val="14"/>
                <w:color w:val="auto"/>
              </w:rPr>
              <w:t>Net cash provided by (used in) operating</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activities</w:t>
            </w:r>
          </w:p>
        </w:tc>
        <w:tc>
          <w:tcPr>
            <w:tcW w:w="760" w:type="dxa"/>
            <w:vAlign w:val="bottom"/>
          </w:tcPr>
          <w:p>
            <w:pPr>
              <w:jc w:val="right"/>
              <w:ind w:right="675"/>
              <w:spacing w:after="0"/>
              <w:rPr>
                <w:sz w:val="20"/>
                <w:szCs w:val="20"/>
                <w:color w:val="auto"/>
              </w:rPr>
            </w:pPr>
            <w:r>
              <w:rPr>
                <w:rFonts w:ascii="Arial" w:cs="Arial" w:eastAsia="Arial" w:hAnsi="Arial"/>
                <w:sz w:val="5"/>
                <w:szCs w:val="5"/>
                <w:color w:val="auto"/>
                <w:w w:val="70"/>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4"/>
                <w:szCs w:val="14"/>
                <w:color w:val="auto"/>
              </w:rPr>
            </w:pPr>
          </w:p>
        </w:tc>
        <w:tc>
          <w:tcPr>
            <w:tcW w:w="620" w:type="dxa"/>
            <w:vAlign w:val="bottom"/>
          </w:tcPr>
          <w:p>
            <w:pPr>
              <w:jc w:val="right"/>
              <w:ind w:right="501"/>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(75)</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(178)</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1,438</w:t>
            </w:r>
          </w:p>
        </w:tc>
        <w:tc>
          <w:tcPr>
            <w:tcW w:w="100" w:type="dxa"/>
            <w:vAlign w:val="bottom"/>
          </w:tcPr>
          <w:p>
            <w:pPr>
              <w:spacing w:after="0"/>
              <w:rPr>
                <w:sz w:val="14"/>
                <w:szCs w:val="14"/>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260" w:type="dxa"/>
            <w:vAlign w:val="bottom"/>
          </w:tcPr>
          <w:p>
            <w:pPr>
              <w:ind w:left="1140"/>
              <w:spacing w:after="0"/>
              <w:rPr>
                <w:sz w:val="20"/>
                <w:szCs w:val="20"/>
                <w:color w:val="auto"/>
              </w:rPr>
            </w:pPr>
            <w:r>
              <w:rPr>
                <w:rFonts w:ascii="Arial" w:cs="Arial" w:eastAsia="Arial" w:hAnsi="Arial"/>
                <w:sz w:val="14"/>
                <w:szCs w:val="14"/>
                <w:color w:val="auto"/>
                <w:w w:val="71"/>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FINANCING ACTIVITIES</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ind w:left="220"/>
              <w:spacing w:after="0" w:line="149" w:lineRule="exact"/>
              <w:rPr>
                <w:sz w:val="20"/>
                <w:szCs w:val="20"/>
                <w:color w:val="auto"/>
              </w:rPr>
            </w:pPr>
            <w:r>
              <w:rPr>
                <w:rFonts w:ascii="Arial" w:cs="Arial" w:eastAsia="Arial" w:hAnsi="Arial"/>
                <w:sz w:val="14"/>
                <w:szCs w:val="14"/>
                <w:color w:val="auto"/>
              </w:rPr>
              <w:t>Proceeds from borrowings</w:t>
            </w:r>
          </w:p>
        </w:tc>
        <w:tc>
          <w:tcPr>
            <w:tcW w:w="7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tcPr>
          <w:p>
            <w:pPr>
              <w:ind w:left="114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Retirements and repayments of debt</w:t>
            </w:r>
          </w:p>
        </w:tc>
        <w:tc>
          <w:tcPr>
            <w:tcW w:w="7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ind w:left="220"/>
              <w:spacing w:after="0" w:line="149" w:lineRule="exact"/>
              <w:rPr>
                <w:sz w:val="20"/>
                <w:szCs w:val="20"/>
                <w:color w:val="auto"/>
              </w:rPr>
            </w:pPr>
            <w:r>
              <w:rPr>
                <w:rFonts w:ascii="Arial" w:cs="Arial" w:eastAsia="Arial" w:hAnsi="Arial"/>
                <w:sz w:val="14"/>
                <w:szCs w:val="14"/>
                <w:color w:val="auto"/>
              </w:rPr>
              <w:t>Issuances of common stock</w:t>
            </w:r>
          </w:p>
        </w:tc>
        <w:tc>
          <w:tcPr>
            <w:tcW w:w="7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tcPr>
          <w:p>
            <w:pPr>
              <w:ind w:left="114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Repurchases of common stock</w:t>
            </w:r>
          </w:p>
        </w:tc>
        <w:tc>
          <w:tcPr>
            <w:tcW w:w="7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(326)</w:t>
            </w:r>
          </w:p>
        </w:tc>
        <w:tc>
          <w:tcPr>
            <w:tcW w:w="6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Other</w:t>
            </w:r>
          </w:p>
        </w:tc>
        <w:tc>
          <w:tcPr>
            <w:tcW w:w="76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ind w:left="114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Net cash provided by (used in)</w:t>
            </w: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ind w:left="360"/>
              <w:spacing w:after="0" w:line="159" w:lineRule="exact"/>
              <w:rPr>
                <w:sz w:val="20"/>
                <w:szCs w:val="20"/>
                <w:color w:val="auto"/>
              </w:rPr>
            </w:pPr>
            <w:r>
              <w:rPr>
                <w:rFonts w:ascii="Arial" w:cs="Arial" w:eastAsia="Arial" w:hAnsi="Arial"/>
                <w:sz w:val="14"/>
                <w:szCs w:val="14"/>
                <w:color w:val="auto"/>
              </w:rPr>
              <w:t>financing activities</w:t>
            </w:r>
          </w:p>
        </w:tc>
        <w:tc>
          <w:tcPr>
            <w:tcW w:w="7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(61)</w:t>
            </w:r>
          </w:p>
        </w:tc>
        <w:tc>
          <w:tcPr>
            <w:tcW w:w="6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ind w:left="114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Arial" w:cs="Arial" w:eastAsia="Arial" w:hAnsi="Arial"/>
                <w:sz w:val="14"/>
                <w:szCs w:val="14"/>
                <w:color w:val="auto"/>
              </w:rPr>
              <w:t>INVESTING ACTIVITIES</w:t>
            </w:r>
          </w:p>
        </w:tc>
        <w:tc>
          <w:tcPr>
            <w:tcW w:w="7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vMerge w:val="continue"/>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transactions with affiliates</w:t>
            </w:r>
          </w:p>
        </w:tc>
        <w:tc>
          <w:tcPr>
            <w:tcW w:w="7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w:t>
            </w:r>
          </w:p>
        </w:tc>
        <w:tc>
          <w:tcPr>
            <w:tcW w:w="6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8"/>
              </w:rPr>
              <w:t>(28)</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(289)</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Capital expenditures</w:t>
            </w:r>
          </w:p>
        </w:tc>
        <w:tc>
          <w:tcPr>
            <w:tcW w:w="76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(892)</w:t>
            </w:r>
          </w:p>
        </w:tc>
        <w:tc>
          <w:tcPr>
            <w:tcW w:w="200" w:type="dxa"/>
            <w:vAlign w:val="bottom"/>
          </w:tcPr>
          <w:p>
            <w:pPr>
              <w:spacing w:after="0"/>
              <w:rPr>
                <w:sz w:val="12"/>
                <w:szCs w:val="12"/>
                <w:color w:val="auto"/>
              </w:rPr>
            </w:pPr>
          </w:p>
        </w:tc>
        <w:tc>
          <w:tcPr>
            <w:tcW w:w="1260" w:type="dxa"/>
            <w:vAlign w:val="bottom"/>
          </w:tcPr>
          <w:p>
            <w:pPr>
              <w:ind w:left="114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Proceeds from sales and restructuring of</w:t>
            </w: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ind w:left="120"/>
              <w:spacing w:after="0" w:line="159" w:lineRule="exact"/>
              <w:rPr>
                <w:sz w:val="20"/>
                <w:szCs w:val="20"/>
                <w:color w:val="auto"/>
              </w:rPr>
            </w:pPr>
            <w:r>
              <w:rPr>
                <w:rFonts w:ascii="Arial" w:cs="Arial" w:eastAsia="Arial" w:hAnsi="Arial"/>
                <w:sz w:val="14"/>
                <w:szCs w:val="14"/>
                <w:color w:val="auto"/>
              </w:rPr>
              <w:t>investments</w:t>
            </w:r>
          </w:p>
        </w:tc>
        <w:tc>
          <w:tcPr>
            <w:tcW w:w="7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ind w:left="114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76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w:t>
            </w:r>
          </w:p>
        </w:tc>
        <w:tc>
          <w:tcPr>
            <w:tcW w:w="200" w:type="dxa"/>
            <w:vAlign w:val="bottom"/>
          </w:tcPr>
          <w:p>
            <w:pPr>
              <w:spacing w:after="0"/>
              <w:rPr>
                <w:sz w:val="12"/>
                <w:szCs w:val="12"/>
                <w:color w:val="auto"/>
              </w:rPr>
            </w:pPr>
          </w:p>
        </w:tc>
        <w:tc>
          <w:tcPr>
            <w:tcW w:w="1260" w:type="dxa"/>
            <w:vAlign w:val="bottom"/>
          </w:tcPr>
          <w:p>
            <w:pPr>
              <w:ind w:left="114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Additions to intangible and other</w:t>
            </w: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ind w:left="120"/>
              <w:spacing w:after="0" w:line="159" w:lineRule="exact"/>
              <w:rPr>
                <w:sz w:val="20"/>
                <w:szCs w:val="20"/>
                <w:color w:val="auto"/>
              </w:rPr>
            </w:pPr>
            <w:r>
              <w:rPr>
                <w:rFonts w:ascii="Arial" w:cs="Arial" w:eastAsia="Arial" w:hAnsi="Arial"/>
                <w:sz w:val="14"/>
                <w:szCs w:val="14"/>
                <w:color w:val="auto"/>
              </w:rPr>
              <w:t>noncurrent assets</w:t>
            </w:r>
          </w:p>
        </w:tc>
        <w:tc>
          <w:tcPr>
            <w:tcW w:w="7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(180)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ind w:left="114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Pr>
          <w:p>
            <w:pPr>
              <w:spacing w:after="0" w:line="138" w:lineRule="exact"/>
              <w:rPr>
                <w:sz w:val="20"/>
                <w:szCs w:val="20"/>
                <w:color w:val="auto"/>
              </w:rPr>
            </w:pPr>
            <w:r>
              <w:rPr>
                <w:rFonts w:ascii="Arial" w:cs="Arial" w:eastAsia="Arial" w:hAnsi="Arial"/>
                <w:sz w:val="14"/>
                <w:szCs w:val="14"/>
                <w:color w:val="auto"/>
              </w:rPr>
              <w:t>Proceeds from sales of (purchases of)</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short-term investments, net</w:t>
            </w:r>
          </w:p>
        </w:tc>
        <w:tc>
          <w:tcPr>
            <w:tcW w:w="76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1260" w:type="dxa"/>
            <w:vAlign w:val="bottom"/>
          </w:tcPr>
          <w:p>
            <w:pPr>
              <w:ind w:left="114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Net cash (used in) provided by</w:t>
            </w: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ind w:left="360"/>
              <w:spacing w:after="0" w:line="159" w:lineRule="exact"/>
              <w:rPr>
                <w:sz w:val="20"/>
                <w:szCs w:val="20"/>
                <w:color w:val="auto"/>
              </w:rPr>
            </w:pPr>
            <w:r>
              <w:rPr>
                <w:rFonts w:ascii="Arial" w:cs="Arial" w:eastAsia="Arial" w:hAnsi="Arial"/>
                <w:sz w:val="14"/>
                <w:szCs w:val="14"/>
                <w:color w:val="auto"/>
              </w:rPr>
              <w:t>investing activities</w:t>
            </w:r>
          </w:p>
        </w:tc>
        <w:tc>
          <w:tcPr>
            <w:tcW w:w="7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(36)</w:t>
            </w:r>
          </w:p>
        </w:tc>
        <w:tc>
          <w:tcPr>
            <w:tcW w:w="6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8"/>
              </w:rPr>
              <w:t>(28)</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(1,302)</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ind w:left="114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Arial" w:cs="Arial" w:eastAsia="Arial" w:hAnsi="Arial"/>
                <w:sz w:val="14"/>
                <w:szCs w:val="14"/>
                <w:color w:val="auto"/>
              </w:rPr>
              <w:t>INCREASE IN CASH AND CASH</w:t>
            </w:r>
          </w:p>
        </w:tc>
        <w:tc>
          <w:tcPr>
            <w:tcW w:w="7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120" w:type="dxa"/>
            <w:vAlign w:val="bottom"/>
            <w:gridSpan w:val="2"/>
            <w:vMerge w:val="continue"/>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Pr>
          <w:p>
            <w:pPr>
              <w:ind w:left="120"/>
              <w:spacing w:after="0" w:line="159" w:lineRule="exact"/>
              <w:rPr>
                <w:sz w:val="20"/>
                <w:szCs w:val="20"/>
                <w:color w:val="auto"/>
              </w:rPr>
            </w:pPr>
            <w:r>
              <w:rPr>
                <w:rFonts w:ascii="Arial" w:cs="Arial" w:eastAsia="Arial" w:hAnsi="Arial"/>
                <w:sz w:val="14"/>
                <w:szCs w:val="14"/>
                <w:color w:val="auto"/>
              </w:rPr>
              <w:t>EQUIVALENTS</w:t>
            </w:r>
          </w:p>
        </w:tc>
        <w:tc>
          <w:tcPr>
            <w:tcW w:w="760" w:type="dxa"/>
            <w:vAlign w:val="bottom"/>
          </w:tcPr>
          <w:p>
            <w:pPr>
              <w:spacing w:after="0"/>
              <w:rPr>
                <w:sz w:val="13"/>
                <w:szCs w:val="13"/>
                <w:color w:val="auto"/>
              </w:rPr>
            </w:pP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162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ind w:left="114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184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CASH AND CASH EQUIVALENTS,</w:t>
            </w: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ind w:left="120"/>
              <w:spacing w:after="0" w:line="159" w:lineRule="exact"/>
              <w:rPr>
                <w:sz w:val="20"/>
                <w:szCs w:val="20"/>
                <w:color w:val="auto"/>
              </w:rPr>
            </w:pPr>
            <w:r>
              <w:rPr>
                <w:rFonts w:ascii="Arial" w:cs="Arial" w:eastAsia="Arial" w:hAnsi="Arial"/>
                <w:sz w:val="14"/>
                <w:szCs w:val="14"/>
                <w:color w:val="auto"/>
              </w:rPr>
              <w:t>beginning of period</w:t>
            </w:r>
          </w:p>
        </w:tc>
        <w:tc>
          <w:tcPr>
            <w:tcW w:w="7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ind w:left="114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w:t>
            </w:r>
          </w:p>
        </w:tc>
        <w:tc>
          <w:tcPr>
            <w:tcW w:w="7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120" w:type="dxa"/>
            <w:vAlign w:val="bottom"/>
            <w:gridSpan w:val="2"/>
            <w:vMerge w:val="continue"/>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end of period</w:t>
            </w:r>
          </w:p>
        </w:tc>
        <w:tc>
          <w:tcPr>
            <w:tcW w:w="760" w:type="dxa"/>
            <w:vAlign w:val="bottom"/>
          </w:tcPr>
          <w:p>
            <w:pPr>
              <w:jc w:val="right"/>
              <w:ind w:right="675"/>
              <w:spacing w:after="0"/>
              <w:rPr>
                <w:sz w:val="20"/>
                <w:szCs w:val="20"/>
                <w:color w:val="auto"/>
              </w:rPr>
            </w:pPr>
            <w:r>
              <w:rPr>
                <w:rFonts w:ascii="Arial" w:cs="Arial" w:eastAsia="Arial" w:hAnsi="Arial"/>
                <w:sz w:val="5"/>
                <w:szCs w:val="5"/>
                <w:color w:val="auto"/>
                <w:w w:val="70"/>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620" w:type="dxa"/>
            <w:vAlign w:val="bottom"/>
          </w:tcPr>
          <w:p>
            <w:pPr>
              <w:jc w:val="right"/>
              <w:ind w:right="501"/>
              <w:spacing w:after="0"/>
              <w:rPr>
                <w:sz w:val="20"/>
                <w:szCs w:val="20"/>
                <w:color w:val="auto"/>
              </w:rPr>
            </w:pPr>
            <w:r>
              <w:rPr>
                <w:rFonts w:ascii="Arial" w:cs="Arial" w:eastAsia="Arial" w:hAnsi="Arial"/>
                <w:sz w:val="10"/>
                <w:szCs w:val="10"/>
                <w:color w:val="auto"/>
                <w:w w:val="71"/>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614</w:t>
            </w:r>
          </w:p>
        </w:tc>
        <w:tc>
          <w:tcPr>
            <w:tcW w:w="100" w:type="dxa"/>
            <w:vAlign w:val="bottom"/>
          </w:tcPr>
          <w:p>
            <w:pPr>
              <w:spacing w:after="0"/>
              <w:rPr>
                <w:sz w:val="14"/>
                <w:szCs w:val="14"/>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260" w:type="dxa"/>
            <w:vAlign w:val="bottom"/>
          </w:tcPr>
          <w:p>
            <w:pPr>
              <w:ind w:left="1140"/>
              <w:spacing w:after="0"/>
              <w:rPr>
                <w:sz w:val="20"/>
                <w:szCs w:val="20"/>
                <w:color w:val="auto"/>
              </w:rPr>
            </w:pPr>
            <w:r>
              <w:rPr>
                <w:rFonts w:ascii="Arial" w:cs="Arial" w:eastAsia="Arial" w:hAnsi="Arial"/>
                <w:sz w:val="14"/>
                <w:szCs w:val="14"/>
                <w:color w:val="auto"/>
                <w:w w:val="71"/>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-3847465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-3847465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-3847465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-3847465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-3847465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-3847465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-3847465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-3847465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-3847465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-3847465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-3847465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-3847465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-3847465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-3847465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-3410585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-3410585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-3410585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-3410585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-3410585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-3410585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-3410585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-3410585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-3410585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-3410585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-3410585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-3410585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-3410585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-3410585</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-2689860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-2689860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-2689860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-2689860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-2689860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-2689860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-2689860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-2689860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-2689860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-2689860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-2689860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-2689860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-2689860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-2689860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-2346960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-2346960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-2346960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-2346960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-2346960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-2346960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-2346960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-2346960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-2346960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-2346960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-2346960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-2346960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-2346960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-2346960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-1249045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-1249045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-1249045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-1249045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-1249045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-1249045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-1249045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-1249045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-1249045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-1249045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-1249045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-1249045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-1249045</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-1249045</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-906145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-906145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-906145</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-906145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-906145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-906145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-906145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-906145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-906145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-906145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-906145</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-906145</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-906145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-906145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-374650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-374650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-374650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-374650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-374650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-374650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-374650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-374650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-374650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-374650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-374650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-374650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-374650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-374650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(Concluded)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2004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12"/>
              <w:spacing w:after="0"/>
              <w:rPr>
                <w:sz w:val="20"/>
                <w:szCs w:val="20"/>
                <w:color w:val="auto"/>
              </w:rPr>
            </w:pPr>
            <w:r>
              <w:rPr>
                <w:rFonts w:ascii="Arial" w:cs="Arial" w:eastAsia="Arial" w:hAnsi="Arial"/>
                <w:sz w:val="14"/>
                <w:szCs w:val="14"/>
                <w:b w:val="1"/>
                <w:bCs w:val="1"/>
                <w:color w:val="auto"/>
                <w:w w:val="90"/>
              </w:rPr>
              <w:t>Elimination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Combined</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Non-</w:t>
            </w:r>
          </w:p>
        </w:tc>
        <w:tc>
          <w:tcPr>
            <w:tcW w:w="200" w:type="dxa"/>
            <w:vAlign w:val="bottom"/>
          </w:tcPr>
          <w:p>
            <w:pPr>
              <w:spacing w:after="0"/>
              <w:rPr>
                <w:sz w:val="12"/>
                <w:szCs w:val="12"/>
                <w:color w:val="auto"/>
              </w:rPr>
            </w:pPr>
          </w:p>
        </w:tc>
        <w:tc>
          <w:tcPr>
            <w:tcW w:w="12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CCCL</w:t>
            </w:r>
          </w:p>
        </w:tc>
        <w:tc>
          <w:tcPr>
            <w:tcW w:w="12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CCCH</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CCHMO</w:t>
            </w:r>
          </w:p>
        </w:tc>
        <w:tc>
          <w:tcPr>
            <w:tcW w:w="20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Guarantor</w:t>
            </w:r>
          </w:p>
        </w:tc>
        <w:tc>
          <w:tcPr>
            <w:tcW w:w="200" w:type="dxa"/>
            <w:vAlign w:val="bottom"/>
          </w:tcPr>
          <w:p>
            <w:pPr>
              <w:spacing w:after="0"/>
              <w:rPr>
                <w:sz w:val="12"/>
                <w:szCs w:val="12"/>
                <w:color w:val="auto"/>
              </w:rPr>
            </w:pPr>
          </w:p>
        </w:tc>
        <w:tc>
          <w:tcPr>
            <w:tcW w:w="12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5"/>
              </w:rPr>
              <w:t>Consolidation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Comcast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760" w:type="dxa"/>
            <w:vAlign w:val="bottom"/>
          </w:tcPr>
          <w:p>
            <w:pPr>
              <w:jc w:val="right"/>
              <w:ind w:right="15"/>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Parents</w:t>
            </w:r>
          </w:p>
        </w:tc>
        <w:tc>
          <w:tcPr>
            <w:tcW w:w="20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Subsidiaries</w:t>
            </w:r>
          </w:p>
        </w:tc>
        <w:tc>
          <w:tcPr>
            <w:tcW w:w="200" w:type="dxa"/>
            <w:vAlign w:val="bottom"/>
          </w:tcPr>
          <w:p>
            <w:pPr>
              <w:spacing w:after="0"/>
              <w:rPr>
                <w:sz w:val="15"/>
                <w:szCs w:val="15"/>
                <w:color w:val="auto"/>
              </w:rPr>
            </w:pPr>
          </w:p>
        </w:tc>
        <w:tc>
          <w:tcPr>
            <w:tcW w:w="1260" w:type="dxa"/>
            <w:vAlign w:val="bottom"/>
          </w:tcPr>
          <w:p>
            <w:pPr>
              <w:jc w:val="center"/>
              <w:ind w:right="132"/>
              <w:spacing w:after="0"/>
              <w:rPr>
                <w:sz w:val="20"/>
                <w:szCs w:val="20"/>
                <w:color w:val="auto"/>
              </w:rPr>
            </w:pPr>
            <w:r>
              <w:rPr>
                <w:rFonts w:ascii="Arial" w:cs="Arial" w:eastAsia="Arial" w:hAnsi="Arial"/>
                <w:sz w:val="14"/>
                <w:szCs w:val="14"/>
                <w:b w:val="1"/>
                <w:bCs w:val="1"/>
                <w:color w:val="auto"/>
                <w:w w:val="87"/>
              </w:rPr>
              <w:t>Adjustments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Corporation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OPERATING ACTIVITIES</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Pr>
          <w:p>
            <w:pPr>
              <w:ind w:left="220"/>
              <w:spacing w:after="0" w:line="138" w:lineRule="exact"/>
              <w:rPr>
                <w:sz w:val="20"/>
                <w:szCs w:val="20"/>
                <w:color w:val="auto"/>
              </w:rPr>
            </w:pPr>
            <w:r>
              <w:rPr>
                <w:rFonts w:ascii="Arial" w:cs="Arial" w:eastAsia="Arial" w:hAnsi="Arial"/>
                <w:sz w:val="14"/>
                <w:szCs w:val="14"/>
                <w:color w:val="auto"/>
              </w:rPr>
              <w:t>Net cash provided by (used in)</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360"/>
              <w:spacing w:after="0"/>
              <w:rPr>
                <w:sz w:val="20"/>
                <w:szCs w:val="20"/>
                <w:color w:val="auto"/>
              </w:rPr>
            </w:pPr>
            <w:r>
              <w:rPr>
                <w:rFonts w:ascii="Arial" w:cs="Arial" w:eastAsia="Arial" w:hAnsi="Arial"/>
                <w:sz w:val="14"/>
                <w:szCs w:val="14"/>
                <w:color w:val="auto"/>
              </w:rPr>
              <w:t>operating activities</w:t>
            </w:r>
          </w:p>
        </w:tc>
        <w:tc>
          <w:tcPr>
            <w:tcW w:w="760" w:type="dxa"/>
            <w:vAlign w:val="bottom"/>
          </w:tcPr>
          <w:p>
            <w:pPr>
              <w:jc w:val="right"/>
              <w:ind w:right="675"/>
              <w:spacing w:after="0"/>
              <w:rPr>
                <w:sz w:val="20"/>
                <w:szCs w:val="20"/>
                <w:color w:val="auto"/>
              </w:rPr>
            </w:pPr>
            <w:r>
              <w:rPr>
                <w:rFonts w:ascii="Arial" w:cs="Arial" w:eastAsia="Arial" w:hAnsi="Arial"/>
                <w:sz w:val="5"/>
                <w:szCs w:val="5"/>
                <w:color w:val="auto"/>
                <w:w w:val="70"/>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(208)</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742</w:t>
            </w:r>
          </w:p>
        </w:tc>
        <w:tc>
          <w:tcPr>
            <w:tcW w:w="100" w:type="dxa"/>
            <w:vAlign w:val="bottom"/>
          </w:tcPr>
          <w:p>
            <w:pPr>
              <w:spacing w:after="0"/>
              <w:rPr>
                <w:sz w:val="14"/>
                <w:szCs w:val="14"/>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260" w:type="dxa"/>
            <w:vAlign w:val="bottom"/>
          </w:tcPr>
          <w:p>
            <w:pPr>
              <w:ind w:left="1140"/>
              <w:spacing w:after="0"/>
              <w:rPr>
                <w:sz w:val="20"/>
                <w:szCs w:val="20"/>
                <w:color w:val="auto"/>
              </w:rPr>
            </w:pPr>
            <w:r>
              <w:rPr>
                <w:rFonts w:ascii="Arial" w:cs="Arial" w:eastAsia="Arial" w:hAnsi="Arial"/>
                <w:sz w:val="14"/>
                <w:szCs w:val="14"/>
                <w:color w:val="auto"/>
                <w:w w:val="71"/>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FINANCING ACTIVITIES</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ind w:left="220"/>
              <w:spacing w:after="0" w:line="149" w:lineRule="exact"/>
              <w:rPr>
                <w:sz w:val="20"/>
                <w:szCs w:val="20"/>
                <w:color w:val="auto"/>
              </w:rPr>
            </w:pPr>
            <w:r>
              <w:rPr>
                <w:rFonts w:ascii="Arial" w:cs="Arial" w:eastAsia="Arial" w:hAnsi="Arial"/>
                <w:sz w:val="14"/>
                <w:szCs w:val="14"/>
                <w:color w:val="auto"/>
              </w:rPr>
              <w:t>Proceeds from borrowings</w:t>
            </w:r>
          </w:p>
        </w:tc>
        <w:tc>
          <w:tcPr>
            <w:tcW w:w="76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ind w:left="114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Retirements and repayments of debt</w:t>
            </w:r>
          </w:p>
        </w:tc>
        <w:tc>
          <w:tcPr>
            <w:tcW w:w="7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ind w:left="220"/>
              <w:spacing w:after="0" w:line="149" w:lineRule="exact"/>
              <w:rPr>
                <w:sz w:val="20"/>
                <w:szCs w:val="20"/>
                <w:color w:val="auto"/>
              </w:rPr>
            </w:pPr>
            <w:r>
              <w:rPr>
                <w:rFonts w:ascii="Arial" w:cs="Arial" w:eastAsia="Arial" w:hAnsi="Arial"/>
                <w:sz w:val="14"/>
                <w:szCs w:val="14"/>
                <w:color w:val="auto"/>
              </w:rPr>
              <w:t>Issuances of common stock</w:t>
            </w:r>
          </w:p>
        </w:tc>
        <w:tc>
          <w:tcPr>
            <w:tcW w:w="7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tcPr>
          <w:p>
            <w:pPr>
              <w:ind w:left="114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ind w:left="220"/>
              <w:spacing w:after="0" w:line="149" w:lineRule="exact"/>
              <w:rPr>
                <w:sz w:val="20"/>
                <w:szCs w:val="20"/>
                <w:color w:val="auto"/>
              </w:rPr>
            </w:pPr>
            <w:r>
              <w:rPr>
                <w:rFonts w:ascii="Arial" w:cs="Arial" w:eastAsia="Arial" w:hAnsi="Arial"/>
                <w:sz w:val="14"/>
                <w:szCs w:val="14"/>
                <w:color w:val="auto"/>
              </w:rPr>
              <w:t>Repurchases of common stock</w:t>
            </w:r>
          </w:p>
        </w:tc>
        <w:tc>
          <w:tcPr>
            <w:tcW w:w="7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Other</w:t>
            </w:r>
          </w:p>
        </w:tc>
        <w:tc>
          <w:tcPr>
            <w:tcW w:w="7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60" w:type="dxa"/>
            <w:vAlign w:val="bottom"/>
          </w:tcPr>
          <w:p>
            <w:pPr>
              <w:ind w:left="114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Net cash (used in) provided by</w:t>
            </w: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ind w:left="360"/>
              <w:spacing w:after="0" w:line="159" w:lineRule="exact"/>
              <w:rPr>
                <w:sz w:val="20"/>
                <w:szCs w:val="20"/>
                <w:color w:val="auto"/>
              </w:rPr>
            </w:pPr>
            <w:r>
              <w:rPr>
                <w:rFonts w:ascii="Arial" w:cs="Arial" w:eastAsia="Arial" w:hAnsi="Arial"/>
                <w:sz w:val="14"/>
                <w:szCs w:val="14"/>
                <w:color w:val="auto"/>
              </w:rPr>
              <w:t>financing activities</w:t>
            </w: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ind w:left="114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Arial" w:cs="Arial" w:eastAsia="Arial" w:hAnsi="Arial"/>
                <w:sz w:val="14"/>
                <w:szCs w:val="14"/>
                <w:color w:val="auto"/>
              </w:rPr>
              <w:t>INVESTING ACTIVITIES</w:t>
            </w:r>
          </w:p>
        </w:tc>
        <w:tc>
          <w:tcPr>
            <w:tcW w:w="7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vMerge w:val="continue"/>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transactions with affiliates</w:t>
            </w: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(472)</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Capital expenditures</w:t>
            </w:r>
          </w:p>
        </w:tc>
        <w:tc>
          <w:tcPr>
            <w:tcW w:w="76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(828)</w:t>
            </w:r>
          </w:p>
        </w:tc>
        <w:tc>
          <w:tcPr>
            <w:tcW w:w="200" w:type="dxa"/>
            <w:vAlign w:val="bottom"/>
          </w:tcPr>
          <w:p>
            <w:pPr>
              <w:spacing w:after="0"/>
              <w:rPr>
                <w:sz w:val="12"/>
                <w:szCs w:val="12"/>
                <w:color w:val="auto"/>
              </w:rPr>
            </w:pPr>
          </w:p>
        </w:tc>
        <w:tc>
          <w:tcPr>
            <w:tcW w:w="1260" w:type="dxa"/>
            <w:vAlign w:val="bottom"/>
          </w:tcPr>
          <w:p>
            <w:pPr>
              <w:ind w:left="114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sales of investments</w:t>
            </w:r>
          </w:p>
        </w:tc>
        <w:tc>
          <w:tcPr>
            <w:tcW w:w="7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760" w:type="dxa"/>
            <w:vAlign w:val="bottom"/>
          </w:tcPr>
          <w:p>
            <w:pPr>
              <w:spacing w:after="0"/>
              <w:rPr>
                <w:sz w:val="12"/>
                <w:szCs w:val="12"/>
                <w:color w:val="auto"/>
              </w:rPr>
            </w:pP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w:t>
            </w:r>
          </w:p>
        </w:tc>
        <w:tc>
          <w:tcPr>
            <w:tcW w:w="200" w:type="dxa"/>
            <w:vAlign w:val="bottom"/>
          </w:tcPr>
          <w:p>
            <w:pPr>
              <w:spacing w:after="0"/>
              <w:rPr>
                <w:sz w:val="12"/>
                <w:szCs w:val="12"/>
                <w:color w:val="auto"/>
              </w:rPr>
            </w:pPr>
          </w:p>
        </w:tc>
        <w:tc>
          <w:tcPr>
            <w:tcW w:w="1260" w:type="dxa"/>
            <w:vAlign w:val="bottom"/>
          </w:tcPr>
          <w:p>
            <w:pPr>
              <w:ind w:left="114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Acquisitions, net of cash acquired</w:t>
            </w:r>
          </w:p>
        </w:tc>
        <w:tc>
          <w:tcPr>
            <w:tcW w:w="7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w:t>
            </w: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Pr>
          <w:p>
            <w:pPr>
              <w:spacing w:after="0" w:line="138" w:lineRule="exact"/>
              <w:rPr>
                <w:sz w:val="20"/>
                <w:szCs w:val="20"/>
                <w:color w:val="auto"/>
              </w:rPr>
            </w:pPr>
            <w:r>
              <w:rPr>
                <w:rFonts w:ascii="Arial" w:cs="Arial" w:eastAsia="Arial" w:hAnsi="Arial"/>
                <w:sz w:val="14"/>
                <w:szCs w:val="14"/>
                <w:color w:val="auto"/>
              </w:rPr>
              <w:t>Additions to intangible and other</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Pr>
          <w:p>
            <w:pPr>
              <w:ind w:left="120"/>
              <w:spacing w:after="0" w:line="159" w:lineRule="exact"/>
              <w:rPr>
                <w:sz w:val="20"/>
                <w:szCs w:val="20"/>
                <w:color w:val="auto"/>
              </w:rPr>
            </w:pPr>
            <w:r>
              <w:rPr>
                <w:rFonts w:ascii="Arial" w:cs="Arial" w:eastAsia="Arial" w:hAnsi="Arial"/>
                <w:sz w:val="14"/>
                <w:szCs w:val="14"/>
                <w:color w:val="auto"/>
              </w:rPr>
              <w:t>noncurrent assets</w:t>
            </w:r>
          </w:p>
        </w:tc>
        <w:tc>
          <w:tcPr>
            <w:tcW w:w="760" w:type="dxa"/>
            <w:vAlign w:val="bottom"/>
          </w:tcPr>
          <w:p>
            <w:pPr>
              <w:spacing w:after="0"/>
              <w:rPr>
                <w:sz w:val="13"/>
                <w:szCs w:val="13"/>
                <w:color w:val="auto"/>
              </w:rPr>
            </w:pPr>
          </w:p>
        </w:tc>
        <w:tc>
          <w:tcPr>
            <w:tcW w:w="3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85"/>
              </w:rPr>
              <w:t>(250)</w:t>
            </w:r>
          </w:p>
        </w:tc>
        <w:tc>
          <w:tcPr>
            <w:tcW w:w="14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(55)</w:t>
            </w:r>
          </w:p>
        </w:tc>
        <w:tc>
          <w:tcPr>
            <w:tcW w:w="200" w:type="dxa"/>
            <w:vAlign w:val="bottom"/>
          </w:tcPr>
          <w:p>
            <w:pPr>
              <w:spacing w:after="0"/>
              <w:rPr>
                <w:sz w:val="13"/>
                <w:szCs w:val="13"/>
                <w:color w:val="auto"/>
              </w:rPr>
            </w:pPr>
          </w:p>
        </w:tc>
        <w:tc>
          <w:tcPr>
            <w:tcW w:w="1260" w:type="dxa"/>
            <w:vAlign w:val="bottom"/>
          </w:tcPr>
          <w:p>
            <w:pPr>
              <w:ind w:left="114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Proceeds from sales of short-term</w:t>
            </w: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ind w:left="120"/>
              <w:spacing w:after="0" w:line="159" w:lineRule="exact"/>
              <w:rPr>
                <w:sz w:val="20"/>
                <w:szCs w:val="20"/>
                <w:color w:val="auto"/>
              </w:rPr>
            </w:pPr>
            <w:r>
              <w:rPr>
                <w:rFonts w:ascii="Arial" w:cs="Arial" w:eastAsia="Arial" w:hAnsi="Arial"/>
                <w:sz w:val="14"/>
                <w:szCs w:val="14"/>
                <w:color w:val="auto"/>
              </w:rPr>
              <w:t>investments, net</w:t>
            </w:r>
          </w:p>
        </w:tc>
        <w:tc>
          <w:tcPr>
            <w:tcW w:w="7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ind w:left="114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Pr>
          <w:p>
            <w:pPr>
              <w:spacing w:after="0" w:line="138" w:lineRule="exact"/>
              <w:rPr>
                <w:sz w:val="20"/>
                <w:szCs w:val="20"/>
                <w:color w:val="auto"/>
              </w:rPr>
            </w:pPr>
            <w:r>
              <w:rPr>
                <w:rFonts w:ascii="Arial" w:cs="Arial" w:eastAsia="Arial" w:hAnsi="Arial"/>
                <w:sz w:val="14"/>
                <w:szCs w:val="14"/>
                <w:color w:val="auto"/>
              </w:rPr>
              <w:t>Proceeds from settlement of contract of</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acquired company</w:t>
            </w:r>
          </w:p>
        </w:tc>
        <w:tc>
          <w:tcPr>
            <w:tcW w:w="76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ind w:left="114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Net cash (used in) provided by</w:t>
            </w: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ind w:left="360"/>
              <w:spacing w:after="0" w:line="159" w:lineRule="exact"/>
              <w:rPr>
                <w:sz w:val="20"/>
                <w:szCs w:val="20"/>
                <w:color w:val="auto"/>
              </w:rPr>
            </w:pPr>
            <w:r>
              <w:rPr>
                <w:rFonts w:ascii="Arial" w:cs="Arial" w:eastAsia="Arial" w:hAnsi="Arial"/>
                <w:sz w:val="14"/>
                <w:szCs w:val="14"/>
                <w:color w:val="auto"/>
              </w:rPr>
              <w:t>investing activities</w:t>
            </w:r>
          </w:p>
        </w:tc>
        <w:tc>
          <w:tcPr>
            <w:tcW w:w="7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(89)</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(1,420)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ind w:left="114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(1,198)</w:t>
            </w: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Arial" w:cs="Arial" w:eastAsia="Arial" w:hAnsi="Arial"/>
                <w:sz w:val="14"/>
                <w:szCs w:val="14"/>
                <w:color w:val="auto"/>
              </w:rPr>
              <w:t>(DECREASE) INCREASE IN CASH</w:t>
            </w:r>
          </w:p>
        </w:tc>
        <w:tc>
          <w:tcPr>
            <w:tcW w:w="7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120" w:type="dxa"/>
            <w:vAlign w:val="bottom"/>
            <w:gridSpan w:val="2"/>
            <w:vMerge w:val="continue"/>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Pr>
          <w:p>
            <w:pPr>
              <w:ind w:left="120"/>
              <w:spacing w:after="0" w:line="159" w:lineRule="exact"/>
              <w:rPr>
                <w:sz w:val="20"/>
                <w:szCs w:val="20"/>
                <w:color w:val="auto"/>
              </w:rPr>
            </w:pPr>
            <w:r>
              <w:rPr>
                <w:rFonts w:ascii="Arial" w:cs="Arial" w:eastAsia="Arial" w:hAnsi="Arial"/>
                <w:sz w:val="14"/>
                <w:szCs w:val="14"/>
                <w:color w:val="auto"/>
              </w:rPr>
              <w:t>AND CASH EQUIVALENTS</w:t>
            </w:r>
          </w:p>
        </w:tc>
        <w:tc>
          <w:tcPr>
            <w:tcW w:w="760" w:type="dxa"/>
            <w:vAlign w:val="bottom"/>
          </w:tcPr>
          <w:p>
            <w:pPr>
              <w:spacing w:after="0"/>
              <w:rPr>
                <w:sz w:val="13"/>
                <w:szCs w:val="13"/>
                <w:color w:val="auto"/>
              </w:rPr>
            </w:pPr>
          </w:p>
        </w:tc>
        <w:tc>
          <w:tcPr>
            <w:tcW w:w="260" w:type="dxa"/>
            <w:vAlign w:val="bottom"/>
          </w:tcPr>
          <w:p>
            <w:pPr>
              <w:jc w:val="right"/>
              <w:spacing w:after="0" w:line="15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(688)</w:t>
            </w:r>
          </w:p>
        </w:tc>
        <w:tc>
          <w:tcPr>
            <w:tcW w:w="200" w:type="dxa"/>
            <w:vAlign w:val="bottom"/>
          </w:tcPr>
          <w:p>
            <w:pPr>
              <w:spacing w:after="0"/>
              <w:rPr>
                <w:sz w:val="13"/>
                <w:szCs w:val="13"/>
                <w:color w:val="auto"/>
              </w:rPr>
            </w:pPr>
          </w:p>
        </w:tc>
        <w:tc>
          <w:tcPr>
            <w:tcW w:w="1260" w:type="dxa"/>
            <w:vAlign w:val="bottom"/>
          </w:tcPr>
          <w:p>
            <w:pPr>
              <w:ind w:left="114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0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CASH AND CASH EQUIVALENTS,</w:t>
            </w: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00" w:type="dxa"/>
            <w:vAlign w:val="bottom"/>
            <w:tcBorders>
              <w:right w:val="single" w:sz="8" w:color="CCEEFF"/>
            </w:tcBorders>
            <w:shd w:val="clear" w:color="auto" w:fill="CCEEFF"/>
          </w:tcPr>
          <w:p>
            <w:pPr>
              <w:ind w:left="120"/>
              <w:spacing w:after="0" w:line="159" w:lineRule="exact"/>
              <w:rPr>
                <w:sz w:val="20"/>
                <w:szCs w:val="20"/>
                <w:color w:val="auto"/>
              </w:rPr>
            </w:pPr>
            <w:r>
              <w:rPr>
                <w:rFonts w:ascii="Arial" w:cs="Arial" w:eastAsia="Arial" w:hAnsi="Arial"/>
                <w:sz w:val="14"/>
                <w:szCs w:val="14"/>
                <w:color w:val="auto"/>
              </w:rPr>
              <w:t>beginning of period</w:t>
            </w:r>
          </w:p>
        </w:tc>
        <w:tc>
          <w:tcPr>
            <w:tcW w:w="7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1,550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ind w:left="1140"/>
              <w:spacing w:after="0" w:line="159" w:lineRule="exact"/>
              <w:rPr>
                <w:sz w:val="20"/>
                <w:szCs w:val="20"/>
                <w:color w:val="auto"/>
              </w:rPr>
            </w:pPr>
            <w:r>
              <w:rPr>
                <w:rFonts w:ascii="Arial" w:cs="Arial" w:eastAsia="Arial" w:hAnsi="Arial"/>
                <w:sz w:val="14"/>
                <w:szCs w:val="14"/>
                <w:color w:val="auto"/>
                <w:w w:val="71"/>
              </w:rPr>
              <w:t>—</w:t>
            </w:r>
          </w:p>
        </w:tc>
        <w:tc>
          <w:tcPr>
            <w:tcW w:w="1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1,550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12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w:t>
            </w:r>
          </w:p>
        </w:tc>
        <w:tc>
          <w:tcPr>
            <w:tcW w:w="7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120" w:type="dxa"/>
            <w:vAlign w:val="bottom"/>
            <w:gridSpan w:val="2"/>
            <w:vMerge w:val="continue"/>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120"/>
              <w:spacing w:after="0"/>
              <w:rPr>
                <w:sz w:val="20"/>
                <w:szCs w:val="20"/>
                <w:color w:val="auto"/>
              </w:rPr>
            </w:pPr>
            <w:r>
              <w:rPr>
                <w:rFonts w:ascii="Arial" w:cs="Arial" w:eastAsia="Arial" w:hAnsi="Arial"/>
                <w:sz w:val="14"/>
                <w:szCs w:val="14"/>
                <w:color w:val="auto"/>
              </w:rPr>
              <w:t>end of period</w:t>
            </w:r>
          </w:p>
        </w:tc>
        <w:tc>
          <w:tcPr>
            <w:tcW w:w="760" w:type="dxa"/>
            <w:vAlign w:val="bottom"/>
          </w:tcPr>
          <w:p>
            <w:pPr>
              <w:jc w:val="right"/>
              <w:ind w:right="675"/>
              <w:spacing w:after="0"/>
              <w:rPr>
                <w:sz w:val="20"/>
                <w:szCs w:val="20"/>
                <w:color w:val="auto"/>
              </w:rPr>
            </w:pPr>
            <w:r>
              <w:rPr>
                <w:rFonts w:ascii="Arial" w:cs="Arial" w:eastAsia="Arial" w:hAnsi="Arial"/>
                <w:sz w:val="5"/>
                <w:szCs w:val="5"/>
                <w:color w:val="auto"/>
                <w:w w:val="70"/>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14"/>
                <w:szCs w:val="14"/>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260" w:type="dxa"/>
            <w:vAlign w:val="bottom"/>
          </w:tcPr>
          <w:p>
            <w:pPr>
              <w:ind w:left="1140"/>
              <w:spacing w:after="0"/>
              <w:rPr>
                <w:sz w:val="20"/>
                <w:szCs w:val="20"/>
                <w:color w:val="auto"/>
              </w:rPr>
            </w:pPr>
            <w:r>
              <w:rPr>
                <w:rFonts w:ascii="Arial" w:cs="Arial" w:eastAsia="Arial" w:hAnsi="Arial"/>
                <w:sz w:val="14"/>
                <w:szCs w:val="14"/>
                <w:color w:val="auto"/>
                <w:w w:val="71"/>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-4036060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-4036060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-4036060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-4036060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-4036060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-4036060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-4036060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-4036060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-4036060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-4036060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-4036060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-4036060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-4036060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-4036060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-3599180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-3599180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-3599180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-3599180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-3599180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-3599180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-3599180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-3599180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-3599180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-3599180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-3599180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-3599180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-3599180</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-3599180</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-2878455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-2878455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-2878455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-2878455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-2878455</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-2878455</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-2878455</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-2878455</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-2878455</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-2878455</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-2878455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-2878455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-2878455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-2878455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-2535555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-2535555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-2535555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-2535555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-2535555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-2535555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-2535555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-2535555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-2535555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-2535555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-2535555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-2535555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-2535555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-2535555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-1249045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-1249045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-1249045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-1249045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-1249045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-1249045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-1249045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-1249045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-1249045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-1249045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-1249045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-1249045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-1249045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-1249045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-906145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-906145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-906145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-906145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-906145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-906145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-906145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-906145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-906145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-906145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-906145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-906145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-906145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-906145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-374650</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-374650</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-374650</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-374650</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-374650</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-374650</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-374650</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-374650</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-374650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-374650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-374650</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-374650</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-374650</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-374650</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 ENDED MARCH 31, 2005</w:t>
      </w:r>
    </w:p>
    <w:p>
      <w:pPr>
        <w:spacing w:after="0" w:line="200" w:lineRule="exact"/>
        <w:rPr>
          <w:sz w:val="20"/>
          <w:szCs w:val="20"/>
          <w:color w:val="auto"/>
        </w:rPr>
      </w:pP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are principally involved in the management and operation of broadband communications networks (our cable segment) and in the management of programming content that is distributed over national cable television networks (our content segment). During the first quarter of 2005, we received over 95% of our revenue from our cable segment, primarily through monthly subscriptions to our video, high-speed Internet and phone services, as well as from advertising. Subscribers typically pay us monthly, based on rates and related charges that vary according to their chosen level of service and the type of equipment they use. Revenue from our content segment is derived from the sale of advertising time and affiliation agreements with cable and satellite television companies.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first quarter of 2005 include the following:</w:t>
      </w:r>
    </w:p>
    <w:p>
      <w:pPr>
        <w:spacing w:after="0" w:line="239" w:lineRule="exact"/>
        <w:rPr>
          <w:sz w:val="20"/>
          <w:szCs w:val="20"/>
          <w:color w:val="auto"/>
        </w:rPr>
      </w:pPr>
    </w:p>
    <w:p>
      <w:pPr>
        <w:ind w:left="1080" w:right="8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revenue growth of 9.8% and operating income before depreciation and amortization growth of 16.1% in our cable segment compared to the same quarter in 2004, driven by continued growth in our digital cable and high-speed Internet services and rate increases in our video services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repurchases of approximately 9.4 million shares of our Class A Special common stock pursuant to our Board-authorized share repurchase program</w:t>
      </w:r>
    </w:p>
    <w:p>
      <w:pPr>
        <w:spacing w:after="0" w:line="26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provides the details of these highlights and insights into our financial statements, including discussion of our results of operations and our liquidity and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Developments</w:t>
      </w:r>
    </w:p>
    <w:p>
      <w:pPr>
        <w:spacing w:after="0" w:line="2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April 20, 2005, we and Time Warner reached definitive agreements to acquire substantially all the assets of Adelphia Communications Corporation for a total of $12.7 billion in cash and 16% of the common stock of Time Warner's cable subsidiary, Time Warner Cable Inc. ("TWC"). We also will exchange certain of our cable systems with TWC for certain TWC cable systems. In addition, TWC will redeem our 17.9% interest in TWC and Time Warner Entertainment Company, L.P. ("TWE") will redeem our 4.7% interest in TWE (together an effective 21% economic ownership of TWC). As a result of these transactions, we will add approximately 1.8 million basic subscribers for a net cash investment of approximately $1.5 billion. Following these transactions, we will serve a total of approximately 23.3 million basic subscribers. These transactions are subject to customary regulatory review and approvals, including Hart-Scott-Rodino, Federal Communications Commission and local franchise approvals, as well as the Adelphia bankruptcy process, which involves approvals by the bankruptcy court having jurisdiction of Adelphia's Chapter 11 case and Adelphia's creditors. Closing is expected to occur in the first or second quarter of 2006.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to our condensed financial statements included in Item 1 for a discussion of our acquisitions and other significant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April 8, 2005, we completed the previously announced transaction with a consortium of investors to acquire Metro-Goldwyn-Mayer,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3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preparation of financial statements in accordance with generally accepted accounting principles requires us to make judgments and estimates that affect the reported amounts of assets, liabilities, revenue and expenses, as well as the disclosure of contingent assets and liabilities. We base our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MARCH 31, 2005</w:t>
      </w:r>
    </w:p>
    <w:p>
      <w:pPr>
        <w:spacing w:after="0" w:line="21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estimates and judgments on historical experience and other factors that are believed to be reasonable under the circumstances. Actual results may differ from these estimates under different assumptions or conditions.</w:t>
      </w:r>
    </w:p>
    <w:p>
      <w:pPr>
        <w:spacing w:after="0" w:line="18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For a discussion of the critical accounting judgments and estimates we identified that we believe require significant judgment in the preparation of our consolidated financial statements, please refer to our 2004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Consolidated revenues for the first quarter of 2005 increased $455 million, or 9.3%, from the same quarter in 2004. Of this increase, $456 million relates to our cable segment and $37 million relates to our content segment, which are discussed separately below. The remaining changes relate to our other business activities, primarily Comcast-Spectacor, whose revenues were negatively affected by the National Hockey League ("NHL") lockout.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selling, general and administrative expenses</w:t>
      </w:r>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Consolidated operating, selling, general and administrative expenses for the first quarter of 2005 increased $158 million, or 5.0%, from the same quarter in 2004. Of this increase, $180 million relates to our cable segment and $29 million relates to our content segment, which are discussed separately below. The remaining changes relate to our other business activities, primarily Comcast-Spectacor, whose operating expenses were positively affected by the NHL lockout.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Depreciation expense for the first quarter of 2005 increased $76 million, or 9.5%, from the same quarter in 2004. The increase is primarily attributable to our cable segment and is principally due to our recent capital expenditures.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Amortization expense for the first quarter of 2005 increased $14 million, or 5.1%, from the same quarter in 2004, primarily as a result of recognizing as an expense of the current period $20 million of the purchase price allocated to acquired in-process research and development from our transaction with Motorola. The acquired in-process research and development was immediately expensed since the related technology had not reached technological feasibility as of the transaction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128270</wp:posOffset>
            </wp:positionV>
            <wp:extent cx="1050290" cy="215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23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Operating income before depreciation and amortization is the primary basis we use to measure the operational strength and performance of our segments. Operating income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1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Because we use operating income before depreciation and amortization as the measure of our segment profit or loss, we reconcile it to operating income, the most directly comparable financial measure calculated and presented in accordance with Generally Accepted Accounting Principles ("GAAP"), in the business segment footnote to our condensed consolidated financial statements. This measure should not be considered a substitute for operating income (loss), net income (loss), net cash provided by operating activities or other measures of performance or liquidity reported in accordance with GAAP.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All percentages are calculated based on actual amounts. Minor differences may exist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cable segment operating results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9"/>
              </w:rPr>
              <w:t>Increase/(Decrease)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1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jc w:val="right"/>
              <w:ind w:right="29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Video</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High-speed Internet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Phone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Advertising sales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Franchise fees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040" w:type="dxa"/>
            <w:vAlign w:val="bottom"/>
            <w:gridSpan w:val="2"/>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040" w:type="dxa"/>
            <w:vAlign w:val="bottom"/>
            <w:gridSpan w:val="2"/>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1,995</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-2115185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-2115185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-2115185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-2115185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-1866900</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-1866900</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-1866900</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-1866900</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-1866900</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-1866900</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-1866900</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-1866900</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-889000</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-889000</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-889000</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-889000</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-889000</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-889000</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-323215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-323215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-323215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-323215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 presents our subscriber and monthly average revenue statistics on a pro forma basis. The pro forma adjustments reflect the addition of approximately 90,000 subscribers acquired in various small acquisitions between March 2004 and March 2005. The impact of these acquisitions on our segment operating results was not material (subscribers in thousands).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5"/>
          </w:tcPr>
          <w:p>
            <w:pPr>
              <w:jc w:val="center"/>
              <w:ind w:left="501"/>
              <w:spacing w:after="0"/>
              <w:rPr>
                <w:sz w:val="20"/>
                <w:szCs w:val="20"/>
                <w:color w:val="auto"/>
              </w:rPr>
            </w:pPr>
            <w:r>
              <w:rPr>
                <w:rFonts w:ascii="Arial" w:cs="Arial" w:eastAsia="Arial" w:hAnsi="Arial"/>
                <w:sz w:val="14"/>
                <w:szCs w:val="14"/>
                <w:b w:val="1"/>
                <w:bCs w:val="1"/>
                <w:color w:val="auto"/>
                <w:w w:val="92"/>
              </w:rPr>
              <w:t>March 31,</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89"/>
              </w:rPr>
              <w:t>Increase/(Decrease)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41"/>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97"/>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2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jc w:val="right"/>
              <w:ind w:right="19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Video subscribers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21,525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21,581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High-speed Internet subscribers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7,408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5,680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1,728</w:t>
            </w:r>
          </w:p>
        </w:tc>
        <w:tc>
          <w:tcPr>
            <w:tcW w:w="220" w:type="dxa"/>
            <w:vAlign w:val="bottom"/>
          </w:tcPr>
          <w:p>
            <w:pPr>
              <w:spacing w:after="0"/>
              <w:rPr>
                <w:sz w:val="18"/>
                <w:szCs w:val="18"/>
                <w:color w:val="auto"/>
              </w:rPr>
            </w:pPr>
          </w:p>
        </w:tc>
        <w:tc>
          <w:tcPr>
            <w:tcW w:w="960" w:type="dxa"/>
            <w:vAlign w:val="bottom"/>
            <w:gridSpan w:val="4"/>
          </w:tcPr>
          <w:p>
            <w:pPr>
              <w:jc w:val="right"/>
              <w:ind w:right="240"/>
              <w:spacing w:after="0"/>
              <w:rPr>
                <w:sz w:val="20"/>
                <w:szCs w:val="20"/>
                <w:color w:val="auto"/>
              </w:rPr>
            </w:pPr>
            <w:r>
              <w:rPr>
                <w:rFonts w:ascii="Arial" w:cs="Arial" w:eastAsia="Arial" w:hAnsi="Arial"/>
                <w:sz w:val="18"/>
                <w:szCs w:val="18"/>
                <w:color w:val="auto"/>
              </w:rPr>
              <w:t>30.4 %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Phone subscribers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gridSpan w:val="8"/>
          </w:tcPr>
          <w:p>
            <w:pPr>
              <w:jc w:val="center"/>
              <w:ind w:right="400"/>
              <w:spacing w:after="0" w:line="136" w:lineRule="exact"/>
              <w:rPr>
                <w:sz w:val="20"/>
                <w:szCs w:val="20"/>
                <w:color w:val="auto"/>
              </w:rPr>
            </w:pPr>
            <w:r>
              <w:rPr>
                <w:rFonts w:ascii="Arial" w:cs="Arial" w:eastAsia="Arial" w:hAnsi="Arial"/>
                <w:sz w:val="14"/>
                <w:szCs w:val="14"/>
                <w:b w:val="1"/>
                <w:bCs w:val="1"/>
                <w:color w:val="auto"/>
                <w:w w:val="89"/>
              </w:rPr>
              <w:t>Three Months Ended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5"/>
          </w:tcPr>
          <w:p>
            <w:pPr>
              <w:jc w:val="center"/>
              <w:ind w:left="461"/>
              <w:spacing w:after="0"/>
              <w:rPr>
                <w:sz w:val="20"/>
                <w:szCs w:val="20"/>
                <w:color w:val="auto"/>
              </w:rPr>
            </w:pPr>
            <w:r>
              <w:rPr>
                <w:rFonts w:ascii="Arial" w:cs="Arial" w:eastAsia="Arial" w:hAnsi="Arial"/>
                <w:sz w:val="14"/>
                <w:szCs w:val="14"/>
                <w:b w:val="1"/>
                <w:bCs w:val="1"/>
                <w:color w:val="auto"/>
                <w:w w:val="92"/>
              </w:rPr>
              <w:t>March 31,</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Increase/(Decrease)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257"/>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jc w:val="right"/>
              <w:ind w:right="1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gridSpan w:val="2"/>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Monthly average video revenue per video subscriber</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49.22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Monthly average high-speed Internet revenue per high-speed Internet subscriber</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42.81</w:t>
            </w:r>
          </w:p>
        </w:tc>
        <w:tc>
          <w:tcPr>
            <w:tcW w:w="1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42.44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0.37</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Monthly average phone revenue per phone subscriber</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47.34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(0.27)</w:t>
            </w: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-1832610</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-1832610</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-1832610</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-1832610</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-1583690</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-1583690</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-1583690</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-1583690</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-1583690</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-1583690</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-1583690</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-1583690</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-829310</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-829310</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-829310</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-829310</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-580390</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-580390</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-580390</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-580390</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-580390</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-580390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-580390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-580390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Video revenue consists of our basic, expanded basic, premium, pay-per-view and digital cable services, as well as equipment rentals. The increase in video revenue for the interim period from 2004 to 2005 is primarily due to subscriber growth in our digital video service and rate increases. From March 31, 2004, to March 31, 2005, we added approximately 998,000 digital subscribers, or a 12.7% increase in digital subscribers. We expect continued growth in our video revenue.</w:t>
      </w:r>
    </w:p>
    <w:p>
      <w:pPr>
        <w:spacing w:after="0" w:line="19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increase in high-speed Internet revenue for the interim period from 2004 to 2005 is primarily due to the addition of 1,728,000 high-speed Internet subscribers since March 31, 2004, or a 30.4% increase in high-speed Internet subscribers. We expect continued growth in our high-speed Internet revenue.</w:t>
      </w:r>
    </w:p>
    <w:p>
      <w:pPr>
        <w:spacing w:after="0" w:line="13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decrease in phone revenue for the interim period from 2004 to 2005 is primarily due to the decrease in the number of phone subscribers. We expect to add phone subscribers as we continue to launch our Comcast Digital Voice phone service.</w:t>
      </w:r>
    </w:p>
    <w:p>
      <w:pPr>
        <w:spacing w:after="0" w:line="18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increase in advertising sales revenue for the interim period from 2004 to 2005 is primarily due to the effects of growth in regional/national advertising as a result of the continuing success of our regional interconnects and a stronger local advertising market, offset, in part, by a decrease in political advertising during 2005. We expect continued growth in our advertising sales revenue.</w:t>
      </w:r>
    </w:p>
    <w:p>
      <w:pPr>
        <w:spacing w:after="0" w:line="19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Other revenue includes installation revenues, revenue from our regional sports and news networks, guide revenues, commissions from electronic retailing, revenue from commercial data services and revenue from other service offerings.</w:t>
      </w:r>
    </w:p>
    <w:p>
      <w:pPr>
        <w:spacing w:after="0" w:line="18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increase in franchise fees collected from our cable subscribers for the interim period from 2004 to 2005 is primarily attributable to the increase in our revenues upon which the fees apply.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Operating expenses increased $101 million for the interim period from 2004 to 2005 primarily as a result of growth in our high-speed Internet and digital cable services.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MARCH 31,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Selling, general and administrative expenses increased $79 million for the interim period from 2004 to 2005 primarily as a result of increases in marketing costs and the administrative costs associated with growth in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content segment operating results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182"/>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jc w:val="right"/>
              <w:ind w:right="97"/>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before 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-1000760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-1000760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-751840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-751840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-751840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-751840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-323215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-323215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-323215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content segment consists of the national networks E! Entertainment and Style Network, The Golf Channel, Outdoor Life Network, G4 and AZN Television (formerly known as International Channel).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content segment revenue increased $37 million, or 20.9%, for the first quarter of 2005 compared to the same period in 2004. The increase reflects increases in distribution and advertising revenue for all of the networks and the effects of the acquisitions of TechTV and AZN Television in May 2004 and July 2004,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Selling, General and Administrative Expenses</w:t>
      </w:r>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Operating, selling, general and administrative expenses increased $29 million, or 26.5%, for the first quarter of 2005 compared to the same period in 2004. Expenses increased in the 2005 interim period as a result of higher development and marketing expenses for signature events and other original programming in all of our networks, as well as due to the effects of the acquisitions of TechTV and AZN Television in May 2004 and July 2004,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(Expense) Items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decrease in interest expense for the interim period from 2004 to 2005 is primarily due to the effects of the write-off in 2004 of unamortized debt issue costs to interest expense in connection with the refinancing of our previously-existing revolving credit facilities, the effects of the early redemption of a portion of the Comcast Exchangeable Notes and the early termination of certain of our interest rate swaps.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MARCH 31,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Loss,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loss, net for the interim periods includes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4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March 31,</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9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(Losses) gains on sales and exchanges of investments, net</w:t>
            </w:r>
          </w:p>
        </w:tc>
        <w:tc>
          <w:tcPr>
            <w:tcW w:w="7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trading securities</w:t>
            </w:r>
          </w:p>
        </w:tc>
        <w:tc>
          <w:tcPr>
            <w:tcW w:w="7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(177)</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Mark to market adjustments on derivatives related to trading securities</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Mark to market adjustments on derivatives</w:t>
            </w:r>
          </w:p>
        </w:tc>
        <w:tc>
          <w:tcPr>
            <w:tcW w:w="7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980" w:type="dxa"/>
            <w:vAlign w:val="bottom"/>
            <w:gridSpan w:val="2"/>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980" w:type="dxa"/>
            <w:vAlign w:val="bottom"/>
            <w:gridSpan w:val="2"/>
          </w:tcPr>
          <w:p>
            <w:pPr>
              <w:spacing w:after="0"/>
              <w:rPr>
                <w:sz w:val="20"/>
                <w:szCs w:val="20"/>
                <w:color w:val="auto"/>
              </w:rPr>
            </w:pPr>
            <w:r>
              <w:rPr>
                <w:rFonts w:ascii="Arial" w:cs="Arial" w:eastAsia="Arial" w:hAnsi="Arial"/>
                <w:sz w:val="18"/>
                <w:szCs w:val="18"/>
                <w:color w:val="auto"/>
              </w:rPr>
              <w:t>Investment loss, net</w:t>
            </w:r>
          </w:p>
        </w:tc>
        <w:tc>
          <w:tcPr>
            <w:tcW w:w="760" w:type="dxa"/>
            <w:vAlign w:val="bottom"/>
          </w:tcPr>
          <w:p>
            <w:pPr>
              <w:jc w:val="right"/>
              <w:ind w:right="608"/>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(36)</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96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-1412240</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-1412240</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-1163320</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-1163320</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-1163320</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-1163320</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-323215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-323215</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-323215</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loss on sales and exchanges of investments for the 2005 interim period consists principally of the $29 million loss on the conversion of Time Warner preferred stock into Time Warner common stock on March 31, 2005.</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entered into derivative financial instruments that we account for at fair value and which economically hedge the market price fluctuations in the common stock of most (as of March 31, 2005) of our investments accounted for as trading securities. The differences between the unrealized gains (losses) on trading securities and the mark-to-market adjustments on derivatives related to trading securities, as presented in the table above, result from one or more of the following:</w:t>
      </w:r>
    </w:p>
    <w:p>
      <w:pPr>
        <w:spacing w:after="0" w:line="211"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did not maintain an economic hedge for our entire investment in the security during some portion or for all of the period</w:t>
      </w:r>
    </w:p>
    <w:p>
      <w:pPr>
        <w:spacing w:after="0" w:line="25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security to which the derivative relates changed due to a corporate reorganization of the issuing company to a security with a different volatility rate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issuing company paid a new or an increased dividend to the shareholders of the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change in the time value component of the derivative value during the period</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mark-to-market adjustments on derivatives consist principally of the fair value adjustments related to the derivative component of the notes exchangeable into Comcast stock. We are exposed to changes in the fair value of this derivative since the underlying shares of Comcast Class A Special common stock that we hold in treasury are carried at our historical cost and not adjusted for changes in fair value. As of March 31, 2005, approximately 8.4 million shares of Comcast Class A Special common stock collateralized the outstanding Comcast exchangeable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The change in other income (expense) for the interim period from 2004 to 2005 is primarily due to a $170 million charge related to our portion of the settlement agreement related to certain litigation between AT&amp;T and At Home. Refer to Note 10 to our condensed consolidated financial statements included in Item 1 for a discussion of this litigation. This charge is partially offset by a $24 million gain on the exchange of one of our equity method investments and a $23 million gain recognized on the sale of certain assets under leveraged leases in the 2005 interim period.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 ENDED MARCH 31,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Our income tax expense differs from the statutory amount primarily due to a net benefit recognized in the 2005 interim period from adjustments to prior years' income tax provisions and the impact of certain charges recognized in the 2005 interim period for which no tax benefit has been recognized.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believe that we will be able to meet our current and long-term liquidity and capital requirements, including fixed charges, through our cash flows from operating activities, existing cash, cash equivalents and investments; through available borrowings under our existing credit facilities; and through our ability to obtain external financing.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Net cash provided by operating activities amounted to $1.332 billion for the three months ended March 31, 2005, due principally to our operating income before depreciation and amortization, the effects of interest and income tax payments, and changes in operating assets and liabilities.</w:t>
      </w:r>
    </w:p>
    <w:p>
      <w:pPr>
        <w:spacing w:after="0" w:line="13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the 2005 interim period, the net change in our operating assets and liabilities was $88 million, primarily attributable to decreases in our accounts receivable of $76 million, offset by a slight reduction in our accounts payable and accrued expenses related to trade creditors of $43 million and a net reduction in other operating assets and liabilities of $121 million. The reduction in other operating assets and liabilities is attributable to payments associated with liabilities recorded as part of the Broadband acquisition of $92 million, including a pension funding in the first quarter.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Net cash used in financing activities was $135 million for the three months ended March 31, 2005, and consisted principally of our net proceeds from borrowings of $113 million and repurchases of common stock of $326 million. During the 2005 interim period, our borrowings consisted of $225 million, net, under our commercial paper program, while our debt repayments consisted of $100 million under medium-term notes and $12 million under capital leases and other debt instruments.</w:t>
      </w:r>
    </w:p>
    <w:p>
      <w:pPr>
        <w:spacing w:after="0" w:line="19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open market repurchases of our outstanding public notes and debentures, depending on various factors, such as market conditions.</w:t>
      </w:r>
    </w:p>
    <w:p>
      <w:pPr>
        <w:spacing w:after="0" w:line="18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In June 2004, we entered into a commercial paper program to provide a lower-cost borrowing source of liquidity to fund our</w:t>
      </w:r>
      <w:r>
        <w:rPr>
          <w:rFonts w:ascii="Arial" w:cs="Arial" w:eastAsia="Arial" w:hAnsi="Arial"/>
          <w:sz w:val="18"/>
          <w:szCs w:val="18"/>
          <w:i w:val="1"/>
          <w:iCs w:val="1"/>
          <w:color w:val="auto"/>
        </w:rPr>
        <w:t xml:space="preserve"> </w:t>
      </w:r>
      <w:r>
        <w:rPr>
          <w:rFonts w:ascii="Arial" w:cs="Arial" w:eastAsia="Arial" w:hAnsi="Arial"/>
          <w:sz w:val="18"/>
          <w:szCs w:val="18"/>
          <w:color w:val="auto"/>
        </w:rPr>
        <w:t>short-term working capital requirements. The program allows for a maximum of $2.25 billion of commercial paper to be issued at any one time. Our revolving bank credit facility supports this program. As of March 31, 2005, amounts outstanding under the program totaled $545 million with a weighted average interest rate of 3.02%.</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Available Borrowings Under Credit Facilities. </w:t>
      </w:r>
      <w:r>
        <w:rPr>
          <w:rFonts w:ascii="Arial" w:cs="Arial" w:eastAsia="Arial" w:hAnsi="Arial"/>
          <w:sz w:val="18"/>
          <w:szCs w:val="18"/>
          <w:color w:val="auto"/>
        </w:rPr>
        <w:t>We have traditionally maintained significant availability under our lines of credit to meet our short-term liquidity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We have four lines of credit aggregating $4.872 billion and, as of March 31, 2005, amounts available under our lines of credit totaled $3.839 billion.</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Stock Repurchases. </w:t>
      </w:r>
      <w:r>
        <w:rPr>
          <w:rFonts w:ascii="Arial" w:cs="Arial" w:eastAsia="Arial" w:hAnsi="Arial"/>
          <w:sz w:val="18"/>
          <w:szCs w:val="18"/>
          <w:color w:val="auto"/>
        </w:rPr>
        <w:t>During the 2005 interim period, under our Board-authorized share repurchase program, we repurchased approximately 9.4 million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Class A Special common stock. On April 27, 2005, our Board of Directors authorized a $2 billion increase to our share repurchase program, increasing the maximum dollar value of shares that may yet be repurchased under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3" w:name="page34"/>
    <w:bookmarkEnd w:id="33"/>
    <w:p>
      <w:pPr>
        <w:jc w:val="center"/>
        <w:ind w:right="-5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 ENDED MARCH 31, 2005</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program to approximately $2.3 billion. We expect such repurchases to continue from time to time in the open market or in private transactions, subject to market conditions.</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Financing. </w:t>
      </w:r>
      <w:r>
        <w:rPr>
          <w:rFonts w:ascii="Arial" w:cs="Arial" w:eastAsia="Arial" w:hAnsi="Arial"/>
          <w:sz w:val="16"/>
          <w:szCs w:val="16"/>
          <w:color w:val="auto"/>
        </w:rPr>
        <w:t>As of March 31, 2005, and December 31, 2004, our debt, including capital lease obligations, was $23.172 billion and $23.592 billion,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The $420 million decrease from December 31, 2004, to March 31, 2005, results principally from the effects of the settlements of certain of our Exchangeable Notes, offset by our net debt borrowings during the three months ended March 31, 2005. Included in our debt as of March 31, 2005, and December 31, 2004, was current portion of long-term debt of $3.855 billion and $3.499 billion, respectively.</w:t>
      </w:r>
    </w:p>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Excluding the effects of interest rate risk management instruments, 6.1% and 5.8% of our total debt as of March 31, 2005, and December 31, 2004, respectively, was at variable 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$1.013 billion for the three months ended March 31, 2005, and consisted primarily of capital expenditures of</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$892 million and additions to intangible and other noncurrent assets of $180 million. Additions to intangibles and other noncurrent assets during the 2005 interim period primarily relate to multiple dwelling unit contracts of approximately $45 million, other licenses and software-related intangibles of approximately $60 million and additions to goodwill related to acquisitions of additional ownership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128905</wp:posOffset>
            </wp:positionV>
            <wp:extent cx="1050290" cy="215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 ENDED MARCH 31, 2005</w:t>
      </w:r>
    </w:p>
    <w:p>
      <w:pPr>
        <w:spacing w:after="0" w:line="2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to the information required under this Item from what was disclosed in our 2004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Conclusions regarding disclosure controls and procedures. </w:t>
      </w:r>
      <w:r>
        <w:rPr>
          <w:rFonts w:ascii="Arial" w:cs="Arial" w:eastAsia="Arial" w:hAnsi="Arial"/>
          <w:sz w:val="18"/>
          <w:szCs w:val="18"/>
          <w:color w:val="auto"/>
        </w:rPr>
        <w:t>Our chief executive officer and our co-chief financial officers, after evaluating the effectiveness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w:t>
      </w:r>
    </w:p>
    <w:p>
      <w:pPr>
        <w:spacing w:after="0" w:line="19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identified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required by paragraph (d) of Exchange Act Rules 13a-15 or 15d-15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Refer to Note 10 to our condensed financial statements included in Item 1 of this Quarterly Report on Form 10-Q for a discussion of recent developments related to our legal proceedings.</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repurchases during the quarter ended March 31, 2005, under our Board-authorized repurchase program is as follows: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PURCHASES OF EQUITY SECURITIES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Total Number of</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Maximum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4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 Dollars</w:t>
            </w:r>
          </w:p>
        </w:tc>
        <w:tc>
          <w:tcPr>
            <w:tcW w:w="140" w:type="dxa"/>
            <w:vAlign w:val="bottom"/>
          </w:tcPr>
          <w:p>
            <w:pPr>
              <w:spacing w:after="0"/>
              <w:rPr>
                <w:sz w:val="12"/>
                <w:szCs w:val="12"/>
                <w:color w:val="auto"/>
              </w:rPr>
            </w:pPr>
          </w:p>
        </w:tc>
        <w:tc>
          <w:tcPr>
            <w:tcW w:w="13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6"/>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8"/>
              </w:rPr>
              <w:t>Total 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4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140" w:type="dxa"/>
            <w:vAlign w:val="bottom"/>
          </w:tcPr>
          <w:p>
            <w:pPr>
              <w:spacing w:after="0"/>
              <w:rPr>
                <w:sz w:val="12"/>
                <w:szCs w:val="12"/>
                <w:color w:val="auto"/>
              </w:rPr>
            </w:pPr>
          </w:p>
        </w:tc>
        <w:tc>
          <w:tcPr>
            <w:tcW w:w="13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3"/>
              </w:rPr>
              <w:t>Yet Be Purchased</w:t>
            </w:r>
          </w:p>
        </w:tc>
        <w:tc>
          <w:tcPr>
            <w:tcW w:w="0" w:type="dxa"/>
            <w:vAlign w:val="bottom"/>
          </w:tcPr>
          <w:p>
            <w:pPr>
              <w:spacing w:after="0"/>
              <w:rPr>
                <w:sz w:val="1"/>
                <w:szCs w:val="1"/>
                <w:color w:val="auto"/>
              </w:rPr>
            </w:pPr>
          </w:p>
        </w:tc>
      </w:tr>
      <w:tr>
        <w:trPr>
          <w:trHeight w:val="174"/>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8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Shares Purchased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 Share</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Announced Program</w:t>
            </w:r>
          </w:p>
        </w:tc>
        <w:tc>
          <w:tcPr>
            <w:tcW w:w="14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the Program</w:t>
            </w:r>
          </w:p>
        </w:tc>
        <w:tc>
          <w:tcPr>
            <w:tcW w:w="140" w:type="dxa"/>
            <w:vAlign w:val="bottom"/>
          </w:tcPr>
          <w:p>
            <w:pPr>
              <w:spacing w:after="0"/>
              <w:rPr>
                <w:sz w:val="15"/>
                <w:szCs w:val="15"/>
                <w:color w:val="auto"/>
              </w:rPr>
            </w:pPr>
          </w:p>
        </w:tc>
        <w:tc>
          <w:tcPr>
            <w:tcW w:w="1380" w:type="dxa"/>
            <w:vAlign w:val="bottom"/>
          </w:tcPr>
          <w:p>
            <w:pPr>
              <w:jc w:val="center"/>
              <w:ind w:right="61"/>
              <w:spacing w:after="0"/>
              <w:rPr>
                <w:sz w:val="20"/>
                <w:szCs w:val="20"/>
                <w:color w:val="auto"/>
              </w:rPr>
            </w:pPr>
            <w:r>
              <w:rPr>
                <w:rFonts w:ascii="Arial" w:cs="Arial" w:eastAsia="Arial" w:hAnsi="Arial"/>
                <w:sz w:val="14"/>
                <w:szCs w:val="14"/>
                <w:b w:val="1"/>
                <w:bCs w:val="1"/>
                <w:color w:val="auto"/>
                <w:w w:val="88"/>
              </w:rPr>
              <w:t>Under the Program</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w w:val="91"/>
              </w:rPr>
              <w:t>January 1-31, 2005</w:t>
            </w: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370,063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80" w:type="dxa"/>
            <w:vAlign w:val="bottom"/>
            <w:tcBorders>
              <w:right w:val="single" w:sz="8" w:color="CCEEFF"/>
            </w:tcBorders>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6,400,140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639,675,327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w w:val="87"/>
              </w:rPr>
              <w:t>February 1-28, 2005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32.17</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32,167,665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607,507,662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March 1-31, 2005</w:t>
            </w:r>
          </w:p>
        </w:tc>
        <w:tc>
          <w:tcPr>
            <w:tcW w:w="1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8,257,511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80" w:type="dxa"/>
            <w:vAlign w:val="bottom"/>
            <w:tcBorders>
              <w:right w:val="single" w:sz="8" w:color="CCEEFF"/>
            </w:tcBorders>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8,164,195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264,836,112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342,671,550</w:t>
            </w:r>
          </w:p>
        </w:tc>
        <w:tc>
          <w:tcPr>
            <w:tcW w:w="0" w:type="dxa"/>
            <w:vAlign w:val="bottom"/>
          </w:tcPr>
          <w:p>
            <w:pPr>
              <w:spacing w:after="0"/>
              <w:rPr>
                <w:sz w:val="1"/>
                <w:szCs w:val="1"/>
                <w:color w:val="auto"/>
              </w:rPr>
            </w:pPr>
          </w:p>
        </w:tc>
      </w:tr>
      <w:tr>
        <w:trPr>
          <w:trHeight w:val="118"/>
        </w:trPr>
        <w:tc>
          <w:tcPr>
            <w:tcW w:w="14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9,627,574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32.42</w:t>
            </w:r>
          </w:p>
        </w:tc>
        <w:tc>
          <w:tcPr>
            <w:tcW w:w="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9,364,195</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303,403,917</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342,671,550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-889000</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-889000</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-889000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-889000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-889000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-889000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-889000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-889000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-889000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-889000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-889000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-323215</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980440</wp:posOffset>
            </wp:positionH>
            <wp:positionV relativeFrom="paragraph">
              <wp:posOffset>-323215</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-323215</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-323215</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-323215</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-323215</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-323215</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-323215</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-323215</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total number of shares purchased includes 263,379 shares received in the administration of employee equity compensation plans. On April 27, 2005, our Board of Directors authorized a $2 billion increase to our share repurchase program. The table above does not reflect this additional authorization.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5" w:name="page36"/>
    <w:bookmarkEnd w:id="35"/>
    <w:p>
      <w:pPr>
        <w:jc w:val="center"/>
        <w:ind w:right="-7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QUARTER ENDED MARCH 31, 2005</w:t>
      </w:r>
    </w:p>
    <w:p>
      <w:pPr>
        <w:spacing w:after="0" w:line="200" w:lineRule="exact"/>
        <w:rPr>
          <w:sz w:val="20"/>
          <w:szCs w:val="20"/>
          <w:color w:val="auto"/>
        </w:rPr>
      </w:pP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45"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Exhibits required to be filed by Item 601 of Regulation S-K:</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Certifications of Chief Executive Officer and Co-Chief Financial Officers pursuant to Section 302 of the Sarbanes-Oxley Act of 2002.</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Certifications of Chief Executive Officer and Co-Chief Financial Officers pursuant to Section 906 of the Sarbanes-Oxley Act of 2002.</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00" w:lineRule="exact"/>
        <w:rPr>
          <w:sz w:val="20"/>
          <w:szCs w:val="20"/>
          <w:color w:val="auto"/>
        </w:rPr>
      </w:pPr>
    </w:p>
    <w:p>
      <w:pPr>
        <w:spacing w:after="0" w:line="268" w:lineRule="exact"/>
        <w:rPr>
          <w:sz w:val="20"/>
          <w:szCs w:val="20"/>
          <w:color w:val="auto"/>
        </w:rPr>
      </w:pPr>
    </w:p>
    <w:p>
      <w:pPr>
        <w:ind w:left="1080" w:right="440" w:hanging="532"/>
        <w:spacing w:after="0" w:line="33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filed a Current Report on Form 8-K under Item 1.01 on January 6, 2005, announcing that the Compensation Committee of our Board of Directors approved an acceleration of the vesting of certain Class A Special common stock options held by current employees.</w:t>
      </w:r>
    </w:p>
    <w:p>
      <w:pPr>
        <w:spacing w:after="0" w:line="152"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filed a Current Report on Form 8-K under Item 1.01 on February 22, 2005, announcing that the Compensation Committee of our Board of Directors established 2005 performance targets under certain incentive compensation plans. We also announced an increase in the base salary of one of our executive officers.</w:t>
      </w:r>
    </w:p>
    <w:p>
      <w:pPr>
        <w:spacing w:after="0" w:line="207"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filed a Current Report on Form 8-K under Items 1.01 and 9.01 on March 11, 2005, announcing the filing of certain forms of grant document that will be used to evidence a stock option or restricted stock grant made to a named executive officer under the specified plan. We included the forms of grant document as exhibits 10.1, 10.2 and 10.3 to this Current Report.</w:t>
      </w:r>
    </w:p>
    <w:p>
      <w:pPr>
        <w:spacing w:after="0" w:line="221"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filed a Current Report on Form 8-K under Items 4.01 and 9.01 on March 25, 2005, announcing a change in certifying accountant for the Comcast-Spectacor 401(k) Plan. We included, as exhibit 16.1 to this Current Report, a letter from the predecessor accountant to the Securities and Exchange Commission that stated whether or not it agreed with our Item 4.01 statements.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6" w:name="page37"/>
    <w:bookmarkEnd w:id="36"/>
    <w:p>
      <w:pPr>
        <w:jc w:val="center"/>
        <w:ind w:right="-439"/>
        <w:spacing w:after="0"/>
        <w:rPr>
          <w:sz w:val="20"/>
          <w:szCs w:val="20"/>
          <w:color w:val="auto"/>
        </w:rPr>
      </w:pPr>
      <w:r>
        <w:rPr>
          <w:rFonts w:ascii="Arial" w:cs="Arial" w:eastAsia="Arial" w:hAnsi="Arial"/>
          <w:sz w:val="18"/>
          <w:szCs w:val="18"/>
          <w:b w:val="1"/>
          <w:bCs w:val="1"/>
          <w:color w:val="auto"/>
        </w:rPr>
        <w:t>COMCAST CORPORATION AND SUBSIDIARIES</w:t>
      </w:r>
    </w:p>
    <w:p>
      <w:pPr>
        <w:spacing w:after="0" w:line="2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QUARTER ENDED MARCH 31, 2005</w:t>
      </w: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May 5, 2005</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368" w:right="659"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spacing w:after="0"/>
        <w:rPr>
          <w:rFonts w:ascii="Arial" w:cs="Arial" w:eastAsia="Arial" w:hAnsi="Arial"/>
          <w:sz w:val="22"/>
          <w:szCs w:val="22"/>
          <w:color w:val="0000EE"/>
        </w:rPr>
      </w:pPr>
      <w:hyperlink w:anchor="page4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Exhibit 31</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239"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820" w:hanging="532"/>
        <w:spacing w:after="0" w:line="370" w:lineRule="auto"/>
        <w:tabs>
          <w:tab w:leader="none" w:pos="10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5,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I, Lawrence S. Smith, certify that:</w:t>
      </w:r>
    </w:p>
    <w:p>
      <w:pPr>
        <w:spacing w:after="0" w:line="239"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820" w:hanging="532"/>
        <w:spacing w:after="0" w:line="370" w:lineRule="auto"/>
        <w:tabs>
          <w:tab w:leader="none" w:pos="10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5,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I, John R. Alchin, certify that:</w:t>
      </w:r>
    </w:p>
    <w:p>
      <w:pPr>
        <w:spacing w:after="0" w:line="239"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40" w:hanging="532"/>
        <w:spacing w:after="0" w:line="259"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080" w:right="820" w:hanging="532"/>
        <w:spacing w:after="0" w:line="370" w:lineRule="auto"/>
        <w:tabs>
          <w:tab w:leader="none" w:pos="108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080" w:hanging="532"/>
        <w:spacing w:after="0" w:line="259"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5,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1873885" cy="215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8738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Exhibit 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CERTIFICATIONS</w:t>
        </w:r>
      </w:hyperlink>
    </w:p>
    <w:p>
      <w:pPr>
        <w:sectPr>
          <w:pgSz w:w="11900" w:h="16838" w:orient="portrait"/>
          <w:cols w:equalWidth="0" w:num="1">
            <w:col w:w="10219"/>
          </w:cols>
          <w:pgMar w:left="240" w:top="820" w:right="1440" w:bottom="1440" w:gutter="0" w:footer="0" w:header="0"/>
        </w:sectPr>
      </w:pPr>
    </w:p>
    <w:bookmarkStart w:id="42" w:name="page43"/>
    <w:bookmarkEnd w:id="42"/>
    <w:p>
      <w:pPr>
        <w:spacing w:after="0"/>
        <w:rPr>
          <w:rFonts w:ascii="Arial" w:cs="Arial" w:eastAsia="Arial" w:hAnsi="Arial"/>
          <w:sz w:val="22"/>
          <w:szCs w:val="22"/>
          <w:color w:val="0000EE"/>
        </w:rPr>
      </w:pPr>
      <w:hyperlink w:anchor="page4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Exhibit 32</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Section 906 of the Sarbanes-Oxley Act</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5,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Brian L. Roberts, the Chief Executive Officer, Lawrence S. Smith, the Co-Chief Financial Officer and John R. Alchin, the Co-Chief Financial Officer of Comcast Corporation, each certifies that, to the best of his knowledge:</w:t>
      </w:r>
    </w:p>
    <w:p>
      <w:pPr>
        <w:spacing w:after="0" w:line="19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52"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Co-Chief Financial Officer</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3" w:name="page44"/>
    <w:bookmarkEnd w:id="4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Exhibit 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Certification Pursuant to Section 906 of the Sarbanes-Oxley Act</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lvl w:ilvl="1">
      <w:lvlJc w:val="left"/>
      <w:lvlText w:val="•"/>
      <w:numFmt w:val="bullet"/>
      <w:start w:val="1"/>
    </w:lvl>
  </w:abstractNum>
  <w:abstractNum w:abstractNumId="5">
    <w:nsid w:val="1F16E9E8"/>
    <w:multiLevelType w:val="hybridMultilevel"/>
    <w:lvl w:ilvl="0">
      <w:lvlJc w:val="left"/>
      <w:lvlText w:val="(%1)"/>
      <w:numFmt w:val="decimal"/>
      <w:start w:val="3"/>
    </w:lvl>
    <w:lvl w:ilvl="1">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lvl w:ilvl="1">
      <w:lvlJc w:val="left"/>
      <w:lvlText w:val="%2"/>
      <w:numFmt w:val="decimal"/>
      <w:start w:val="31"/>
    </w:lvl>
  </w:abstractNum>
  <w:abstractNum w:abstractNumId="10">
    <w:nsid w:val="109CF92E"/>
    <w:multiLevelType w:val="hybridMultilevel"/>
    <w:lvl w:ilvl="0">
      <w:lvlJc w:val="left"/>
      <w:lvlText w:val="(%1)"/>
      <w:numFmt w:val="lowerLetter"/>
      <w:start w:val="2"/>
    </w:lvl>
    <w:lvl w:ilvl="1">
      <w:lvlJc w:val="left"/>
      <w:lvlText w:val="%2"/>
      <w:numFmt w:val="decimal"/>
      <w:start w:val="1"/>
    </w:lvl>
  </w:abstractNum>
  <w:abstractNum w:abstractNumId="11">
    <w:nsid w:val="DED7263"/>
    <w:multiLevelType w:val="hybridMultilevel"/>
    <w:lvl w:ilvl="0">
      <w:lvlJc w:val="left"/>
      <w:lvlText w:val="(%1)"/>
      <w:numFmt w:val="lowerRoman"/>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2019-12-15T07:22:22Z</dcterms:created>
  <dcterms:modified xsi:type="dcterms:W3CDTF">2019-12-15T07:22:22Z</dcterms:modified>
</cp:coreProperties>
</file>