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May 11,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5460" w:type="dxa"/>
            <w:vAlign w:val="bottom"/>
          </w:tcPr>
          <w:p>
            <w:pPr>
              <w:jc w:val="center"/>
              <w:ind w:right="234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480" w:type="dxa"/>
            <w:vAlign w:val="bottom"/>
          </w:tcPr>
          <w:p>
            <w:pPr>
              <w:spacing w:after="0"/>
              <w:rPr>
                <w:sz w:val="15"/>
                <w:szCs w:val="15"/>
                <w:color w:val="auto"/>
              </w:rPr>
            </w:pPr>
          </w:p>
        </w:tc>
        <w:tc>
          <w:tcPr>
            <w:tcW w:w="5460" w:type="dxa"/>
            <w:vAlign w:val="bottom"/>
          </w:tcPr>
          <w:p>
            <w:pPr>
              <w:jc w:val="center"/>
              <w:ind w:right="2342"/>
              <w:spacing w:after="0"/>
              <w:rPr>
                <w:sz w:val="20"/>
                <w:szCs w:val="20"/>
                <w:color w:val="auto"/>
              </w:rPr>
            </w:pPr>
            <w:r>
              <w:rPr>
                <w:rFonts w:ascii="Arial" w:cs="Arial" w:eastAsia="Arial" w:hAnsi="Arial"/>
                <w:sz w:val="14"/>
                <w:szCs w:val="14"/>
                <w:b w:val="1"/>
                <w:bCs w:val="1"/>
                <w:color w:val="auto"/>
                <w:w w:val="88"/>
              </w:rPr>
              <w:t>(State or Other Jurisdiction of Incorporation)</w:t>
            </w:r>
          </w:p>
        </w:tc>
      </w:tr>
      <w:tr>
        <w:trPr>
          <w:trHeight w:val="393"/>
        </w:trPr>
        <w:tc>
          <w:tcPr>
            <w:tcW w:w="2480" w:type="dxa"/>
            <w:vAlign w:val="bottom"/>
          </w:tcPr>
          <w:p>
            <w:pPr>
              <w:jc w:val="center"/>
              <w:ind w:right="120"/>
              <w:spacing w:after="0"/>
              <w:rPr>
                <w:sz w:val="20"/>
                <w:szCs w:val="20"/>
                <w:color w:val="auto"/>
              </w:rPr>
            </w:pPr>
            <w:r>
              <w:rPr>
                <w:rFonts w:ascii="Arial" w:cs="Arial" w:eastAsia="Arial" w:hAnsi="Arial"/>
                <w:sz w:val="18"/>
                <w:szCs w:val="18"/>
                <w:b w:val="1"/>
                <w:bCs w:val="1"/>
                <w:color w:val="auto"/>
                <w:w w:val="88"/>
              </w:rPr>
              <w:t>001-32871</w:t>
            </w:r>
          </w:p>
        </w:tc>
        <w:tc>
          <w:tcPr>
            <w:tcW w:w="5460" w:type="dxa"/>
            <w:vAlign w:val="bottom"/>
          </w:tcPr>
          <w:p>
            <w:pPr>
              <w:jc w:val="center"/>
              <w:ind w:left="342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2480" w:type="dxa"/>
            <w:vAlign w:val="bottom"/>
          </w:tcPr>
          <w:p>
            <w:pPr>
              <w:jc w:val="center"/>
              <w:ind w:right="120"/>
              <w:spacing w:after="0"/>
              <w:rPr>
                <w:sz w:val="20"/>
                <w:szCs w:val="20"/>
                <w:color w:val="auto"/>
              </w:rPr>
            </w:pPr>
            <w:r>
              <w:rPr>
                <w:rFonts w:ascii="Arial" w:cs="Arial" w:eastAsia="Arial" w:hAnsi="Arial"/>
                <w:sz w:val="14"/>
                <w:szCs w:val="14"/>
                <w:b w:val="1"/>
                <w:bCs w:val="1"/>
                <w:color w:val="auto"/>
                <w:w w:val="87"/>
              </w:rPr>
              <w:t>(Commission File Number)</w:t>
            </w:r>
          </w:p>
        </w:tc>
        <w:tc>
          <w:tcPr>
            <w:tcW w:w="5460" w:type="dxa"/>
            <w:vAlign w:val="bottom"/>
          </w:tcPr>
          <w:p>
            <w:pPr>
              <w:jc w:val="center"/>
              <w:ind w:left="34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2480" w:type="dxa"/>
            <w:vAlign w:val="bottom"/>
          </w:tcPr>
          <w:p>
            <w:pPr>
              <w:jc w:val="center"/>
              <w:ind w:right="120"/>
              <w:spacing w:after="0"/>
              <w:rPr>
                <w:sz w:val="20"/>
                <w:szCs w:val="20"/>
                <w:color w:val="auto"/>
              </w:rPr>
            </w:pPr>
            <w:r>
              <w:rPr>
                <w:rFonts w:ascii="Arial" w:cs="Arial" w:eastAsia="Arial" w:hAnsi="Arial"/>
                <w:sz w:val="18"/>
                <w:szCs w:val="18"/>
                <w:b w:val="1"/>
                <w:bCs w:val="1"/>
                <w:color w:val="auto"/>
                <w:w w:val="87"/>
              </w:rPr>
              <w:t>One Comcast Center</w:t>
            </w:r>
          </w:p>
        </w:tc>
        <w:tc>
          <w:tcPr>
            <w:tcW w:w="5460" w:type="dxa"/>
            <w:vAlign w:val="bottom"/>
          </w:tcPr>
          <w:p>
            <w:pPr>
              <w:spacing w:after="0"/>
              <w:rPr>
                <w:sz w:val="24"/>
                <w:szCs w:val="24"/>
                <w:color w:val="auto"/>
              </w:rPr>
            </w:pPr>
          </w:p>
        </w:tc>
      </w:tr>
      <w:tr>
        <w:trPr>
          <w:trHeight w:val="231"/>
        </w:trPr>
        <w:tc>
          <w:tcPr>
            <w:tcW w:w="2480" w:type="dxa"/>
            <w:vAlign w:val="bottom"/>
          </w:tcPr>
          <w:p>
            <w:pPr>
              <w:jc w:val="center"/>
              <w:ind w:right="100"/>
              <w:spacing w:after="0"/>
              <w:rPr>
                <w:sz w:val="20"/>
                <w:szCs w:val="20"/>
                <w:color w:val="auto"/>
              </w:rPr>
            </w:pPr>
            <w:r>
              <w:rPr>
                <w:rFonts w:ascii="Arial" w:cs="Arial" w:eastAsia="Arial" w:hAnsi="Arial"/>
                <w:sz w:val="18"/>
                <w:szCs w:val="18"/>
                <w:b w:val="1"/>
                <w:bCs w:val="1"/>
                <w:color w:val="auto"/>
                <w:w w:val="89"/>
              </w:rPr>
              <w:t>Philadelphia, PA</w:t>
            </w:r>
          </w:p>
        </w:tc>
        <w:tc>
          <w:tcPr>
            <w:tcW w:w="5460" w:type="dxa"/>
            <w:vAlign w:val="bottom"/>
          </w:tcPr>
          <w:p>
            <w:pPr>
              <w:jc w:val="center"/>
              <w:ind w:left="342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460" w:type="dxa"/>
            <w:vAlign w:val="bottom"/>
          </w:tcPr>
          <w:p>
            <w:pPr>
              <w:jc w:val="center"/>
              <w:ind w:left="344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00" w:firstLine="8"/>
        <w:spacing w:after="0" w:line="268" w:lineRule="auto"/>
        <w:tabs>
          <w:tab w:leader="none" w:pos="239"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our annual meeting of shareholders held on May 11, 2011, our shareholders approved, or did not approve, the following proposals, in each case consistent with the unanimous recommendations of our Board of Directors.</w:t>
      </w:r>
    </w:p>
    <w:p>
      <w:pPr>
        <w:spacing w:after="0" w:line="131" w:lineRule="exact"/>
        <w:rPr>
          <w:rFonts w:ascii="Arial" w:cs="Arial" w:eastAsia="Arial" w:hAnsi="Arial"/>
          <w:sz w:val="18"/>
          <w:szCs w:val="18"/>
          <w:color w:val="auto"/>
        </w:rPr>
      </w:pPr>
    </w:p>
    <w:p>
      <w:pPr>
        <w:ind w:firstLine="8"/>
        <w:spacing w:after="0" w:line="332"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following proposals are described in detail in Comcast Corporation’s definitive proxy statement dated April 1, 2011 (the “Proxy Statement”). The number of votes cast for and against (or withheld) and the number of abstentions and broker non-votes with respect to each matter voted upon are set forth below.</w:t>
      </w:r>
    </w:p>
    <w:p>
      <w:pPr>
        <w:spacing w:after="0" w:line="12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director nominees named in the Proxy Statement were elected to serve as directors for one-year terms.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Director</w:t>
            </w:r>
          </w:p>
        </w:tc>
        <w:tc>
          <w:tcPr>
            <w:tcW w:w="3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380" w:type="dxa"/>
            <w:vAlign w:val="bottom"/>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Withheld</w:t>
            </w:r>
          </w:p>
        </w:tc>
        <w:tc>
          <w:tcPr>
            <w:tcW w:w="3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Broker Non-Votes</w:t>
            </w: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Decker Anstrom</w:t>
            </w:r>
          </w:p>
        </w:tc>
        <w:tc>
          <w:tcPr>
            <w:tcW w:w="3540" w:type="dxa"/>
            <w:vAlign w:val="bottom"/>
            <w:gridSpan w:val="3"/>
            <w:shd w:val="clear" w:color="auto" w:fill="CCEEFF"/>
          </w:tcPr>
          <w:p>
            <w:pPr>
              <w:jc w:val="center"/>
              <w:ind w:left="1812"/>
              <w:spacing w:after="0"/>
              <w:rPr>
                <w:sz w:val="20"/>
                <w:szCs w:val="20"/>
                <w:color w:val="auto"/>
              </w:rPr>
            </w:pPr>
            <w:r>
              <w:rPr>
                <w:rFonts w:ascii="Arial" w:cs="Arial" w:eastAsia="Arial" w:hAnsi="Arial"/>
                <w:sz w:val="18"/>
                <w:szCs w:val="18"/>
                <w:color w:val="auto"/>
                <w:w w:val="87"/>
              </w:rPr>
              <w:t>354,695,050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5,899,237</w:t>
            </w:r>
          </w:p>
        </w:tc>
        <w:tc>
          <w:tcPr>
            <w:tcW w:w="13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Kenneth J. Bacon</w:t>
            </w:r>
          </w:p>
        </w:tc>
        <w:tc>
          <w:tcPr>
            <w:tcW w:w="3540" w:type="dxa"/>
            <w:vAlign w:val="bottom"/>
            <w:gridSpan w:val="3"/>
          </w:tcPr>
          <w:p>
            <w:pPr>
              <w:jc w:val="center"/>
              <w:ind w:left="1812"/>
              <w:spacing w:after="0"/>
              <w:rPr>
                <w:sz w:val="20"/>
                <w:szCs w:val="20"/>
                <w:color w:val="auto"/>
              </w:rPr>
            </w:pPr>
            <w:r>
              <w:rPr>
                <w:rFonts w:ascii="Arial" w:cs="Arial" w:eastAsia="Arial" w:hAnsi="Arial"/>
                <w:sz w:val="18"/>
                <w:szCs w:val="18"/>
                <w:color w:val="auto"/>
                <w:w w:val="87"/>
              </w:rPr>
              <w:t>337,359,104</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23,235,193</w:t>
            </w:r>
          </w:p>
        </w:tc>
        <w:tc>
          <w:tcPr>
            <w:tcW w:w="13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Sheldon M. Bonovitz</w:t>
            </w:r>
          </w:p>
        </w:tc>
        <w:tc>
          <w:tcPr>
            <w:tcW w:w="3540" w:type="dxa"/>
            <w:vAlign w:val="bottom"/>
            <w:gridSpan w:val="3"/>
            <w:shd w:val="clear" w:color="auto" w:fill="CCEEFF"/>
          </w:tcPr>
          <w:p>
            <w:pPr>
              <w:jc w:val="center"/>
              <w:ind w:left="1812"/>
              <w:spacing w:after="0"/>
              <w:rPr>
                <w:sz w:val="20"/>
                <w:szCs w:val="20"/>
                <w:color w:val="auto"/>
              </w:rPr>
            </w:pPr>
            <w:r>
              <w:rPr>
                <w:rFonts w:ascii="Arial" w:cs="Arial" w:eastAsia="Arial" w:hAnsi="Arial"/>
                <w:sz w:val="18"/>
                <w:szCs w:val="18"/>
                <w:color w:val="auto"/>
                <w:w w:val="87"/>
              </w:rPr>
              <w:t>356,823,079</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3,771,208</w:t>
            </w:r>
          </w:p>
        </w:tc>
        <w:tc>
          <w:tcPr>
            <w:tcW w:w="13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3540" w:type="dxa"/>
            <w:vAlign w:val="bottom"/>
            <w:gridSpan w:val="3"/>
          </w:tcPr>
          <w:p>
            <w:pPr>
              <w:jc w:val="center"/>
              <w:ind w:left="1812"/>
              <w:spacing w:after="0"/>
              <w:rPr>
                <w:sz w:val="20"/>
                <w:szCs w:val="20"/>
                <w:color w:val="auto"/>
              </w:rPr>
            </w:pPr>
            <w:r>
              <w:rPr>
                <w:rFonts w:ascii="Arial" w:cs="Arial" w:eastAsia="Arial" w:hAnsi="Arial"/>
                <w:sz w:val="18"/>
                <w:szCs w:val="18"/>
                <w:color w:val="auto"/>
                <w:w w:val="87"/>
              </w:rPr>
              <w:t>357,348,457</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3,245,830</w:t>
            </w:r>
          </w:p>
        </w:tc>
        <w:tc>
          <w:tcPr>
            <w:tcW w:w="13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J. Collins</w:t>
            </w:r>
          </w:p>
        </w:tc>
        <w:tc>
          <w:tcPr>
            <w:tcW w:w="3540" w:type="dxa"/>
            <w:vAlign w:val="bottom"/>
            <w:gridSpan w:val="3"/>
            <w:shd w:val="clear" w:color="auto" w:fill="CCEEFF"/>
          </w:tcPr>
          <w:p>
            <w:pPr>
              <w:jc w:val="center"/>
              <w:ind w:left="1812"/>
              <w:spacing w:after="0"/>
              <w:rPr>
                <w:sz w:val="20"/>
                <w:szCs w:val="20"/>
                <w:color w:val="auto"/>
              </w:rPr>
            </w:pPr>
            <w:r>
              <w:rPr>
                <w:rFonts w:ascii="Arial" w:cs="Arial" w:eastAsia="Arial" w:hAnsi="Arial"/>
                <w:sz w:val="18"/>
                <w:szCs w:val="18"/>
                <w:color w:val="auto"/>
                <w:w w:val="87"/>
              </w:rPr>
              <w:t>354,851,013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5,743,274</w:t>
            </w:r>
          </w:p>
        </w:tc>
        <w:tc>
          <w:tcPr>
            <w:tcW w:w="13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3540" w:type="dxa"/>
            <w:vAlign w:val="bottom"/>
            <w:gridSpan w:val="3"/>
          </w:tcPr>
          <w:p>
            <w:pPr>
              <w:jc w:val="center"/>
              <w:ind w:left="1812"/>
              <w:spacing w:after="0"/>
              <w:rPr>
                <w:sz w:val="20"/>
                <w:szCs w:val="20"/>
                <w:color w:val="auto"/>
              </w:rPr>
            </w:pPr>
            <w:r>
              <w:rPr>
                <w:rFonts w:ascii="Arial" w:cs="Arial" w:eastAsia="Arial" w:hAnsi="Arial"/>
                <w:sz w:val="18"/>
                <w:szCs w:val="18"/>
                <w:color w:val="auto"/>
                <w:w w:val="87"/>
              </w:rPr>
              <w:t>357,292,883</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3,301,404</w:t>
            </w:r>
          </w:p>
        </w:tc>
        <w:tc>
          <w:tcPr>
            <w:tcW w:w="13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L. Hassell</w:t>
            </w:r>
          </w:p>
        </w:tc>
        <w:tc>
          <w:tcPr>
            <w:tcW w:w="3540" w:type="dxa"/>
            <w:vAlign w:val="bottom"/>
            <w:gridSpan w:val="3"/>
            <w:shd w:val="clear" w:color="auto" w:fill="CCEEFF"/>
          </w:tcPr>
          <w:p>
            <w:pPr>
              <w:jc w:val="center"/>
              <w:ind w:left="1812"/>
              <w:spacing w:after="0"/>
              <w:rPr>
                <w:sz w:val="20"/>
                <w:szCs w:val="20"/>
                <w:color w:val="auto"/>
              </w:rPr>
            </w:pPr>
            <w:r>
              <w:rPr>
                <w:rFonts w:ascii="Arial" w:cs="Arial" w:eastAsia="Arial" w:hAnsi="Arial"/>
                <w:sz w:val="18"/>
                <w:szCs w:val="18"/>
                <w:color w:val="auto"/>
                <w:w w:val="87"/>
              </w:rPr>
              <w:t>348,915,364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11,678,923</w:t>
            </w:r>
          </w:p>
        </w:tc>
        <w:tc>
          <w:tcPr>
            <w:tcW w:w="13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3540" w:type="dxa"/>
            <w:vAlign w:val="bottom"/>
            <w:gridSpan w:val="3"/>
          </w:tcPr>
          <w:p>
            <w:pPr>
              <w:jc w:val="center"/>
              <w:ind w:left="1812"/>
              <w:spacing w:after="0"/>
              <w:rPr>
                <w:sz w:val="20"/>
                <w:szCs w:val="20"/>
                <w:color w:val="auto"/>
              </w:rPr>
            </w:pPr>
            <w:r>
              <w:rPr>
                <w:rFonts w:ascii="Arial" w:cs="Arial" w:eastAsia="Arial" w:hAnsi="Arial"/>
                <w:sz w:val="18"/>
                <w:szCs w:val="18"/>
                <w:color w:val="auto"/>
                <w:w w:val="87"/>
              </w:rPr>
              <w:t>357,394,029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3,200,258</w:t>
            </w:r>
          </w:p>
        </w:tc>
        <w:tc>
          <w:tcPr>
            <w:tcW w:w="13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Eduardo G. Mestre</w:t>
            </w:r>
          </w:p>
        </w:tc>
        <w:tc>
          <w:tcPr>
            <w:tcW w:w="3540" w:type="dxa"/>
            <w:vAlign w:val="bottom"/>
            <w:gridSpan w:val="3"/>
            <w:shd w:val="clear" w:color="auto" w:fill="CCEEFF"/>
          </w:tcPr>
          <w:p>
            <w:pPr>
              <w:jc w:val="center"/>
              <w:ind w:left="1812"/>
              <w:spacing w:after="0"/>
              <w:rPr>
                <w:sz w:val="20"/>
                <w:szCs w:val="20"/>
                <w:color w:val="auto"/>
              </w:rPr>
            </w:pPr>
            <w:r>
              <w:rPr>
                <w:rFonts w:ascii="Arial" w:cs="Arial" w:eastAsia="Arial" w:hAnsi="Arial"/>
                <w:sz w:val="18"/>
                <w:szCs w:val="18"/>
                <w:color w:val="auto"/>
                <w:w w:val="87"/>
              </w:rPr>
              <w:t>357,260,322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3,333,965</w:t>
            </w:r>
          </w:p>
        </w:tc>
        <w:tc>
          <w:tcPr>
            <w:tcW w:w="13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3540" w:type="dxa"/>
            <w:vAlign w:val="bottom"/>
            <w:gridSpan w:val="3"/>
          </w:tcPr>
          <w:p>
            <w:pPr>
              <w:jc w:val="center"/>
              <w:ind w:left="1812"/>
              <w:spacing w:after="0"/>
              <w:rPr>
                <w:sz w:val="20"/>
                <w:szCs w:val="20"/>
                <w:color w:val="auto"/>
              </w:rPr>
            </w:pPr>
            <w:r>
              <w:rPr>
                <w:rFonts w:ascii="Arial" w:cs="Arial" w:eastAsia="Arial" w:hAnsi="Arial"/>
                <w:sz w:val="18"/>
                <w:szCs w:val="18"/>
                <w:color w:val="auto"/>
                <w:w w:val="87"/>
              </w:rPr>
              <w:t>352,323,641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8,270,646</w:t>
            </w:r>
          </w:p>
        </w:tc>
        <w:tc>
          <w:tcPr>
            <w:tcW w:w="13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3540" w:type="dxa"/>
            <w:vAlign w:val="bottom"/>
            <w:gridSpan w:val="3"/>
            <w:shd w:val="clear" w:color="auto" w:fill="CCEEFF"/>
          </w:tcPr>
          <w:p>
            <w:pPr>
              <w:jc w:val="center"/>
              <w:ind w:left="1812"/>
              <w:spacing w:after="0"/>
              <w:rPr>
                <w:sz w:val="20"/>
                <w:szCs w:val="20"/>
                <w:color w:val="auto"/>
              </w:rPr>
            </w:pPr>
            <w:r>
              <w:rPr>
                <w:rFonts w:ascii="Arial" w:cs="Arial" w:eastAsia="Arial" w:hAnsi="Arial"/>
                <w:sz w:val="18"/>
                <w:szCs w:val="18"/>
                <w:color w:val="auto"/>
                <w:w w:val="87"/>
              </w:rPr>
              <w:t>356,820,178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3,774,109</w:t>
            </w:r>
          </w:p>
        </w:tc>
        <w:tc>
          <w:tcPr>
            <w:tcW w:w="13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20,424,549</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3540" w:type="dxa"/>
            <w:vAlign w:val="bottom"/>
            <w:gridSpan w:val="3"/>
          </w:tcPr>
          <w:p>
            <w:pPr>
              <w:jc w:val="center"/>
              <w:ind w:left="1812"/>
              <w:spacing w:after="0"/>
              <w:rPr>
                <w:sz w:val="20"/>
                <w:szCs w:val="20"/>
                <w:color w:val="auto"/>
              </w:rPr>
            </w:pPr>
            <w:r>
              <w:rPr>
                <w:rFonts w:ascii="Arial" w:cs="Arial" w:eastAsia="Arial" w:hAnsi="Arial"/>
                <w:sz w:val="18"/>
                <w:szCs w:val="18"/>
                <w:color w:val="auto"/>
                <w:w w:val="87"/>
              </w:rPr>
              <w:t>321,369,658</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39,224,629</w:t>
            </w:r>
          </w:p>
        </w:tc>
        <w:tc>
          <w:tcPr>
            <w:tcW w:w="13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20,424,549</w:t>
            </w:r>
          </w:p>
        </w:tc>
      </w:tr>
    </w:tbl>
    <w:p>
      <w:pPr>
        <w:spacing w:after="0" w:line="18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appointment of Deloitte &amp; Touche LLP as our independent auditors for the 2011 fiscal year was ratified.</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1260" w:type="dxa"/>
            <w:vAlign w:val="bottom"/>
          </w:tcPr>
          <w:p>
            <w:pPr>
              <w:spacing w:after="0"/>
              <w:rPr>
                <w:sz w:val="14"/>
                <w:szCs w:val="14"/>
                <w:color w:val="auto"/>
              </w:rPr>
            </w:pPr>
          </w:p>
        </w:tc>
        <w:tc>
          <w:tcPr>
            <w:tcW w:w="2640" w:type="dxa"/>
            <w:vAlign w:val="bottom"/>
            <w:gridSpan w:val="3"/>
          </w:tcPr>
          <w:p>
            <w:pPr>
              <w:jc w:val="center"/>
              <w:ind w:right="100"/>
              <w:spacing w:after="0"/>
              <w:rPr>
                <w:sz w:val="20"/>
                <w:szCs w:val="20"/>
                <w:color w:val="auto"/>
              </w:rPr>
            </w:pPr>
            <w:r>
              <w:rPr>
                <w:rFonts w:ascii="Arial" w:cs="Arial" w:eastAsia="Arial" w:hAnsi="Arial"/>
                <w:sz w:val="14"/>
                <w:szCs w:val="14"/>
                <w:color w:val="auto"/>
                <w:w w:val="89"/>
              </w:rPr>
              <w:t>Against</w:t>
            </w:r>
          </w:p>
        </w:tc>
        <w:tc>
          <w:tcPr>
            <w:tcW w:w="1080" w:type="dxa"/>
            <w:vAlign w:val="bottom"/>
          </w:tcPr>
          <w:p>
            <w:pPr>
              <w:spacing w:after="0"/>
              <w:rPr>
                <w:sz w:val="14"/>
                <w:szCs w:val="14"/>
                <w:color w:val="auto"/>
              </w:rPr>
            </w:pPr>
          </w:p>
        </w:tc>
        <w:tc>
          <w:tcPr>
            <w:tcW w:w="2360" w:type="dxa"/>
            <w:vAlign w:val="bottom"/>
            <w:gridSpan w:val="2"/>
          </w:tcPr>
          <w:p>
            <w:pPr>
              <w:jc w:val="center"/>
              <w:ind w:right="1900"/>
              <w:spacing w:after="0"/>
              <w:rPr>
                <w:sz w:val="20"/>
                <w:szCs w:val="20"/>
                <w:color w:val="auto"/>
              </w:rPr>
            </w:pPr>
            <w:r>
              <w:rPr>
                <w:rFonts w:ascii="Arial" w:cs="Arial" w:eastAsia="Arial" w:hAnsi="Arial"/>
                <w:sz w:val="14"/>
                <w:szCs w:val="14"/>
                <w:color w:val="auto"/>
                <w:w w:val="89"/>
              </w:rPr>
              <w:t>Abstain</w:t>
            </w: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color w:val="auto"/>
                <w:w w:val="88"/>
              </w:rPr>
              <w:t>Broker Non-Votes</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64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378,359,131</w:t>
            </w:r>
          </w:p>
        </w:tc>
        <w:tc>
          <w:tcPr>
            <w:tcW w:w="26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2,252,767</w:t>
            </w:r>
          </w:p>
        </w:tc>
        <w:tc>
          <w:tcPr>
            <w:tcW w:w="3440" w:type="dxa"/>
            <w:vAlign w:val="bottom"/>
            <w:gridSpan w:val="3"/>
            <w:shd w:val="clear" w:color="auto" w:fill="CCEEFF"/>
          </w:tcPr>
          <w:p>
            <w:pPr>
              <w:jc w:val="right"/>
              <w:ind w:right="1860"/>
              <w:spacing w:after="0"/>
              <w:rPr>
                <w:sz w:val="20"/>
                <w:szCs w:val="20"/>
                <w:color w:val="auto"/>
              </w:rPr>
            </w:pPr>
            <w:r>
              <w:rPr>
                <w:rFonts w:ascii="Arial" w:cs="Arial" w:eastAsia="Arial" w:hAnsi="Arial"/>
                <w:sz w:val="18"/>
                <w:szCs w:val="18"/>
                <w:color w:val="auto"/>
              </w:rPr>
              <w:t>406,938</w:t>
            </w:r>
          </w:p>
        </w:tc>
        <w:tc>
          <w:tcPr>
            <w:tcW w:w="178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9"/>
              </w:rPr>
              <w:t>N/A</w:t>
            </w:r>
          </w:p>
        </w:tc>
      </w:tr>
    </w:tbl>
    <w:p>
      <w:pPr>
        <w:spacing w:after="0" w:line="19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Comcast-NBCUniversal 2011 Employee Stock Purchase Plan was approved.</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1280" w:type="dxa"/>
            <w:vAlign w:val="bottom"/>
          </w:tcPr>
          <w:p>
            <w:pPr>
              <w:spacing w:after="0"/>
              <w:rPr>
                <w:sz w:val="14"/>
                <w:szCs w:val="14"/>
                <w:color w:val="auto"/>
              </w:rPr>
            </w:pPr>
          </w:p>
        </w:tc>
        <w:tc>
          <w:tcPr>
            <w:tcW w:w="258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Against</w:t>
            </w:r>
          </w:p>
        </w:tc>
        <w:tc>
          <w:tcPr>
            <w:tcW w:w="1120" w:type="dxa"/>
            <w:vAlign w:val="bottom"/>
          </w:tcPr>
          <w:p>
            <w:pPr>
              <w:spacing w:after="0"/>
              <w:rPr>
                <w:sz w:val="14"/>
                <w:szCs w:val="14"/>
                <w:color w:val="auto"/>
              </w:rPr>
            </w:pPr>
          </w:p>
        </w:tc>
        <w:tc>
          <w:tcPr>
            <w:tcW w:w="2360" w:type="dxa"/>
            <w:vAlign w:val="bottom"/>
            <w:gridSpan w:val="2"/>
          </w:tcPr>
          <w:p>
            <w:pPr>
              <w:jc w:val="center"/>
              <w:ind w:right="1900"/>
              <w:spacing w:after="0"/>
              <w:rPr>
                <w:sz w:val="20"/>
                <w:szCs w:val="20"/>
                <w:color w:val="auto"/>
              </w:rPr>
            </w:pPr>
            <w:r>
              <w:rPr>
                <w:rFonts w:ascii="Arial" w:cs="Arial" w:eastAsia="Arial" w:hAnsi="Arial"/>
                <w:sz w:val="14"/>
                <w:szCs w:val="14"/>
                <w:color w:val="auto"/>
                <w:w w:val="89"/>
              </w:rPr>
              <w:t>Abstain</w:t>
            </w: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color w:val="auto"/>
                <w:w w:val="88"/>
              </w:rPr>
              <w:t>Broker Non-Votes</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6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359,244,204</w:t>
            </w:r>
          </w:p>
        </w:tc>
        <w:tc>
          <w:tcPr>
            <w:tcW w:w="25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963,721</w:t>
            </w:r>
          </w:p>
        </w:tc>
        <w:tc>
          <w:tcPr>
            <w:tcW w:w="3480" w:type="dxa"/>
            <w:vAlign w:val="bottom"/>
            <w:gridSpan w:val="3"/>
            <w:shd w:val="clear" w:color="auto" w:fill="CCEEFF"/>
          </w:tcPr>
          <w:p>
            <w:pPr>
              <w:jc w:val="right"/>
              <w:ind w:right="1860"/>
              <w:spacing w:after="0"/>
              <w:rPr>
                <w:sz w:val="20"/>
                <w:szCs w:val="20"/>
                <w:color w:val="auto"/>
              </w:rPr>
            </w:pPr>
            <w:r>
              <w:rPr>
                <w:rFonts w:ascii="Arial" w:cs="Arial" w:eastAsia="Arial" w:hAnsi="Arial"/>
                <w:sz w:val="18"/>
                <w:szCs w:val="18"/>
                <w:color w:val="auto"/>
              </w:rPr>
              <w:t>386,362</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9"/>
              </w:rPr>
              <w:t>20,424,549</w:t>
            </w:r>
          </w:p>
        </w:tc>
        <w:tc>
          <w:tcPr>
            <w:tcW w:w="7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2002 Restricted Stock Plan, as amended and restated, was approved.</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12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Against</w:t>
            </w:r>
          </w:p>
        </w:tc>
        <w:tc>
          <w:tcPr>
            <w:tcW w:w="1060" w:type="dxa"/>
            <w:vAlign w:val="bottom"/>
          </w:tcPr>
          <w:p>
            <w:pPr>
              <w:spacing w:after="0"/>
              <w:rPr>
                <w:sz w:val="14"/>
                <w:szCs w:val="14"/>
                <w:color w:val="auto"/>
              </w:rPr>
            </w:pPr>
          </w:p>
        </w:tc>
        <w:tc>
          <w:tcPr>
            <w:tcW w:w="2360" w:type="dxa"/>
            <w:vAlign w:val="bottom"/>
            <w:gridSpan w:val="2"/>
          </w:tcPr>
          <w:p>
            <w:pPr>
              <w:jc w:val="center"/>
              <w:ind w:right="1900"/>
              <w:spacing w:after="0"/>
              <w:rPr>
                <w:sz w:val="20"/>
                <w:szCs w:val="20"/>
                <w:color w:val="auto"/>
              </w:rPr>
            </w:pPr>
            <w:r>
              <w:rPr>
                <w:rFonts w:ascii="Arial" w:cs="Arial" w:eastAsia="Arial" w:hAnsi="Arial"/>
                <w:sz w:val="14"/>
                <w:szCs w:val="14"/>
                <w:color w:val="auto"/>
                <w:w w:val="89"/>
              </w:rPr>
              <w:t>Abstain</w:t>
            </w: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color w:val="auto"/>
                <w:w w:val="88"/>
              </w:rPr>
              <w:t>Broker Non-Votes</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6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324,748,934</w:t>
            </w:r>
          </w:p>
        </w:tc>
        <w:tc>
          <w:tcPr>
            <w:tcW w:w="270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35,073,598</w:t>
            </w:r>
          </w:p>
        </w:tc>
        <w:tc>
          <w:tcPr>
            <w:tcW w:w="3420" w:type="dxa"/>
            <w:vAlign w:val="bottom"/>
            <w:gridSpan w:val="3"/>
            <w:shd w:val="clear" w:color="auto" w:fill="CCEEFF"/>
          </w:tcPr>
          <w:p>
            <w:pPr>
              <w:jc w:val="right"/>
              <w:ind w:right="1860"/>
              <w:spacing w:after="0"/>
              <w:rPr>
                <w:sz w:val="20"/>
                <w:szCs w:val="20"/>
                <w:color w:val="auto"/>
              </w:rPr>
            </w:pPr>
            <w:r>
              <w:rPr>
                <w:rFonts w:ascii="Arial" w:cs="Arial" w:eastAsia="Arial" w:hAnsi="Arial"/>
                <w:sz w:val="18"/>
                <w:szCs w:val="18"/>
                <w:color w:val="auto"/>
              </w:rPr>
              <w:t>771,755</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9"/>
              </w:rPr>
              <w:t>20,424,549</w:t>
            </w:r>
          </w:p>
        </w:tc>
        <w:tc>
          <w:tcPr>
            <w:tcW w:w="7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2003 Stock Option Plan, as amended and restated, was adopted.</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12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Against</w:t>
            </w:r>
          </w:p>
        </w:tc>
        <w:tc>
          <w:tcPr>
            <w:tcW w:w="1060" w:type="dxa"/>
            <w:vAlign w:val="bottom"/>
          </w:tcPr>
          <w:p>
            <w:pPr>
              <w:spacing w:after="0"/>
              <w:rPr>
                <w:sz w:val="14"/>
                <w:szCs w:val="14"/>
                <w:color w:val="auto"/>
              </w:rPr>
            </w:pPr>
          </w:p>
        </w:tc>
        <w:tc>
          <w:tcPr>
            <w:tcW w:w="2360" w:type="dxa"/>
            <w:vAlign w:val="bottom"/>
            <w:gridSpan w:val="2"/>
          </w:tcPr>
          <w:p>
            <w:pPr>
              <w:jc w:val="center"/>
              <w:ind w:right="1900"/>
              <w:spacing w:after="0"/>
              <w:rPr>
                <w:sz w:val="20"/>
                <w:szCs w:val="20"/>
                <w:color w:val="auto"/>
              </w:rPr>
            </w:pPr>
            <w:r>
              <w:rPr>
                <w:rFonts w:ascii="Arial" w:cs="Arial" w:eastAsia="Arial" w:hAnsi="Arial"/>
                <w:sz w:val="14"/>
                <w:szCs w:val="14"/>
                <w:color w:val="auto"/>
                <w:w w:val="89"/>
              </w:rPr>
              <w:t>Abstain</w:t>
            </w: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color w:val="auto"/>
                <w:w w:val="88"/>
              </w:rPr>
              <w:t>Broker Non-Votes</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6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332,857,536</w:t>
            </w:r>
          </w:p>
        </w:tc>
        <w:tc>
          <w:tcPr>
            <w:tcW w:w="270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27,296,178</w:t>
            </w:r>
          </w:p>
        </w:tc>
        <w:tc>
          <w:tcPr>
            <w:tcW w:w="3420" w:type="dxa"/>
            <w:vAlign w:val="bottom"/>
            <w:gridSpan w:val="3"/>
            <w:shd w:val="clear" w:color="auto" w:fill="CCEEFF"/>
          </w:tcPr>
          <w:p>
            <w:pPr>
              <w:jc w:val="right"/>
              <w:ind w:right="1860"/>
              <w:spacing w:after="0"/>
              <w:rPr>
                <w:sz w:val="20"/>
                <w:szCs w:val="20"/>
                <w:color w:val="auto"/>
              </w:rPr>
            </w:pPr>
            <w:r>
              <w:rPr>
                <w:rFonts w:ascii="Arial" w:cs="Arial" w:eastAsia="Arial" w:hAnsi="Arial"/>
                <w:sz w:val="18"/>
                <w:szCs w:val="18"/>
                <w:color w:val="auto"/>
              </w:rPr>
              <w:t>440,573</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9"/>
              </w:rPr>
              <w:t>20,424,549</w:t>
            </w:r>
          </w:p>
        </w:tc>
        <w:tc>
          <w:tcPr>
            <w:tcW w:w="7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executive compensation was approved.</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12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Against</w:t>
            </w:r>
          </w:p>
        </w:tc>
        <w:tc>
          <w:tcPr>
            <w:tcW w:w="1060" w:type="dxa"/>
            <w:vAlign w:val="bottom"/>
          </w:tcPr>
          <w:p>
            <w:pPr>
              <w:spacing w:after="0"/>
              <w:rPr>
                <w:sz w:val="14"/>
                <w:szCs w:val="14"/>
                <w:color w:val="auto"/>
              </w:rPr>
            </w:pPr>
          </w:p>
        </w:tc>
        <w:tc>
          <w:tcPr>
            <w:tcW w:w="2360" w:type="dxa"/>
            <w:vAlign w:val="bottom"/>
            <w:gridSpan w:val="2"/>
          </w:tcPr>
          <w:p>
            <w:pPr>
              <w:jc w:val="center"/>
              <w:ind w:right="1900"/>
              <w:spacing w:after="0"/>
              <w:rPr>
                <w:sz w:val="20"/>
                <w:szCs w:val="20"/>
                <w:color w:val="auto"/>
              </w:rPr>
            </w:pPr>
            <w:r>
              <w:rPr>
                <w:rFonts w:ascii="Arial" w:cs="Arial" w:eastAsia="Arial" w:hAnsi="Arial"/>
                <w:sz w:val="14"/>
                <w:szCs w:val="14"/>
                <w:color w:val="auto"/>
                <w:w w:val="89"/>
              </w:rPr>
              <w:t>Abstain</w:t>
            </w: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color w:val="auto"/>
                <w:w w:val="88"/>
              </w:rPr>
              <w:t>Broker Non-Votes</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6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304,196,757</w:t>
            </w:r>
          </w:p>
        </w:tc>
        <w:tc>
          <w:tcPr>
            <w:tcW w:w="270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55,865,815</w:t>
            </w:r>
          </w:p>
        </w:tc>
        <w:tc>
          <w:tcPr>
            <w:tcW w:w="3420" w:type="dxa"/>
            <w:vAlign w:val="bottom"/>
            <w:gridSpan w:val="3"/>
            <w:shd w:val="clear" w:color="auto" w:fill="CCEEFF"/>
          </w:tcPr>
          <w:p>
            <w:pPr>
              <w:jc w:val="right"/>
              <w:ind w:right="1860"/>
              <w:spacing w:after="0"/>
              <w:rPr>
                <w:sz w:val="20"/>
                <w:szCs w:val="20"/>
                <w:color w:val="auto"/>
              </w:rPr>
            </w:pPr>
            <w:r>
              <w:rPr>
                <w:rFonts w:ascii="Arial" w:cs="Arial" w:eastAsia="Arial" w:hAnsi="Arial"/>
                <w:sz w:val="18"/>
                <w:szCs w:val="18"/>
                <w:color w:val="auto"/>
              </w:rPr>
              <w:t>531,715</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9"/>
              </w:rPr>
              <w:t>20,424,549</w:t>
            </w:r>
          </w:p>
        </w:tc>
        <w:tc>
          <w:tcPr>
            <w:tcW w:w="7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advisory vote on executive compensation will be held every 3 years.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1 Year</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2 Years</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3 Years</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Abstain</w:t>
            </w:r>
          </w:p>
        </w:tc>
        <w:tc>
          <w:tcPr>
            <w:tcW w:w="13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Broker Non-Votes</w:t>
            </w:r>
          </w:p>
        </w:tc>
        <w:tc>
          <w:tcPr>
            <w:tcW w:w="460" w:type="dxa"/>
            <w:vAlign w:val="bottom"/>
          </w:tcPr>
          <w:p>
            <w:pPr>
              <w:spacing w:after="0"/>
              <w:rPr>
                <w:sz w:val="14"/>
                <w:szCs w:val="14"/>
                <w:color w:val="auto"/>
              </w:rPr>
            </w:pPr>
          </w:p>
        </w:tc>
      </w:tr>
      <w:tr>
        <w:trPr>
          <w:trHeight w:val="210"/>
        </w:trPr>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145,360,838</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3,063,674</w:t>
            </w:r>
          </w:p>
        </w:tc>
        <w:tc>
          <w:tcPr>
            <w:tcW w:w="23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211,697,491</w:t>
            </w:r>
          </w:p>
        </w:tc>
        <w:tc>
          <w:tcPr>
            <w:tcW w:w="264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472,284</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9"/>
              </w:rPr>
              <w:t>20,424,549</w:t>
            </w:r>
          </w:p>
        </w:tc>
        <w:tc>
          <w:tcPr>
            <w:tcW w:w="4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shareholder proposal to provide for cumulative voting in the election of directors was not approved.</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452"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1180" w:type="dxa"/>
            <w:vAlign w:val="bottom"/>
          </w:tcPr>
          <w:p>
            <w:pPr>
              <w:spacing w:after="0"/>
              <w:rPr>
                <w:sz w:val="14"/>
                <w:szCs w:val="14"/>
                <w:color w:val="auto"/>
              </w:rPr>
            </w:pPr>
          </w:p>
        </w:tc>
        <w:tc>
          <w:tcPr>
            <w:tcW w:w="276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Against</w:t>
            </w:r>
          </w:p>
        </w:tc>
        <w:tc>
          <w:tcPr>
            <w:tcW w:w="1040" w:type="dxa"/>
            <w:vAlign w:val="bottom"/>
          </w:tcPr>
          <w:p>
            <w:pPr>
              <w:spacing w:after="0"/>
              <w:rPr>
                <w:sz w:val="14"/>
                <w:szCs w:val="14"/>
                <w:color w:val="auto"/>
              </w:rPr>
            </w:pPr>
          </w:p>
        </w:tc>
        <w:tc>
          <w:tcPr>
            <w:tcW w:w="2360" w:type="dxa"/>
            <w:vAlign w:val="bottom"/>
            <w:gridSpan w:val="2"/>
          </w:tcPr>
          <w:p>
            <w:pPr>
              <w:jc w:val="center"/>
              <w:ind w:right="1900"/>
              <w:spacing w:after="0"/>
              <w:rPr>
                <w:sz w:val="20"/>
                <w:szCs w:val="20"/>
                <w:color w:val="auto"/>
              </w:rPr>
            </w:pPr>
            <w:r>
              <w:rPr>
                <w:rFonts w:ascii="Arial" w:cs="Arial" w:eastAsia="Arial" w:hAnsi="Arial"/>
                <w:sz w:val="14"/>
                <w:szCs w:val="14"/>
                <w:color w:val="auto"/>
                <w:w w:val="89"/>
              </w:rPr>
              <w:t>Abstain</w:t>
            </w: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color w:val="auto"/>
                <w:w w:val="88"/>
              </w:rPr>
              <w:t>Broker Non-Votes</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5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98,123,382</w:t>
            </w:r>
          </w:p>
        </w:tc>
        <w:tc>
          <w:tcPr>
            <w:tcW w:w="27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261,844,681</w:t>
            </w:r>
          </w:p>
        </w:tc>
        <w:tc>
          <w:tcPr>
            <w:tcW w:w="3400" w:type="dxa"/>
            <w:vAlign w:val="bottom"/>
            <w:gridSpan w:val="3"/>
            <w:shd w:val="clear" w:color="auto" w:fill="CCEEFF"/>
          </w:tcPr>
          <w:p>
            <w:pPr>
              <w:jc w:val="right"/>
              <w:ind w:right="1860"/>
              <w:spacing w:after="0"/>
              <w:rPr>
                <w:sz w:val="20"/>
                <w:szCs w:val="20"/>
                <w:color w:val="auto"/>
              </w:rPr>
            </w:pPr>
            <w:r>
              <w:rPr>
                <w:rFonts w:ascii="Arial" w:cs="Arial" w:eastAsia="Arial" w:hAnsi="Arial"/>
                <w:sz w:val="18"/>
                <w:szCs w:val="18"/>
                <w:color w:val="auto"/>
              </w:rPr>
              <w:t>626,224</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9"/>
              </w:rPr>
              <w:t>20,424,549</w:t>
            </w:r>
          </w:p>
        </w:tc>
        <w:tc>
          <w:tcPr>
            <w:tcW w:w="720" w:type="dxa"/>
            <w:vAlign w:val="bottom"/>
            <w:shd w:val="clear" w:color="auto" w:fill="CCEEFF"/>
          </w:tcPr>
          <w:p>
            <w:pPr>
              <w:spacing w:after="0"/>
              <w:rPr>
                <w:sz w:val="18"/>
                <w:szCs w:val="18"/>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shareholder proposal to require that the Chairman of the Board not be a current or former executive officer was not approved.</w:t>
      </w:r>
    </w:p>
    <w:p>
      <w:pPr>
        <w:spacing w:after="0" w:line="20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1180" w:type="dxa"/>
            <w:vAlign w:val="bottom"/>
          </w:tcPr>
          <w:p>
            <w:pPr>
              <w:spacing w:after="0"/>
              <w:rPr>
                <w:sz w:val="14"/>
                <w:szCs w:val="14"/>
                <w:color w:val="auto"/>
              </w:rPr>
            </w:pPr>
          </w:p>
        </w:tc>
        <w:tc>
          <w:tcPr>
            <w:tcW w:w="272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Against</w:t>
            </w:r>
          </w:p>
        </w:tc>
        <w:tc>
          <w:tcPr>
            <w:tcW w:w="1080" w:type="dxa"/>
            <w:vAlign w:val="bottom"/>
          </w:tcPr>
          <w:p>
            <w:pPr>
              <w:spacing w:after="0"/>
              <w:rPr>
                <w:sz w:val="14"/>
                <w:szCs w:val="14"/>
                <w:color w:val="auto"/>
              </w:rPr>
            </w:pPr>
          </w:p>
        </w:tc>
        <w:tc>
          <w:tcPr>
            <w:tcW w:w="2360" w:type="dxa"/>
            <w:vAlign w:val="bottom"/>
            <w:gridSpan w:val="2"/>
          </w:tcPr>
          <w:p>
            <w:pPr>
              <w:jc w:val="center"/>
              <w:ind w:right="1900"/>
              <w:spacing w:after="0"/>
              <w:rPr>
                <w:sz w:val="20"/>
                <w:szCs w:val="20"/>
                <w:color w:val="auto"/>
              </w:rPr>
            </w:pPr>
            <w:r>
              <w:rPr>
                <w:rFonts w:ascii="Arial" w:cs="Arial" w:eastAsia="Arial" w:hAnsi="Arial"/>
                <w:sz w:val="14"/>
                <w:szCs w:val="14"/>
                <w:color w:val="auto"/>
                <w:w w:val="89"/>
              </w:rPr>
              <w:t>Abstain</w:t>
            </w: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color w:val="auto"/>
                <w:w w:val="88"/>
              </w:rPr>
              <w:t>Broker Non-Votes</w:t>
            </w: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5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71,432,462</w:t>
            </w:r>
          </w:p>
        </w:tc>
        <w:tc>
          <w:tcPr>
            <w:tcW w:w="27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285,819,646</w:t>
            </w:r>
          </w:p>
        </w:tc>
        <w:tc>
          <w:tcPr>
            <w:tcW w:w="3440" w:type="dxa"/>
            <w:vAlign w:val="bottom"/>
            <w:gridSpan w:val="3"/>
            <w:shd w:val="clear" w:color="auto" w:fill="CCEEFF"/>
          </w:tcPr>
          <w:p>
            <w:pPr>
              <w:jc w:val="right"/>
              <w:ind w:right="1780"/>
              <w:spacing w:after="0"/>
              <w:rPr>
                <w:sz w:val="20"/>
                <w:szCs w:val="20"/>
                <w:color w:val="auto"/>
              </w:rPr>
            </w:pPr>
            <w:r>
              <w:rPr>
                <w:rFonts w:ascii="Arial" w:cs="Arial" w:eastAsia="Arial" w:hAnsi="Arial"/>
                <w:sz w:val="18"/>
                <w:szCs w:val="18"/>
                <w:color w:val="auto"/>
              </w:rPr>
              <w:t>3,342,179</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9"/>
              </w:rPr>
              <w:t>20,424,549</w:t>
            </w:r>
          </w:p>
        </w:tc>
        <w:tc>
          <w:tcPr>
            <w:tcW w:w="7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8" w:firstLine="8"/>
        <w:spacing w:after="0" w:line="306" w:lineRule="auto"/>
        <w:tabs>
          <w:tab w:leader="none" w:pos="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noted above, a majority of the votes cast by shareholders voted to hold an advisory vote to approve executive compensation every three years. As such, the Board of Directors has decided that it will include an advisory vote on executive compensation in our proxy statements every three years until the next required advisory vote on the frequency of the executive compensation vote, which will occur no later than our annual meeting of shareholders in 2017.</w:t>
      </w:r>
    </w:p>
    <w:p>
      <w:pPr>
        <w:sectPr>
          <w:pgSz w:w="11900" w:h="16838" w:orient="portrait"/>
          <w:cols w:equalWidth="0" w:num="1">
            <w:col w:w="11372"/>
          </w:cols>
          <w:pgMar w:left="248" w:top="276"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May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1)"/>
      <w:numFmt w:val="decimal"/>
      <w:start w:val="9"/>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2019-12-10T22:20:37Z</dcterms:created>
  <dcterms:modified xsi:type="dcterms:W3CDTF">2019-12-10T22:20:37Z</dcterms:modified>
</cp:coreProperties>
</file>