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BONOVITZ SHELDON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DUANE MORRIS &amp; HECKSCHER</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PLACE, 43RD FLOOR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174"/>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9"/>
          </w:tcPr>
          <w:p>
            <w:pPr>
              <w:jc w:val="right"/>
              <w:ind w:right="76"/>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gridSpan w:val="16"/>
          </w:tcPr>
          <w:p>
            <w:pPr>
              <w:jc w:val="right"/>
              <w:ind w:right="17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6,453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9"/>
              </w:rPr>
              <w:t>11/20/2007</w:t>
            </w: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6,453</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19.37</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15,657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By: Arthur R. Block,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Sheldon M.</w:t>
      </w:r>
      <w:r>
        <w:rPr>
          <w:sz w:val="20"/>
          <w:szCs w:val="20"/>
          <w:color w:val="auto"/>
        </w:rPr>
        <w:tab/>
      </w:r>
      <w:r>
        <w:rPr>
          <w:rFonts w:ascii="Arial" w:cs="Arial" w:eastAsia="Arial" w:hAnsi="Arial"/>
          <w:sz w:val="15"/>
          <w:szCs w:val="15"/>
          <w:color w:val="0000FF"/>
        </w:rPr>
        <w:t>11/21/2007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8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89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2019-12-18T10:41:03Z</dcterms:created>
  <dcterms:modified xsi:type="dcterms:W3CDTF">2019-12-18T10:41:03Z</dcterms:modified>
</cp:coreProperties>
</file>