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w:t>
        <w:tab/>
        <w:t>of</w:t>
      </w:r>
      <w:r>
        <w:rPr>
          <w:sz w:val="20"/>
          <w:szCs w:val="20"/>
          <w:color w:val="auto"/>
        </w:rPr>
        <w:tab/>
      </w:r>
      <w:r>
        <w:rPr>
          <w:rFonts w:ascii="Courier New" w:cs="Courier New" w:eastAsia="Courier New" w:hAnsi="Courier New"/>
          <w:sz w:val="16"/>
          <w:szCs w:val="16"/>
          <w:color w:val="auto"/>
        </w:rPr>
        <w:t>5</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206" w:lineRule="exact"/>
        <w:rPr>
          <w:sz w:val="24"/>
          <w:szCs w:val="24"/>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SCHEDULE 13G. INFORMATION TO BE INCLUDED IN STATEMENTS FILED PURSUANT TO 13D-1(B) AND AMENDMENTS THERETO FILED PURSUANT TO 13D-2(B)</w:t>
      </w:r>
    </w:p>
    <w:p>
      <w:pPr>
        <w:spacing w:after="0" w:line="16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61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Class A</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200300200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 the following</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box if a fee</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w w:val="98"/>
              </w:rPr>
              <w:t>is being paid with this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 fee is not required only if the filing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more than five percent of the class</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securities described in Item 1; and</w:t>
            </w:r>
          </w:p>
        </w:tc>
        <w:tc>
          <w:tcPr>
            <w:tcW w:w="2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(2) has filed no amendment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subsequent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five percent or less of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such 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Rule 13d-7.)</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Notes).</w:t>
      </w:r>
    </w:p>
    <w:p>
      <w:pPr>
        <w:sectPr>
          <w:pgSz w:w="11900" w:h="16838" w:orient="portrait"/>
          <w:cols w:equalWidth="0" w:num="1">
            <w:col w:w="10219"/>
          </w:cols>
          <w:pgMar w:left="240" w:top="825" w:right="1440" w:bottom="1440" w:gutter="0" w:footer="0" w:header="0"/>
        </w:sectPr>
      </w:pPr>
    </w:p>
    <w:bookmarkStart w:id="1" w:name="page2"/>
    <w:bookmarkEnd w:id="1"/>
    <w:p>
      <w:pPr>
        <w:jc w:val="both"/>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tab/>
        <w:t>of</w:t>
      </w:r>
      <w:r>
        <w:rPr>
          <w:sz w:val="20"/>
          <w:szCs w:val="20"/>
          <w:color w:val="auto"/>
        </w:rPr>
        <w:tab/>
      </w:r>
      <w:r>
        <w:rPr>
          <w:rFonts w:ascii="Courier New" w:cs="Courier New" w:eastAsia="Courier New" w:hAnsi="Courier New"/>
          <w:sz w:val="16"/>
          <w:szCs w:val="16"/>
          <w:color w:val="auto"/>
        </w:rPr>
        <w:t>5</w:t>
      </w:r>
    </w:p>
    <w:p>
      <w:pPr>
        <w:spacing w:after="0" w:line="238" w:lineRule="auto"/>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200"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AMVESCAP PLC</w:t>
      </w:r>
    </w:p>
    <w:p>
      <w:pPr>
        <w:ind w:left="1900"/>
        <w:spacing w:after="0" w:line="238" w:lineRule="auto"/>
        <w:rPr>
          <w:sz w:val="20"/>
          <w:szCs w:val="20"/>
          <w:color w:val="auto"/>
        </w:rPr>
      </w:pPr>
      <w:r>
        <w:rPr>
          <w:rFonts w:ascii="Courier New" w:cs="Courier New" w:eastAsia="Courier New" w:hAnsi="Courier New"/>
          <w:sz w:val="18"/>
          <w:szCs w:val="18"/>
          <w:color w:val="auto"/>
        </w:rPr>
        <w:t>No. S.S. or I.R.S. Identification Number</w:t>
      </w:r>
    </w:p>
    <w:p>
      <w:pPr>
        <w:spacing w:after="0" w:line="207"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5600" w:hanging="1062"/>
        <w:spacing w:after="0" w:line="238" w:lineRule="auto"/>
        <w:tabs>
          <w:tab w:leader="none" w:pos="56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600" w:hanging="1062"/>
        <w:spacing w:after="0" w:line="238" w:lineRule="auto"/>
        <w:tabs>
          <w:tab w:leader="none" w:pos="56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479" w:hanging="952"/>
        <w:spacing w:after="0" w:line="470"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p>
      <w:pPr>
        <w:spacing w:after="0" w:line="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None</w:t>
            </w:r>
          </w:p>
        </w:tc>
        <w:tc>
          <w:tcPr>
            <w:tcW w:w="210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210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None</w:t>
            </w:r>
          </w:p>
        </w:tc>
        <w:tc>
          <w:tcPr>
            <w:tcW w:w="21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31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73"/>
              </w:rPr>
              <w:t>0</w:t>
            </w:r>
          </w:p>
        </w:tc>
      </w:tr>
    </w:tbl>
    <w:p>
      <w:pPr>
        <w:spacing w:after="0" w:line="207" w:lineRule="exact"/>
        <w:rPr>
          <w:sz w:val="20"/>
          <w:szCs w:val="20"/>
          <w:color w:val="auto"/>
        </w:rPr>
      </w:pPr>
    </w:p>
    <w:p>
      <w:pPr>
        <w:ind w:left="1380" w:right="2939" w:hanging="1372"/>
        <w:spacing w:after="0" w:line="235" w:lineRule="auto"/>
        <w:tabs>
          <w:tab w:leader="none" w:pos="9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1380" w:right="4099" w:hanging="1372"/>
        <w:spacing w:after="0" w:line="235" w:lineRule="auto"/>
        <w:tabs>
          <w:tab w:leader="none" w:pos="9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08"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219"/>
          </w:cols>
          <w:pgMar w:left="240" w:top="514" w:right="1440" w:bottom="1440" w:gutter="0" w:footer="0" w:header="0"/>
        </w:sectPr>
      </w:pPr>
    </w:p>
    <w:bookmarkStart w:id="2" w:name="page3"/>
    <w:bookmarkEnd w:id="2"/>
    <w:p>
      <w:pPr>
        <w:ind w:left="6220"/>
        <w:spacing w:after="0"/>
        <w:tabs>
          <w:tab w:leader="none" w:pos="69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of</w:t>
        <w:tab/>
        <w:t>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8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900"/>
        <w:spacing w:after="0" w:line="238" w:lineRule="auto"/>
        <w:rPr>
          <w:sz w:val="20"/>
          <w:szCs w:val="20"/>
          <w:color w:val="auto"/>
        </w:rPr>
      </w:pPr>
      <w:r>
        <w:rPr>
          <w:rFonts w:ascii="Courier New" w:cs="Courier New" w:eastAsia="Courier New" w:hAnsi="Courier New"/>
          <w:sz w:val="18"/>
          <w:szCs w:val="18"/>
          <w:color w:val="auto"/>
        </w:rPr>
        <w:t>1500 Market St.</w:t>
      </w:r>
    </w:p>
    <w:p>
      <w:pPr>
        <w:ind w:left="1900"/>
        <w:spacing w:after="0"/>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AMVESCAP PLC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11 Devonshire Square</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London EC2M 4YR</w:t>
      </w:r>
    </w:p>
    <w:p>
      <w:pPr>
        <w:ind w:left="1900"/>
        <w:spacing w:after="0" w:line="238" w:lineRule="auto"/>
        <w:rPr>
          <w:sz w:val="20"/>
          <w:szCs w:val="20"/>
          <w:color w:val="auto"/>
        </w:rPr>
      </w:pPr>
      <w:r>
        <w:rPr>
          <w:rFonts w:ascii="Courier New" w:cs="Courier New" w:eastAsia="Courier New" w:hAnsi="Courier New"/>
          <w:sz w:val="18"/>
          <w:szCs w:val="18"/>
          <w:color w:val="auto"/>
        </w:rPr>
        <w:t>England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1315 Peachtree Street, N.E.</w:t>
      </w:r>
    </w:p>
    <w:p>
      <w:pPr>
        <w:spacing w:after="0" w:line="16"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8"/>
          <w:szCs w:val="18"/>
          <w:color w:val="auto"/>
        </w:rPr>
        <w:t>Atlanta, Georgia</w:t>
        <w:tab/>
        <w:t>30309</w:t>
      </w:r>
    </w:p>
    <w:p>
      <w:pPr>
        <w:spacing w:after="0" w:line="402" w:lineRule="exact"/>
        <w:rPr>
          <w:sz w:val="20"/>
          <w:szCs w:val="20"/>
          <w:color w:val="auto"/>
        </w:rPr>
      </w:pPr>
    </w:p>
    <w:p>
      <w:pPr>
        <w:sectPr>
          <w:pgSz w:w="11900" w:h="16838" w:orient="portrait"/>
          <w:cols w:equalWidth="0" w:num="2">
            <w:col w:w="4880" w:space="720"/>
            <w:col w:w="461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060" w:space="220"/>
            <w:col w:w="8939"/>
          </w:cols>
          <w:pgMar w:left="240" w:top="514" w:right="1440" w:bottom="1440"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Organized under the laws of England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 w:leader="none" w:pos="2940" w:val="left"/>
        </w:tabs>
        <w:rPr>
          <w:sz w:val="20"/>
          <w:szCs w:val="20"/>
          <w:color w:val="auto"/>
        </w:rPr>
      </w:pPr>
      <w:r>
        <w:rPr>
          <w:rFonts w:ascii="Courier New" w:cs="Courier New" w:eastAsia="Courier New" w:hAnsi="Courier New"/>
          <w:sz w:val="18"/>
          <w:szCs w:val="18"/>
          <w:color w:val="auto"/>
        </w:rPr>
        <w:t>ITEM 2 (e)</w:t>
        <w:tab/>
        <w:t>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8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960" w:right="24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960" w:right="1999" w:hanging="952"/>
        <w:spacing w:after="0" w:line="236"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provisions of Employee Retirement Income Security Act of 1974 or Endowment Fund; see Rule 13d-1(b)(1)(ii)(F).</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Rule 13d-1(b)(ii)(G).</w:t>
      </w:r>
    </w:p>
    <w:p>
      <w:pPr>
        <w:spacing w:after="0" w:line="4" w:lineRule="exact"/>
        <w:rPr>
          <w:rFonts w:ascii="Courier New" w:cs="Courier New" w:eastAsia="Courier New" w:hAnsi="Courier New"/>
          <w:sz w:val="18"/>
          <w:szCs w:val="18"/>
          <w:color w:val="auto"/>
        </w:rPr>
      </w:pPr>
    </w:p>
    <w:p>
      <w:pPr>
        <w:ind w:left="960" w:right="177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960" w:right="2099" w:hanging="952"/>
        <w:spacing w:after="0" w:line="236"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line="6"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Page</w:t>
      </w:r>
    </w:p>
    <w:p>
      <w:pPr>
        <w:spacing w:after="0" w:line="20" w:lineRule="exact"/>
        <w:rPr>
          <w:sz w:val="20"/>
          <w:szCs w:val="20"/>
          <w:color w:val="auto"/>
        </w:rPr>
      </w:pPr>
      <w:r>
        <w:rPr>
          <w:sz w:val="20"/>
          <w:szCs w:val="20"/>
          <w:color w:val="auto"/>
        </w:rPr>
        <w:br w:type="column"/>
      </w:r>
    </w:p>
    <w:p>
      <w:pPr>
        <w:jc w:val="center"/>
        <w:spacing w:after="0"/>
        <w:tabs>
          <w:tab w:leader="none" w:pos="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ectPr>
          <w:pgSz w:w="11900" w:h="16838" w:orient="portrait"/>
          <w:cols w:equalWidth="0" w:num="3">
            <w:col w:w="6220" w:space="320"/>
            <w:col w:w="640" w:space="300"/>
            <w:col w:w="2739"/>
          </w:cols>
          <w:pgMar w:left="240" w:top="514"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 -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3">
            <w:col w:w="640" w:space="220"/>
            <w:col w:w="940" w:space="200"/>
            <w:col w:w="8219"/>
          </w:cols>
          <w:pgMar w:left="240" w:top="514"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5-11 on the cover page (p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this statement on Schedule 13G is hereby incorporated by reference.</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7" w:lineRule="exact"/>
        <w:rPr>
          <w:sz w:val="20"/>
          <w:szCs w:val="20"/>
          <w:color w:val="auto"/>
        </w:rPr>
      </w:pPr>
    </w:p>
    <w:p>
      <w:pPr>
        <w:sectPr>
          <w:pgSz w:w="11900" w:h="16838" w:orient="portrait"/>
          <w:cols w:equalWidth="0" w:num="2">
            <w:col w:w="6760" w:space="720"/>
            <w:col w:w="2739"/>
          </w:cols>
          <w:pgMar w:left="240" w:top="514"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Not Applicable.</w:t>
      </w:r>
    </w:p>
    <w:p>
      <w:pPr>
        <w:spacing w:after="0" w:line="208"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SUBSIDIARIES WHICH ACQUIRED THE SECURITY BEING REPORTED ON BY THE PARENT HOLDING COMPANY:</w:t>
      </w:r>
    </w:p>
    <w:p>
      <w:pPr>
        <w:ind w:right="1779"/>
        <w:spacing w:after="0" w:line="237" w:lineRule="auto"/>
        <w:rPr>
          <w:sz w:val="20"/>
          <w:szCs w:val="20"/>
          <w:color w:val="auto"/>
        </w:rPr>
      </w:pPr>
      <w:r>
        <w:rPr>
          <w:rFonts w:ascii="Courier New" w:cs="Courier New" w:eastAsia="Courier New" w:hAnsi="Courier New"/>
          <w:sz w:val="18"/>
          <w:szCs w:val="18"/>
          <w:color w:val="auto"/>
        </w:rPr>
        <w:t>In accordance with Securities and Exchange Commission ("SEC") Release No. 34-39538 (January 12, 1998), this filing reflects the fact that AMVESCAP PLC will no longer report the beneficial ownership of the securities beneficially owned by its registered investment adviser subsidiaries. These subsidiaries will separately report, to the extent required, their beneficial ownership of securities.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A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type w:val="continuous"/>
        </w:sectPr>
      </w:pPr>
    </w:p>
    <w:bookmarkStart w:id="4" w:name="page5"/>
    <w:bookmarkEnd w:id="4"/>
    <w:p>
      <w:pPr>
        <w:ind w:left="6120"/>
        <w:spacing w:after="0"/>
        <w:tabs>
          <w:tab w:leader="none" w:pos="6840" w:val="left"/>
          <w:tab w:leader="none" w:pos="7260" w:val="left"/>
          <w:tab w:leader="none" w:pos="7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10, 2001</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Perman</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Perman,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Company Secretary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AMVESCAP PLC</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2019-12-12T09:03:27Z</dcterms:created>
  <dcterms:modified xsi:type="dcterms:W3CDTF">2019-12-12T09:03:27Z</dcterms:modified>
</cp:coreProperties>
</file>