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February 14, 2008</w:t>
      </w: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Comcast Corporation</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w:t>
      </w:r>
    </w:p>
    <w:p>
      <w:pPr>
        <w:jc w:val="center"/>
        <w:ind w:right="-19"/>
        <w:spacing w:after="0"/>
        <w:rPr>
          <w:sz w:val="20"/>
          <w:szCs w:val="20"/>
          <w:color w:val="auto"/>
        </w:rPr>
      </w:pPr>
      <w:r>
        <w:rPr>
          <w:rFonts w:ascii="Arial" w:cs="Arial" w:eastAsia="Arial" w:hAnsi="Arial"/>
          <w:sz w:val="14"/>
          <w:szCs w:val="14"/>
          <w:b w:val="1"/>
          <w:bCs w:val="1"/>
          <w:color w:val="auto"/>
        </w:rPr>
        <w:t>as Specified in Charter)</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178"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88"/>
              </w:rPr>
              <w:t>001-32871</w:t>
            </w:r>
          </w:p>
        </w:tc>
        <w:tc>
          <w:tcPr>
            <w:tcW w:w="3800" w:type="dxa"/>
            <w:vAlign w:val="bottom"/>
          </w:tcPr>
          <w:p>
            <w:pPr>
              <w:jc w:val="center"/>
              <w:ind w:left="1762"/>
              <w:spacing w:after="0"/>
              <w:rPr>
                <w:sz w:val="20"/>
                <w:szCs w:val="20"/>
                <w:color w:val="auto"/>
              </w:rPr>
            </w:pPr>
            <w:r>
              <w:rPr>
                <w:rFonts w:ascii="Arial" w:cs="Arial" w:eastAsia="Arial" w:hAnsi="Arial"/>
                <w:sz w:val="18"/>
                <w:szCs w:val="18"/>
                <w:b w:val="1"/>
                <w:bCs w:val="1"/>
                <w:color w:val="auto"/>
                <w:w w:val="87"/>
              </w:rPr>
              <w:t>27-0000798</w:t>
            </w:r>
          </w:p>
        </w:tc>
      </w:tr>
      <w:tr>
        <w:trPr>
          <w:trHeight w:val="174"/>
        </w:trPr>
        <w:tc>
          <w:tcPr>
            <w:tcW w:w="4140" w:type="dxa"/>
            <w:vAlign w:val="bottom"/>
          </w:tcPr>
          <w:p>
            <w:pPr>
              <w:jc w:val="center"/>
              <w:ind w:right="1780"/>
              <w:spacing w:after="0"/>
              <w:rPr>
                <w:sz w:val="20"/>
                <w:szCs w:val="20"/>
                <w:color w:val="auto"/>
              </w:rPr>
            </w:pPr>
            <w:r>
              <w:rPr>
                <w:rFonts w:ascii="Arial" w:cs="Arial" w:eastAsia="Arial" w:hAnsi="Arial"/>
                <w:sz w:val="14"/>
                <w:szCs w:val="14"/>
                <w:b w:val="1"/>
                <w:bCs w:val="1"/>
                <w:color w:val="auto"/>
                <w:w w:val="87"/>
              </w:rPr>
              <w:t>(Commission File Number)</w:t>
            </w:r>
          </w:p>
        </w:tc>
        <w:tc>
          <w:tcPr>
            <w:tcW w:w="3800" w:type="dxa"/>
            <w:vAlign w:val="bottom"/>
          </w:tcPr>
          <w:p>
            <w:pPr>
              <w:jc w:val="center"/>
              <w:ind w:left="176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5"/>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87"/>
              </w:rPr>
              <w:t>One Comcast Center</w:t>
            </w:r>
          </w:p>
        </w:tc>
        <w:tc>
          <w:tcPr>
            <w:tcW w:w="3800" w:type="dxa"/>
            <w:vAlign w:val="bottom"/>
          </w:tcPr>
          <w:p>
            <w:pPr>
              <w:spacing w:after="0"/>
              <w:rPr>
                <w:sz w:val="24"/>
                <w:szCs w:val="24"/>
                <w:color w:val="auto"/>
              </w:rPr>
            </w:pPr>
          </w:p>
        </w:tc>
      </w:tr>
      <w:tr>
        <w:trPr>
          <w:trHeight w:val="231"/>
        </w:trPr>
        <w:tc>
          <w:tcPr>
            <w:tcW w:w="4140" w:type="dxa"/>
            <w:vAlign w:val="bottom"/>
          </w:tcPr>
          <w:p>
            <w:pPr>
              <w:jc w:val="center"/>
              <w:ind w:right="1760"/>
              <w:spacing w:after="0"/>
              <w:rPr>
                <w:sz w:val="20"/>
                <w:szCs w:val="20"/>
                <w:color w:val="auto"/>
              </w:rPr>
            </w:pPr>
            <w:r>
              <w:rPr>
                <w:rFonts w:ascii="Arial" w:cs="Arial" w:eastAsia="Arial" w:hAnsi="Arial"/>
                <w:sz w:val="18"/>
                <w:szCs w:val="18"/>
                <w:b w:val="1"/>
                <w:bCs w:val="1"/>
                <w:color w:val="auto"/>
                <w:w w:val="89"/>
              </w:rPr>
              <w:t>Philadelphia, PA</w:t>
            </w:r>
          </w:p>
        </w:tc>
        <w:tc>
          <w:tcPr>
            <w:tcW w:w="3800" w:type="dxa"/>
            <w:vAlign w:val="bottom"/>
          </w:tcPr>
          <w:p>
            <w:pPr>
              <w:jc w:val="center"/>
              <w:ind w:left="1762"/>
              <w:spacing w:after="0"/>
              <w:rPr>
                <w:sz w:val="20"/>
                <w:szCs w:val="20"/>
                <w:color w:val="auto"/>
              </w:rPr>
            </w:pPr>
            <w:r>
              <w:rPr>
                <w:rFonts w:ascii="Arial" w:cs="Arial" w:eastAsia="Arial" w:hAnsi="Arial"/>
                <w:sz w:val="18"/>
                <w:szCs w:val="18"/>
                <w:b w:val="1"/>
                <w:bCs w:val="1"/>
                <w:color w:val="auto"/>
                <w:w w:val="87"/>
              </w:rPr>
              <w:t>19103-2838</w:t>
            </w:r>
          </w:p>
        </w:tc>
      </w:tr>
      <w:tr>
        <w:trPr>
          <w:trHeight w:val="174"/>
        </w:trPr>
        <w:tc>
          <w:tcPr>
            <w:tcW w:w="4140" w:type="dxa"/>
            <w:vAlign w:val="bottom"/>
          </w:tcPr>
          <w:p>
            <w:pPr>
              <w:jc w:val="center"/>
              <w:ind w:right="176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800" w:type="dxa"/>
            <w:vAlign w:val="bottom"/>
          </w:tcPr>
          <w:p>
            <w:pPr>
              <w:jc w:val="center"/>
              <w:ind w:left="1782"/>
              <w:spacing w:after="0"/>
              <w:rPr>
                <w:sz w:val="20"/>
                <w:szCs w:val="20"/>
                <w:color w:val="auto"/>
              </w:rPr>
            </w:pPr>
            <w:r>
              <w:rPr>
                <w:rFonts w:ascii="Arial" w:cs="Arial" w:eastAsia="Arial" w:hAnsi="Arial"/>
                <w:sz w:val="14"/>
                <w:szCs w:val="14"/>
                <w:b w:val="1"/>
                <w:bCs w:val="1"/>
                <w:color w:val="auto"/>
                <w:w w:val="89"/>
              </w:rPr>
              <w:t>(Zip Code)</w:t>
            </w:r>
          </w:p>
        </w:tc>
      </w:tr>
    </w:tbl>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(215) 286-1700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111760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7"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9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February 14, 2008, Comcast Corporation (“Comcast”) issued a press release reporting the results of its operations for the three and twelve months ended December 31, 2007. The press release is attached hereto as Exhibit 99.1. Comcast does not intend for this Item 2.02 or Exhibit 99.1 to be treated as “filed” under the Securities Exchange Act of 1934, as amended, or incorporated by reference into its filings under the Securities Act of 1933, as amended.</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Exhibits</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102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0</wp:posOffset>
            </wp:positionV>
            <wp:extent cx="65862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93" w:lineRule="exact"/>
        <w:rPr>
          <w:sz w:val="20"/>
          <w:szCs w:val="20"/>
          <w:color w:val="auto"/>
        </w:rPr>
      </w:pPr>
    </w:p>
    <w:p>
      <w:pPr>
        <w:ind w:left="100"/>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Comcast Corporation press release dated February 14, 2008.</w:t>
      </w:r>
    </w:p>
    <w:p>
      <w:pPr>
        <w:sectPr>
          <w:pgSz w:w="11900" w:h="16838" w:orient="portrait"/>
          <w:cols w:equalWidth="0" w:num="1">
            <w:col w:w="11420"/>
          </w:cols>
          <w:pgMar w:left="240" w:top="25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880" w:type="dxa"/>
            <w:vAlign w:val="bottom"/>
          </w:tcPr>
          <w:p>
            <w:pPr>
              <w:spacing w:after="0"/>
              <w:rPr>
                <w:sz w:val="24"/>
                <w:szCs w:val="24"/>
                <w:color w:val="auto"/>
              </w:rPr>
            </w:pPr>
          </w:p>
        </w:tc>
        <w:tc>
          <w:tcPr>
            <w:tcW w:w="7540" w:type="dxa"/>
            <w:vAlign w:val="bottom"/>
            <w:gridSpan w:val="2"/>
          </w:tcPr>
          <w:p>
            <w:pPr>
              <w:ind w:left="2160"/>
              <w:spacing w:after="0"/>
              <w:rPr>
                <w:sz w:val="20"/>
                <w:szCs w:val="20"/>
                <w:color w:val="auto"/>
              </w:rPr>
            </w:pPr>
            <w:r>
              <w:rPr>
                <w:rFonts w:ascii="Arial" w:cs="Arial" w:eastAsia="Arial" w:hAnsi="Arial"/>
                <w:sz w:val="22"/>
                <w:szCs w:val="22"/>
                <w:b w:val="1"/>
                <w:bCs w:val="1"/>
                <w:color w:val="auto"/>
              </w:rPr>
              <w:t>COMCAST CORPORATION</w:t>
            </w:r>
          </w:p>
        </w:tc>
      </w:tr>
      <w:tr>
        <w:trPr>
          <w:trHeight w:val="421"/>
        </w:trPr>
        <w:tc>
          <w:tcPr>
            <w:tcW w:w="3880" w:type="dxa"/>
            <w:vAlign w:val="bottom"/>
          </w:tcPr>
          <w:p>
            <w:pPr>
              <w:spacing w:after="0"/>
              <w:rPr>
                <w:sz w:val="20"/>
                <w:szCs w:val="20"/>
                <w:color w:val="auto"/>
              </w:rPr>
            </w:pPr>
            <w:r>
              <w:rPr>
                <w:rFonts w:ascii="Arial" w:cs="Arial" w:eastAsia="Arial" w:hAnsi="Arial"/>
                <w:sz w:val="18"/>
                <w:szCs w:val="18"/>
                <w:color w:val="auto"/>
              </w:rPr>
              <w:t>Date: February 14, 2008</w:t>
            </w:r>
          </w:p>
        </w:tc>
        <w:tc>
          <w:tcPr>
            <w:tcW w:w="7540" w:type="dxa"/>
            <w:vAlign w:val="bottom"/>
            <w:gridSpan w:val="2"/>
          </w:tcPr>
          <w:p>
            <w:pPr>
              <w:ind w:left="2160"/>
              <w:spacing w:after="0"/>
              <w:rPr>
                <w:sz w:val="20"/>
                <w:szCs w:val="20"/>
                <w:color w:val="auto"/>
              </w:rPr>
            </w:pPr>
            <w:r>
              <w:rPr>
                <w:rFonts w:ascii="Arial" w:cs="Arial" w:eastAsia="Arial" w:hAnsi="Arial"/>
                <w:sz w:val="18"/>
                <w:szCs w:val="18"/>
                <w:color w:val="auto"/>
              </w:rPr>
              <w:t>By: /s/ Lawrence J. Salva</w:t>
            </w:r>
          </w:p>
        </w:tc>
      </w:tr>
      <w:tr>
        <w:trPr>
          <w:trHeight w:val="202"/>
        </w:trPr>
        <w:tc>
          <w:tcPr>
            <w:tcW w:w="38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Lawrence J. Salva</w:t>
            </w:r>
          </w:p>
        </w:tc>
      </w:tr>
      <w:tr>
        <w:trPr>
          <w:trHeight w:val="216"/>
        </w:trPr>
        <w:tc>
          <w:tcPr>
            <w:tcW w:w="38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Senior Vice President, Chief Accounting Officer and</w:t>
            </w:r>
          </w:p>
        </w:tc>
      </w:tr>
      <w:tr>
        <w:trPr>
          <w:trHeight w:val="216"/>
        </w:trPr>
        <w:tc>
          <w:tcPr>
            <w:tcW w:w="38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Controller</w:t>
            </w:r>
          </w:p>
        </w:tc>
      </w:tr>
      <w:tr>
        <w:trPr>
          <w:trHeight w:val="222"/>
        </w:trPr>
        <w:tc>
          <w:tcPr>
            <w:tcW w:w="38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11420"/>
          </w:cols>
          <w:pgMar w:left="240" w:top="25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466215" cy="386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38608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32"/>
          <w:szCs w:val="32"/>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480" w:type="dxa"/>
            <w:vAlign w:val="bottom"/>
          </w:tcPr>
          <w:p>
            <w:pPr>
              <w:spacing w:after="0"/>
              <w:rPr>
                <w:sz w:val="20"/>
                <w:szCs w:val="20"/>
                <w:color w:val="auto"/>
              </w:rPr>
            </w:pPr>
            <w:r>
              <w:rPr>
                <w:rFonts w:ascii="Arial" w:cs="Arial" w:eastAsia="Arial" w:hAnsi="Arial"/>
                <w:sz w:val="22"/>
                <w:szCs w:val="22"/>
                <w:b w:val="1"/>
                <w:bCs w:val="1"/>
                <w:color w:val="auto"/>
              </w:rPr>
              <w:t>Investor Contacts:</w:t>
            </w:r>
          </w:p>
        </w:tc>
        <w:tc>
          <w:tcPr>
            <w:tcW w:w="3580" w:type="dxa"/>
            <w:vAlign w:val="bottom"/>
          </w:tcPr>
          <w:p>
            <w:pPr>
              <w:spacing w:after="0"/>
              <w:rPr>
                <w:sz w:val="23"/>
                <w:szCs w:val="23"/>
                <w:color w:val="auto"/>
              </w:rPr>
            </w:pPr>
          </w:p>
        </w:tc>
        <w:tc>
          <w:tcPr>
            <w:tcW w:w="3900" w:type="dxa"/>
            <w:vAlign w:val="bottom"/>
          </w:tcPr>
          <w:p>
            <w:pPr>
              <w:ind w:left="1900"/>
              <w:spacing w:after="0"/>
              <w:rPr>
                <w:sz w:val="20"/>
                <w:szCs w:val="20"/>
                <w:color w:val="auto"/>
              </w:rPr>
            </w:pPr>
            <w:r>
              <w:rPr>
                <w:rFonts w:ascii="Arial" w:cs="Arial" w:eastAsia="Arial" w:hAnsi="Arial"/>
                <w:sz w:val="22"/>
                <w:szCs w:val="22"/>
                <w:b w:val="1"/>
                <w:bCs w:val="1"/>
                <w:color w:val="auto"/>
              </w:rPr>
              <w:t>Press Contacts:</w:t>
            </w:r>
          </w:p>
        </w:tc>
        <w:tc>
          <w:tcPr>
            <w:tcW w:w="1440" w:type="dxa"/>
            <w:vAlign w:val="bottom"/>
          </w:tcPr>
          <w:p>
            <w:pPr>
              <w:spacing w:after="0"/>
              <w:rPr>
                <w:sz w:val="23"/>
                <w:szCs w:val="23"/>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Marlene S. Dooner</w:t>
            </w:r>
          </w:p>
        </w:tc>
        <w:tc>
          <w:tcPr>
            <w:tcW w:w="3580" w:type="dxa"/>
            <w:vAlign w:val="bottom"/>
          </w:tcPr>
          <w:p>
            <w:pPr>
              <w:jc w:val="right"/>
              <w:ind w:right="1792"/>
              <w:spacing w:after="0"/>
              <w:rPr>
                <w:sz w:val="20"/>
                <w:szCs w:val="20"/>
                <w:color w:val="auto"/>
              </w:rPr>
            </w:pPr>
            <w:r>
              <w:rPr>
                <w:rFonts w:ascii="Arial" w:cs="Arial" w:eastAsia="Arial" w:hAnsi="Arial"/>
                <w:sz w:val="18"/>
                <w:szCs w:val="18"/>
                <w:color w:val="auto"/>
              </w:rPr>
              <w:t>(215) 981-7392</w:t>
            </w:r>
          </w:p>
        </w:tc>
        <w:tc>
          <w:tcPr>
            <w:tcW w:w="3900" w:type="dxa"/>
            <w:vAlign w:val="bottom"/>
          </w:tcPr>
          <w:p>
            <w:pPr>
              <w:ind w:left="1900"/>
              <w:spacing w:after="0"/>
              <w:rPr>
                <w:sz w:val="20"/>
                <w:szCs w:val="20"/>
                <w:color w:val="auto"/>
              </w:rPr>
            </w:pPr>
            <w:r>
              <w:rPr>
                <w:rFonts w:ascii="Arial" w:cs="Arial" w:eastAsia="Arial" w:hAnsi="Arial"/>
                <w:sz w:val="18"/>
                <w:szCs w:val="18"/>
                <w:color w:val="auto"/>
              </w:rPr>
              <w:t>D’Arcy Rudnay</w:t>
            </w:r>
          </w:p>
        </w:tc>
        <w:tc>
          <w:tcPr>
            <w:tcW w:w="1440" w:type="dxa"/>
            <w:vAlign w:val="bottom"/>
          </w:tcPr>
          <w:p>
            <w:pPr>
              <w:jc w:val="right"/>
              <w:spacing w:after="0"/>
              <w:rPr>
                <w:sz w:val="20"/>
                <w:szCs w:val="20"/>
                <w:color w:val="auto"/>
              </w:rPr>
            </w:pPr>
            <w:r>
              <w:rPr>
                <w:rFonts w:ascii="Arial" w:cs="Arial" w:eastAsia="Arial" w:hAnsi="Arial"/>
                <w:sz w:val="18"/>
                <w:szCs w:val="18"/>
                <w:color w:val="auto"/>
              </w:rPr>
              <w:t>(215) 981-8582</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Daniel J. Goodwin</w:t>
            </w:r>
          </w:p>
        </w:tc>
        <w:tc>
          <w:tcPr>
            <w:tcW w:w="3580" w:type="dxa"/>
            <w:vAlign w:val="bottom"/>
          </w:tcPr>
          <w:p>
            <w:pPr>
              <w:jc w:val="right"/>
              <w:ind w:right="1792"/>
              <w:spacing w:after="0"/>
              <w:rPr>
                <w:sz w:val="20"/>
                <w:szCs w:val="20"/>
                <w:color w:val="auto"/>
              </w:rPr>
            </w:pPr>
            <w:r>
              <w:rPr>
                <w:rFonts w:ascii="Arial" w:cs="Arial" w:eastAsia="Arial" w:hAnsi="Arial"/>
                <w:sz w:val="18"/>
                <w:szCs w:val="18"/>
                <w:color w:val="auto"/>
              </w:rPr>
              <w:t>(215) 981-7518</w:t>
            </w:r>
          </w:p>
        </w:tc>
        <w:tc>
          <w:tcPr>
            <w:tcW w:w="3900" w:type="dxa"/>
            <w:vAlign w:val="bottom"/>
          </w:tcPr>
          <w:p>
            <w:pPr>
              <w:ind w:left="1900"/>
              <w:spacing w:after="0"/>
              <w:rPr>
                <w:sz w:val="20"/>
                <w:szCs w:val="20"/>
                <w:color w:val="auto"/>
              </w:rPr>
            </w:pPr>
            <w:r>
              <w:rPr>
                <w:rFonts w:ascii="Arial" w:cs="Arial" w:eastAsia="Arial" w:hAnsi="Arial"/>
                <w:sz w:val="18"/>
                <w:szCs w:val="18"/>
                <w:color w:val="auto"/>
              </w:rPr>
              <w:t>John Demming</w:t>
            </w:r>
          </w:p>
        </w:tc>
        <w:tc>
          <w:tcPr>
            <w:tcW w:w="1440" w:type="dxa"/>
            <w:vAlign w:val="bottom"/>
          </w:tcPr>
          <w:p>
            <w:pPr>
              <w:jc w:val="right"/>
              <w:spacing w:after="0"/>
              <w:rPr>
                <w:sz w:val="20"/>
                <w:szCs w:val="20"/>
                <w:color w:val="auto"/>
              </w:rPr>
            </w:pPr>
            <w:r>
              <w:rPr>
                <w:rFonts w:ascii="Arial" w:cs="Arial" w:eastAsia="Arial" w:hAnsi="Arial"/>
                <w:sz w:val="18"/>
                <w:szCs w:val="18"/>
                <w:color w:val="auto"/>
              </w:rPr>
              <w:t>(215) 286-8011</w:t>
            </w:r>
          </w:p>
        </w:tc>
      </w:tr>
      <w:tr>
        <w:trPr>
          <w:trHeight w:val="222"/>
        </w:trPr>
        <w:tc>
          <w:tcPr>
            <w:tcW w:w="2480" w:type="dxa"/>
            <w:vAlign w:val="bottom"/>
          </w:tcPr>
          <w:p>
            <w:pPr>
              <w:spacing w:after="0"/>
              <w:rPr>
                <w:sz w:val="20"/>
                <w:szCs w:val="20"/>
                <w:color w:val="auto"/>
              </w:rPr>
            </w:pPr>
            <w:r>
              <w:rPr>
                <w:rFonts w:ascii="Arial" w:cs="Arial" w:eastAsia="Arial" w:hAnsi="Arial"/>
                <w:sz w:val="18"/>
                <w:szCs w:val="18"/>
                <w:color w:val="auto"/>
              </w:rPr>
              <w:t>Michael A. Kelman</w:t>
            </w:r>
          </w:p>
        </w:tc>
        <w:tc>
          <w:tcPr>
            <w:tcW w:w="3580" w:type="dxa"/>
            <w:vAlign w:val="bottom"/>
          </w:tcPr>
          <w:p>
            <w:pPr>
              <w:jc w:val="right"/>
              <w:ind w:right="1792"/>
              <w:spacing w:after="0"/>
              <w:rPr>
                <w:sz w:val="20"/>
                <w:szCs w:val="20"/>
                <w:color w:val="auto"/>
              </w:rPr>
            </w:pPr>
            <w:r>
              <w:rPr>
                <w:rFonts w:ascii="Arial" w:cs="Arial" w:eastAsia="Arial" w:hAnsi="Arial"/>
                <w:sz w:val="18"/>
                <w:szCs w:val="18"/>
                <w:color w:val="auto"/>
              </w:rPr>
              <w:t>(215) 286-3035</w:t>
            </w:r>
          </w:p>
        </w:tc>
        <w:tc>
          <w:tcPr>
            <w:tcW w:w="3900" w:type="dxa"/>
            <w:vAlign w:val="bottom"/>
          </w:tcPr>
          <w:p>
            <w:pPr>
              <w:spacing w:after="0"/>
              <w:rPr>
                <w:sz w:val="19"/>
                <w:szCs w:val="19"/>
                <w:color w:val="auto"/>
              </w:rPr>
            </w:pPr>
          </w:p>
        </w:tc>
        <w:tc>
          <w:tcPr>
            <w:tcW w:w="1440" w:type="dxa"/>
            <w:vAlign w:val="bottom"/>
          </w:tcPr>
          <w:p>
            <w:pPr>
              <w:spacing w:after="0"/>
              <w:rPr>
                <w:sz w:val="19"/>
                <w:szCs w:val="19"/>
                <w:color w:val="auto"/>
              </w:rPr>
            </w:pPr>
          </w:p>
        </w:tc>
      </w:tr>
    </w:tbl>
    <w:p>
      <w:pPr>
        <w:spacing w:after="0" w:line="213" w:lineRule="exact"/>
        <w:rPr>
          <w:sz w:val="20"/>
          <w:szCs w:val="20"/>
          <w:color w:val="auto"/>
        </w:rPr>
      </w:pPr>
    </w:p>
    <w:p>
      <w:pPr>
        <w:ind w:left="1860"/>
        <w:spacing w:after="0"/>
        <w:rPr>
          <w:sz w:val="20"/>
          <w:szCs w:val="20"/>
          <w:color w:val="auto"/>
        </w:rPr>
      </w:pPr>
      <w:r>
        <w:rPr>
          <w:rFonts w:ascii="Arial" w:cs="Arial" w:eastAsia="Arial" w:hAnsi="Arial"/>
          <w:sz w:val="22"/>
          <w:szCs w:val="22"/>
          <w:b w:val="1"/>
          <w:bCs w:val="1"/>
          <w:color w:val="auto"/>
        </w:rPr>
        <w:t>COMCAST REPORTS 2007 RESULTS AND PROVIDES OUTLOOK FOR 2008</w:t>
      </w:r>
    </w:p>
    <w:p>
      <w:pPr>
        <w:spacing w:after="0" w:line="152"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2007 Consolidated Revenue increased 24%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2007 Consolidated Operating Income increased 21%</w:t>
      </w:r>
    </w:p>
    <w:p>
      <w:pPr>
        <w:ind w:left="2860"/>
        <w:spacing w:after="0" w:line="230" w:lineRule="auto"/>
        <w:rPr>
          <w:sz w:val="20"/>
          <w:szCs w:val="20"/>
          <w:color w:val="auto"/>
        </w:rPr>
      </w:pPr>
      <w:r>
        <w:rPr>
          <w:rFonts w:ascii="Arial" w:cs="Arial" w:eastAsia="Arial" w:hAnsi="Arial"/>
          <w:sz w:val="22"/>
          <w:szCs w:val="22"/>
          <w:b w:val="1"/>
          <w:bCs w:val="1"/>
          <w:color w:val="auto"/>
        </w:rPr>
        <w:t>2007 Consolidated Operating Cash Flow increased 25%</w:t>
      </w:r>
    </w:p>
    <w:p>
      <w:pPr>
        <w:spacing w:after="0" w:line="1" w:lineRule="exact"/>
        <w:rPr>
          <w:sz w:val="20"/>
          <w:szCs w:val="20"/>
          <w:color w:val="auto"/>
        </w:rPr>
      </w:pPr>
    </w:p>
    <w:p>
      <w:pPr>
        <w:ind w:left="2800"/>
        <w:spacing w:after="0"/>
        <w:rPr>
          <w:sz w:val="20"/>
          <w:szCs w:val="20"/>
          <w:color w:val="auto"/>
        </w:rPr>
      </w:pPr>
      <w:r>
        <w:rPr>
          <w:rFonts w:ascii="Arial" w:cs="Arial" w:eastAsia="Arial" w:hAnsi="Arial"/>
          <w:sz w:val="22"/>
          <w:szCs w:val="22"/>
          <w:b w:val="1"/>
          <w:bCs w:val="1"/>
          <w:color w:val="auto"/>
        </w:rPr>
        <w:t>2007 EPS of $0.83; Adjusted EPS of $0.74 increased 23%</w:t>
      </w:r>
    </w:p>
    <w:p>
      <w:pPr>
        <w:spacing w:after="0" w:line="126"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Company Repurchased $1.25 billion of its Common Shares in the 4</w:t>
      </w:r>
      <w:r>
        <w:rPr>
          <w:rFonts w:ascii="Arial" w:cs="Arial" w:eastAsia="Arial" w:hAnsi="Arial"/>
          <w:sz w:val="11"/>
          <w:szCs w:val="11"/>
          <w:b w:val="1"/>
          <w:bCs w:val="1"/>
          <w:color w:val="auto"/>
        </w:rPr>
        <w:t>th</w:t>
      </w:r>
      <w:r>
        <w:rPr>
          <w:rFonts w:ascii="Arial" w:cs="Arial" w:eastAsia="Arial" w:hAnsi="Arial"/>
          <w:sz w:val="22"/>
          <w:szCs w:val="22"/>
          <w:b w:val="1"/>
          <w:bCs w:val="1"/>
          <w:color w:val="auto"/>
        </w:rPr>
        <w:t xml:space="preserve"> Quarter</w:t>
      </w:r>
    </w:p>
    <w:p>
      <w:pPr>
        <w:spacing w:after="0" w:line="152" w:lineRule="exact"/>
        <w:rPr>
          <w:sz w:val="20"/>
          <w:szCs w:val="20"/>
          <w:color w:val="auto"/>
        </w:rPr>
      </w:pPr>
    </w:p>
    <w:p>
      <w:pPr>
        <w:ind w:left="2300"/>
        <w:spacing w:after="0"/>
        <w:rPr>
          <w:sz w:val="20"/>
          <w:szCs w:val="20"/>
          <w:color w:val="auto"/>
        </w:rPr>
      </w:pPr>
      <w:r>
        <w:rPr>
          <w:rFonts w:ascii="Arial" w:cs="Arial" w:eastAsia="Arial" w:hAnsi="Arial"/>
          <w:sz w:val="22"/>
          <w:szCs w:val="22"/>
          <w:b w:val="1"/>
          <w:bCs w:val="1"/>
          <w:color w:val="auto"/>
        </w:rPr>
        <w:t>Comcast Initiates a Quarterly Dividend - Planned at $0.25 Annually</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to Repurchase Approximately $7 billion of Stock by Year-End 2009</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Philadelphia, PA – February 14, 2008…Comcast Corporation (NASDAQ: CMCSA, CMCSK) today reported results for the quarter and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2007. The following table highlights financial and operational results (dollars in millions, except per share amounts; units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4th Quarter</w:t>
            </w:r>
          </w:p>
        </w:tc>
        <w:tc>
          <w:tcPr>
            <w:tcW w:w="8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Full Year</w:t>
            </w:r>
          </w:p>
        </w:tc>
        <w:tc>
          <w:tcPr>
            <w:tcW w:w="700" w:type="dxa"/>
            <w:vAlign w:val="bottom"/>
            <w:tcBorders>
              <w:bottom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vMerge w:val="restart"/>
          </w:tcPr>
          <w:p>
            <w:pPr>
              <w:ind w:left="1140"/>
              <w:spacing w:after="0"/>
              <w:rPr>
                <w:sz w:val="20"/>
                <w:szCs w:val="20"/>
                <w:color w:val="auto"/>
              </w:rPr>
            </w:pPr>
            <w:r>
              <w:rPr>
                <w:rFonts w:ascii="Arial" w:cs="Arial" w:eastAsia="Arial" w:hAnsi="Arial"/>
                <w:sz w:val="18"/>
                <w:szCs w:val="18"/>
                <w:b w:val="1"/>
                <w:bCs w:val="1"/>
                <w:i w:val="1"/>
                <w:iCs w:val="1"/>
                <w:color w:val="auto"/>
              </w:rPr>
              <w:t>Consolidated</w:t>
            </w:r>
          </w:p>
        </w:tc>
        <w:tc>
          <w:tcPr>
            <w:tcW w:w="13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2007</w:t>
            </w:r>
          </w:p>
        </w:tc>
        <w:tc>
          <w:tcPr>
            <w:tcW w:w="10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2006</w:t>
            </w:r>
          </w:p>
        </w:tc>
        <w:tc>
          <w:tcPr>
            <w:tcW w:w="8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Growth</w:t>
            </w:r>
          </w:p>
        </w:tc>
        <w:tc>
          <w:tcPr>
            <w:tcW w:w="9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2007</w:t>
            </w:r>
          </w:p>
        </w:tc>
        <w:tc>
          <w:tcPr>
            <w:tcW w:w="11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2006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Growth</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28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140"/>
              <w:spacing w:after="0"/>
              <w:rPr>
                <w:sz w:val="20"/>
                <w:szCs w:val="20"/>
                <w:color w:val="auto"/>
              </w:rPr>
            </w:pPr>
            <w:r>
              <w:rPr>
                <w:rFonts w:ascii="Arial" w:cs="Arial" w:eastAsia="Arial" w:hAnsi="Arial"/>
                <w:sz w:val="18"/>
                <w:szCs w:val="18"/>
                <w:color w:val="auto"/>
              </w:rPr>
              <w:t>Revenue</w:t>
            </w: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$8,014</w:t>
            </w:r>
          </w:p>
        </w:tc>
        <w:tc>
          <w:tcPr>
            <w:tcW w:w="1080" w:type="dxa"/>
            <w:vAlign w:val="bottom"/>
          </w:tcPr>
          <w:p>
            <w:pPr>
              <w:jc w:val="right"/>
              <w:ind w:right="216"/>
              <w:spacing w:after="0"/>
              <w:rPr>
                <w:sz w:val="20"/>
                <w:szCs w:val="20"/>
                <w:color w:val="auto"/>
              </w:rPr>
            </w:pPr>
            <w:r>
              <w:rPr>
                <w:rFonts w:ascii="Arial" w:cs="Arial" w:eastAsia="Arial" w:hAnsi="Arial"/>
                <w:sz w:val="18"/>
                <w:szCs w:val="18"/>
                <w:color w:val="auto"/>
              </w:rPr>
              <w:t>$7,031</w:t>
            </w:r>
          </w:p>
        </w:tc>
        <w:tc>
          <w:tcPr>
            <w:tcW w:w="800" w:type="dxa"/>
            <w:vAlign w:val="bottom"/>
          </w:tcPr>
          <w:p>
            <w:pPr>
              <w:jc w:val="right"/>
              <w:ind w:right="134"/>
              <w:spacing w:after="0"/>
              <w:rPr>
                <w:sz w:val="20"/>
                <w:szCs w:val="20"/>
                <w:color w:val="auto"/>
              </w:rPr>
            </w:pPr>
            <w:r>
              <w:rPr>
                <w:rFonts w:ascii="Arial" w:cs="Arial" w:eastAsia="Arial" w:hAnsi="Arial"/>
                <w:sz w:val="18"/>
                <w:szCs w:val="18"/>
                <w:color w:val="auto"/>
              </w:rPr>
              <w:t>14%</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$30,895</w:t>
            </w:r>
          </w:p>
        </w:tc>
        <w:tc>
          <w:tcPr>
            <w:tcW w:w="1100" w:type="dxa"/>
            <w:vAlign w:val="bottom"/>
          </w:tcPr>
          <w:p>
            <w:pPr>
              <w:jc w:val="right"/>
              <w:ind w:right="176"/>
              <w:spacing w:after="0"/>
              <w:rPr>
                <w:sz w:val="20"/>
                <w:szCs w:val="20"/>
                <w:color w:val="auto"/>
              </w:rPr>
            </w:pPr>
            <w:r>
              <w:rPr>
                <w:rFonts w:ascii="Arial" w:cs="Arial" w:eastAsia="Arial" w:hAnsi="Arial"/>
                <w:sz w:val="18"/>
                <w:szCs w:val="18"/>
                <w:color w:val="auto"/>
              </w:rPr>
              <w:t>$24,966</w:t>
            </w: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140"/>
              <w:spacing w:after="0"/>
              <w:rPr>
                <w:sz w:val="20"/>
                <w:szCs w:val="20"/>
                <w:color w:val="auto"/>
              </w:rPr>
            </w:pPr>
            <w:r>
              <w:rPr>
                <w:rFonts w:ascii="Arial" w:cs="Arial" w:eastAsia="Arial" w:hAnsi="Arial"/>
                <w:sz w:val="18"/>
                <w:szCs w:val="18"/>
                <w:color w:val="auto"/>
              </w:rPr>
              <w:t>Operating Cash Flow</w:t>
            </w: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$3,082</w:t>
            </w:r>
          </w:p>
        </w:tc>
        <w:tc>
          <w:tcPr>
            <w:tcW w:w="1080" w:type="dxa"/>
            <w:vAlign w:val="bottom"/>
          </w:tcPr>
          <w:p>
            <w:pPr>
              <w:jc w:val="right"/>
              <w:ind w:right="216"/>
              <w:spacing w:after="0"/>
              <w:rPr>
                <w:sz w:val="20"/>
                <w:szCs w:val="20"/>
                <w:color w:val="auto"/>
              </w:rPr>
            </w:pPr>
            <w:r>
              <w:rPr>
                <w:rFonts w:ascii="Arial" w:cs="Arial" w:eastAsia="Arial" w:hAnsi="Arial"/>
                <w:sz w:val="18"/>
                <w:szCs w:val="18"/>
                <w:color w:val="auto"/>
              </w:rPr>
              <w:t>$2,594</w:t>
            </w:r>
          </w:p>
        </w:tc>
        <w:tc>
          <w:tcPr>
            <w:tcW w:w="800" w:type="dxa"/>
            <w:vAlign w:val="bottom"/>
          </w:tcPr>
          <w:p>
            <w:pPr>
              <w:jc w:val="right"/>
              <w:ind w:right="134"/>
              <w:spacing w:after="0"/>
              <w:rPr>
                <w:sz w:val="20"/>
                <w:szCs w:val="20"/>
                <w:color w:val="auto"/>
              </w:rPr>
            </w:pPr>
            <w:r>
              <w:rPr>
                <w:rFonts w:ascii="Arial" w:cs="Arial" w:eastAsia="Arial" w:hAnsi="Arial"/>
                <w:sz w:val="18"/>
                <w:szCs w:val="18"/>
                <w:color w:val="auto"/>
              </w:rPr>
              <w:t>19%</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$11,786</w:t>
            </w:r>
          </w:p>
        </w:tc>
        <w:tc>
          <w:tcPr>
            <w:tcW w:w="1100" w:type="dxa"/>
            <w:vAlign w:val="bottom"/>
          </w:tcPr>
          <w:p>
            <w:pPr>
              <w:jc w:val="right"/>
              <w:ind w:right="176"/>
              <w:spacing w:after="0"/>
              <w:rPr>
                <w:sz w:val="20"/>
                <w:szCs w:val="20"/>
                <w:color w:val="auto"/>
              </w:rPr>
            </w:pPr>
            <w:r>
              <w:rPr>
                <w:rFonts w:ascii="Arial" w:cs="Arial" w:eastAsia="Arial" w:hAnsi="Arial"/>
                <w:sz w:val="18"/>
                <w:szCs w:val="18"/>
                <w:color w:val="auto"/>
              </w:rPr>
              <w:t>$9,442</w:t>
            </w: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140"/>
              <w:spacing w:after="0"/>
              <w:rPr>
                <w:sz w:val="20"/>
                <w:szCs w:val="20"/>
                <w:color w:val="auto"/>
              </w:rPr>
            </w:pPr>
            <w:r>
              <w:rPr>
                <w:rFonts w:ascii="Arial" w:cs="Arial" w:eastAsia="Arial" w:hAnsi="Arial"/>
                <w:sz w:val="18"/>
                <w:szCs w:val="18"/>
                <w:color w:val="auto"/>
              </w:rPr>
              <w:t>Operating Income</w:t>
            </w: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$1,458</w:t>
            </w:r>
          </w:p>
        </w:tc>
        <w:tc>
          <w:tcPr>
            <w:tcW w:w="1080" w:type="dxa"/>
            <w:vAlign w:val="bottom"/>
          </w:tcPr>
          <w:p>
            <w:pPr>
              <w:jc w:val="right"/>
              <w:ind w:right="216"/>
              <w:spacing w:after="0"/>
              <w:rPr>
                <w:sz w:val="20"/>
                <w:szCs w:val="20"/>
                <w:color w:val="auto"/>
              </w:rPr>
            </w:pPr>
            <w:r>
              <w:rPr>
                <w:rFonts w:ascii="Arial" w:cs="Arial" w:eastAsia="Arial" w:hAnsi="Arial"/>
                <w:sz w:val="18"/>
                <w:szCs w:val="18"/>
                <w:color w:val="auto"/>
              </w:rPr>
              <w:t>$1,218</w:t>
            </w:r>
          </w:p>
        </w:tc>
        <w:tc>
          <w:tcPr>
            <w:tcW w:w="800" w:type="dxa"/>
            <w:vAlign w:val="bottom"/>
          </w:tcPr>
          <w:p>
            <w:pPr>
              <w:jc w:val="right"/>
              <w:ind w:right="134"/>
              <w:spacing w:after="0"/>
              <w:rPr>
                <w:sz w:val="20"/>
                <w:szCs w:val="20"/>
                <w:color w:val="auto"/>
              </w:rPr>
            </w:pPr>
            <w:r>
              <w:rPr>
                <w:rFonts w:ascii="Arial" w:cs="Arial" w:eastAsia="Arial" w:hAnsi="Arial"/>
                <w:sz w:val="18"/>
                <w:szCs w:val="18"/>
                <w:color w:val="auto"/>
              </w:rPr>
              <w:t>20%</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$5,578</w:t>
            </w:r>
          </w:p>
        </w:tc>
        <w:tc>
          <w:tcPr>
            <w:tcW w:w="1100" w:type="dxa"/>
            <w:vAlign w:val="bottom"/>
          </w:tcPr>
          <w:p>
            <w:pPr>
              <w:jc w:val="right"/>
              <w:ind w:right="176"/>
              <w:spacing w:after="0"/>
              <w:rPr>
                <w:sz w:val="20"/>
                <w:szCs w:val="20"/>
                <w:color w:val="auto"/>
              </w:rPr>
            </w:pPr>
            <w:r>
              <w:rPr>
                <w:rFonts w:ascii="Arial" w:cs="Arial" w:eastAsia="Arial" w:hAnsi="Arial"/>
                <w:sz w:val="18"/>
                <w:szCs w:val="18"/>
                <w:color w:val="auto"/>
              </w:rPr>
              <w:t>$4,619</w:t>
            </w: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140"/>
              <w:spacing w:after="0"/>
              <w:rPr>
                <w:sz w:val="20"/>
                <w:szCs w:val="20"/>
                <w:color w:val="auto"/>
              </w:rPr>
            </w:pPr>
            <w:r>
              <w:rPr>
                <w:rFonts w:ascii="Arial" w:cs="Arial" w:eastAsia="Arial" w:hAnsi="Arial"/>
                <w:sz w:val="18"/>
                <w:szCs w:val="18"/>
                <w:color w:val="auto"/>
              </w:rPr>
              <w:t>Net Income</w:t>
            </w: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$602</w:t>
            </w:r>
          </w:p>
        </w:tc>
        <w:tc>
          <w:tcPr>
            <w:tcW w:w="1080" w:type="dxa"/>
            <w:vAlign w:val="bottom"/>
          </w:tcPr>
          <w:p>
            <w:pPr>
              <w:jc w:val="right"/>
              <w:ind w:right="216"/>
              <w:spacing w:after="0"/>
              <w:rPr>
                <w:sz w:val="20"/>
                <w:szCs w:val="20"/>
                <w:color w:val="auto"/>
              </w:rPr>
            </w:pPr>
            <w:r>
              <w:rPr>
                <w:rFonts w:ascii="Arial" w:cs="Arial" w:eastAsia="Arial" w:hAnsi="Arial"/>
                <w:sz w:val="18"/>
                <w:szCs w:val="18"/>
                <w:color w:val="auto"/>
              </w:rPr>
              <w:t>$390</w:t>
            </w:r>
          </w:p>
        </w:tc>
        <w:tc>
          <w:tcPr>
            <w:tcW w:w="800" w:type="dxa"/>
            <w:vAlign w:val="bottom"/>
          </w:tcPr>
          <w:p>
            <w:pPr>
              <w:jc w:val="right"/>
              <w:ind w:right="134"/>
              <w:spacing w:after="0"/>
              <w:rPr>
                <w:sz w:val="20"/>
                <w:szCs w:val="20"/>
                <w:color w:val="auto"/>
              </w:rPr>
            </w:pPr>
            <w:r>
              <w:rPr>
                <w:rFonts w:ascii="Arial" w:cs="Arial" w:eastAsia="Arial" w:hAnsi="Arial"/>
                <w:sz w:val="18"/>
                <w:szCs w:val="18"/>
                <w:color w:val="auto"/>
              </w:rPr>
              <w:t>54%</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$2,587</w:t>
            </w:r>
          </w:p>
        </w:tc>
        <w:tc>
          <w:tcPr>
            <w:tcW w:w="1100" w:type="dxa"/>
            <w:vAlign w:val="bottom"/>
          </w:tcPr>
          <w:p>
            <w:pPr>
              <w:jc w:val="right"/>
              <w:ind w:right="176"/>
              <w:spacing w:after="0"/>
              <w:rPr>
                <w:sz w:val="20"/>
                <w:szCs w:val="20"/>
                <w:color w:val="auto"/>
              </w:rPr>
            </w:pPr>
            <w:r>
              <w:rPr>
                <w:rFonts w:ascii="Arial" w:cs="Arial" w:eastAsia="Arial" w:hAnsi="Arial"/>
                <w:sz w:val="18"/>
                <w:szCs w:val="18"/>
                <w:color w:val="auto"/>
              </w:rPr>
              <w:t>$2,533</w:t>
            </w: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80" w:type="dxa"/>
            <w:vAlign w:val="bottom"/>
          </w:tcPr>
          <w:p>
            <w:pPr>
              <w:ind w:left="1140"/>
              <w:spacing w:after="0"/>
              <w:rPr>
                <w:sz w:val="20"/>
                <w:szCs w:val="20"/>
                <w:color w:val="auto"/>
              </w:rPr>
            </w:pPr>
            <w:r>
              <w:rPr>
                <w:rFonts w:ascii="Arial" w:cs="Arial" w:eastAsia="Arial" w:hAnsi="Arial"/>
                <w:sz w:val="18"/>
                <w:szCs w:val="18"/>
                <w:color w:val="auto"/>
              </w:rPr>
              <w:t>Earnings per Share</w:t>
            </w: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$0.20</w:t>
            </w:r>
          </w:p>
        </w:tc>
        <w:tc>
          <w:tcPr>
            <w:tcW w:w="1080" w:type="dxa"/>
            <w:vAlign w:val="bottom"/>
          </w:tcPr>
          <w:p>
            <w:pPr>
              <w:jc w:val="right"/>
              <w:ind w:right="216"/>
              <w:spacing w:after="0"/>
              <w:rPr>
                <w:sz w:val="20"/>
                <w:szCs w:val="20"/>
                <w:color w:val="auto"/>
              </w:rPr>
            </w:pPr>
            <w:r>
              <w:rPr>
                <w:rFonts w:ascii="Arial" w:cs="Arial" w:eastAsia="Arial" w:hAnsi="Arial"/>
                <w:sz w:val="18"/>
                <w:szCs w:val="18"/>
                <w:color w:val="auto"/>
              </w:rPr>
              <w:t>$0.13</w:t>
            </w:r>
          </w:p>
        </w:tc>
        <w:tc>
          <w:tcPr>
            <w:tcW w:w="800" w:type="dxa"/>
            <w:vAlign w:val="bottom"/>
          </w:tcPr>
          <w:p>
            <w:pPr>
              <w:jc w:val="right"/>
              <w:ind w:right="134"/>
              <w:spacing w:after="0"/>
              <w:rPr>
                <w:sz w:val="20"/>
                <w:szCs w:val="20"/>
                <w:color w:val="auto"/>
              </w:rPr>
            </w:pPr>
            <w:r>
              <w:rPr>
                <w:rFonts w:ascii="Arial" w:cs="Arial" w:eastAsia="Arial" w:hAnsi="Arial"/>
                <w:sz w:val="18"/>
                <w:szCs w:val="18"/>
                <w:color w:val="auto"/>
              </w:rPr>
              <w:t>54%</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$0.83</w:t>
            </w:r>
          </w:p>
        </w:tc>
        <w:tc>
          <w:tcPr>
            <w:tcW w:w="1100" w:type="dxa"/>
            <w:vAlign w:val="bottom"/>
          </w:tcPr>
          <w:p>
            <w:pPr>
              <w:jc w:val="right"/>
              <w:ind w:right="176"/>
              <w:spacing w:after="0"/>
              <w:rPr>
                <w:sz w:val="20"/>
                <w:szCs w:val="20"/>
                <w:color w:val="auto"/>
              </w:rPr>
            </w:pPr>
            <w:r>
              <w:rPr>
                <w:rFonts w:ascii="Arial" w:cs="Arial" w:eastAsia="Arial" w:hAnsi="Arial"/>
                <w:sz w:val="18"/>
                <w:szCs w:val="18"/>
                <w:color w:val="auto"/>
              </w:rPr>
              <w:t>$0.79</w:t>
            </w: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4280" w:type="dxa"/>
            <w:vAlign w:val="bottom"/>
          </w:tcPr>
          <w:p>
            <w:pPr>
              <w:ind w:left="1140"/>
              <w:spacing w:after="0"/>
              <w:rPr>
                <w:sz w:val="20"/>
                <w:szCs w:val="20"/>
                <w:color w:val="auto"/>
              </w:rPr>
            </w:pPr>
            <w:r>
              <w:rPr>
                <w:rFonts w:ascii="Arial" w:cs="Arial" w:eastAsia="Arial" w:hAnsi="Arial"/>
                <w:sz w:val="18"/>
                <w:szCs w:val="18"/>
                <w:color w:val="auto"/>
              </w:rPr>
              <w:t>Adjusted Net Income</w:t>
            </w:r>
            <w:r>
              <w:rPr>
                <w:rFonts w:ascii="Arial" w:cs="Arial" w:eastAsia="Arial" w:hAnsi="Arial"/>
                <w:sz w:val="22"/>
                <w:szCs w:val="22"/>
                <w:color w:val="auto"/>
                <w:vertAlign w:val="superscript"/>
              </w:rPr>
              <w:t>1</w:t>
            </w: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$602</w:t>
            </w:r>
          </w:p>
        </w:tc>
        <w:tc>
          <w:tcPr>
            <w:tcW w:w="1080" w:type="dxa"/>
            <w:vAlign w:val="bottom"/>
          </w:tcPr>
          <w:p>
            <w:pPr>
              <w:jc w:val="right"/>
              <w:ind w:right="216"/>
              <w:spacing w:after="0"/>
              <w:rPr>
                <w:sz w:val="20"/>
                <w:szCs w:val="20"/>
                <w:color w:val="auto"/>
              </w:rPr>
            </w:pPr>
            <w:r>
              <w:rPr>
                <w:rFonts w:ascii="Arial" w:cs="Arial" w:eastAsia="Arial" w:hAnsi="Arial"/>
                <w:sz w:val="18"/>
                <w:szCs w:val="18"/>
                <w:color w:val="auto"/>
              </w:rPr>
              <w:t>$459</w:t>
            </w:r>
          </w:p>
        </w:tc>
        <w:tc>
          <w:tcPr>
            <w:tcW w:w="800" w:type="dxa"/>
            <w:vAlign w:val="bottom"/>
          </w:tcPr>
          <w:p>
            <w:pPr>
              <w:jc w:val="right"/>
              <w:ind w:right="134"/>
              <w:spacing w:after="0"/>
              <w:rPr>
                <w:sz w:val="20"/>
                <w:szCs w:val="20"/>
                <w:color w:val="auto"/>
              </w:rPr>
            </w:pPr>
            <w:r>
              <w:rPr>
                <w:rFonts w:ascii="Arial" w:cs="Arial" w:eastAsia="Arial" w:hAnsi="Arial"/>
                <w:sz w:val="18"/>
                <w:szCs w:val="18"/>
                <w:color w:val="auto"/>
              </w:rPr>
              <w:t>31%</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$2,287</w:t>
            </w:r>
          </w:p>
        </w:tc>
        <w:tc>
          <w:tcPr>
            <w:tcW w:w="1100" w:type="dxa"/>
            <w:vAlign w:val="bottom"/>
          </w:tcPr>
          <w:p>
            <w:pPr>
              <w:jc w:val="right"/>
              <w:ind w:right="176"/>
              <w:spacing w:after="0"/>
              <w:rPr>
                <w:sz w:val="20"/>
                <w:szCs w:val="20"/>
                <w:color w:val="auto"/>
              </w:rPr>
            </w:pPr>
            <w:r>
              <w:rPr>
                <w:rFonts w:ascii="Arial" w:cs="Arial" w:eastAsia="Arial" w:hAnsi="Arial"/>
                <w:sz w:val="18"/>
                <w:szCs w:val="18"/>
                <w:color w:val="auto"/>
              </w:rPr>
              <w:t>$1,933</w:t>
            </w: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280" w:type="dxa"/>
            <w:vAlign w:val="bottom"/>
          </w:tcPr>
          <w:p>
            <w:pPr>
              <w:ind w:left="1140"/>
              <w:spacing w:after="0"/>
              <w:rPr>
                <w:sz w:val="20"/>
                <w:szCs w:val="20"/>
                <w:color w:val="auto"/>
              </w:rPr>
            </w:pPr>
            <w:r>
              <w:rPr>
                <w:rFonts w:ascii="Arial" w:cs="Arial" w:eastAsia="Arial" w:hAnsi="Arial"/>
                <w:sz w:val="18"/>
                <w:szCs w:val="18"/>
                <w:color w:val="auto"/>
              </w:rPr>
              <w:t>Adjusted Earnings per Share</w:t>
            </w:r>
            <w:r>
              <w:rPr>
                <w:rFonts w:ascii="Arial" w:cs="Arial" w:eastAsia="Arial" w:hAnsi="Arial"/>
                <w:sz w:val="22"/>
                <w:szCs w:val="22"/>
                <w:color w:val="auto"/>
                <w:vertAlign w:val="superscript"/>
              </w:rPr>
              <w:t>1</w:t>
            </w: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$0.20</w:t>
            </w:r>
          </w:p>
        </w:tc>
        <w:tc>
          <w:tcPr>
            <w:tcW w:w="1080" w:type="dxa"/>
            <w:vAlign w:val="bottom"/>
          </w:tcPr>
          <w:p>
            <w:pPr>
              <w:jc w:val="right"/>
              <w:ind w:right="216"/>
              <w:spacing w:after="0"/>
              <w:rPr>
                <w:sz w:val="20"/>
                <w:szCs w:val="20"/>
                <w:color w:val="auto"/>
              </w:rPr>
            </w:pPr>
            <w:r>
              <w:rPr>
                <w:rFonts w:ascii="Arial" w:cs="Arial" w:eastAsia="Arial" w:hAnsi="Arial"/>
                <w:sz w:val="18"/>
                <w:szCs w:val="18"/>
                <w:color w:val="auto"/>
              </w:rPr>
              <w:t>$0.15</w:t>
            </w:r>
          </w:p>
        </w:tc>
        <w:tc>
          <w:tcPr>
            <w:tcW w:w="800" w:type="dxa"/>
            <w:vAlign w:val="bottom"/>
          </w:tcPr>
          <w:p>
            <w:pPr>
              <w:jc w:val="right"/>
              <w:ind w:right="134"/>
              <w:spacing w:after="0"/>
              <w:rPr>
                <w:sz w:val="20"/>
                <w:szCs w:val="20"/>
                <w:color w:val="auto"/>
              </w:rPr>
            </w:pPr>
            <w:r>
              <w:rPr>
                <w:rFonts w:ascii="Arial" w:cs="Arial" w:eastAsia="Arial" w:hAnsi="Arial"/>
                <w:sz w:val="18"/>
                <w:szCs w:val="18"/>
                <w:color w:val="auto"/>
              </w:rPr>
              <w:t>33%</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$0.74</w:t>
            </w:r>
          </w:p>
        </w:tc>
        <w:tc>
          <w:tcPr>
            <w:tcW w:w="1100" w:type="dxa"/>
            <w:vAlign w:val="bottom"/>
          </w:tcPr>
          <w:p>
            <w:pPr>
              <w:jc w:val="right"/>
              <w:ind w:right="176"/>
              <w:spacing w:after="0"/>
              <w:rPr>
                <w:sz w:val="20"/>
                <w:szCs w:val="20"/>
                <w:color w:val="auto"/>
              </w:rPr>
            </w:pPr>
            <w:r>
              <w:rPr>
                <w:rFonts w:ascii="Arial" w:cs="Arial" w:eastAsia="Arial" w:hAnsi="Arial"/>
                <w:sz w:val="18"/>
                <w:szCs w:val="18"/>
                <w:color w:val="auto"/>
              </w:rPr>
              <w:t>$0.60</w:t>
            </w: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280" w:type="dxa"/>
            <w:vAlign w:val="bottom"/>
          </w:tcPr>
          <w:p>
            <w:pPr>
              <w:ind w:left="1140"/>
              <w:spacing w:after="0"/>
              <w:rPr>
                <w:sz w:val="20"/>
                <w:szCs w:val="20"/>
                <w:color w:val="auto"/>
              </w:rPr>
            </w:pPr>
            <w:r>
              <w:rPr>
                <w:rFonts w:ascii="Arial" w:cs="Arial" w:eastAsia="Arial" w:hAnsi="Arial"/>
                <w:sz w:val="18"/>
                <w:szCs w:val="18"/>
                <w:b w:val="1"/>
                <w:bCs w:val="1"/>
                <w:i w:val="1"/>
                <w:iCs w:val="1"/>
                <w:color w:val="auto"/>
              </w:rPr>
              <w:t>Pro Forma Cable</w:t>
            </w:r>
            <w:r>
              <w:rPr>
                <w:rFonts w:ascii="Arial" w:cs="Arial" w:eastAsia="Arial" w:hAnsi="Arial"/>
                <w:sz w:val="22"/>
                <w:szCs w:val="22"/>
                <w:b w:val="1"/>
                <w:bCs w:val="1"/>
                <w:i w:val="1"/>
                <w:iCs w:val="1"/>
                <w:color w:val="auto"/>
                <w:vertAlign w:val="superscript"/>
              </w:rPr>
              <w:t>2</w:t>
            </w: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140"/>
              <w:spacing w:after="0"/>
              <w:rPr>
                <w:sz w:val="20"/>
                <w:szCs w:val="20"/>
                <w:color w:val="auto"/>
              </w:rPr>
            </w:pPr>
            <w:r>
              <w:rPr>
                <w:rFonts w:ascii="Arial" w:cs="Arial" w:eastAsia="Arial" w:hAnsi="Arial"/>
                <w:sz w:val="18"/>
                <w:szCs w:val="18"/>
                <w:color w:val="auto"/>
              </w:rPr>
              <w:t>Revenue</w:t>
            </w: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$7,578</w:t>
            </w:r>
          </w:p>
        </w:tc>
        <w:tc>
          <w:tcPr>
            <w:tcW w:w="1080" w:type="dxa"/>
            <w:vAlign w:val="bottom"/>
          </w:tcPr>
          <w:p>
            <w:pPr>
              <w:jc w:val="right"/>
              <w:ind w:right="216"/>
              <w:spacing w:after="0"/>
              <w:rPr>
                <w:sz w:val="20"/>
                <w:szCs w:val="20"/>
                <w:color w:val="auto"/>
              </w:rPr>
            </w:pPr>
            <w:r>
              <w:rPr>
                <w:rFonts w:ascii="Arial" w:cs="Arial" w:eastAsia="Arial" w:hAnsi="Arial"/>
                <w:sz w:val="18"/>
                <w:szCs w:val="18"/>
                <w:color w:val="auto"/>
              </w:rPr>
              <w:t>$6,927</w:t>
            </w:r>
          </w:p>
        </w:tc>
        <w:tc>
          <w:tcPr>
            <w:tcW w:w="800" w:type="dxa"/>
            <w:vAlign w:val="bottom"/>
          </w:tcPr>
          <w:p>
            <w:pPr>
              <w:jc w:val="right"/>
              <w:ind w:right="134"/>
              <w:spacing w:after="0"/>
              <w:rPr>
                <w:sz w:val="20"/>
                <w:szCs w:val="20"/>
                <w:color w:val="auto"/>
              </w:rPr>
            </w:pPr>
            <w:r>
              <w:rPr>
                <w:rFonts w:ascii="Arial" w:cs="Arial" w:eastAsia="Arial" w:hAnsi="Arial"/>
                <w:sz w:val="18"/>
                <w:szCs w:val="18"/>
                <w:color w:val="auto"/>
              </w:rPr>
              <w:t>9%</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$29,434</w:t>
            </w:r>
          </w:p>
        </w:tc>
        <w:tc>
          <w:tcPr>
            <w:tcW w:w="1100" w:type="dxa"/>
            <w:vAlign w:val="bottom"/>
          </w:tcPr>
          <w:p>
            <w:pPr>
              <w:jc w:val="right"/>
              <w:ind w:right="176"/>
              <w:spacing w:after="0"/>
              <w:rPr>
                <w:sz w:val="20"/>
                <w:szCs w:val="20"/>
                <w:color w:val="auto"/>
              </w:rPr>
            </w:pPr>
            <w:r>
              <w:rPr>
                <w:rFonts w:ascii="Arial" w:cs="Arial" w:eastAsia="Arial" w:hAnsi="Arial"/>
                <w:sz w:val="18"/>
                <w:szCs w:val="18"/>
                <w:color w:val="auto"/>
              </w:rPr>
              <w:t>$26,482</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140"/>
              <w:spacing w:after="0"/>
              <w:rPr>
                <w:sz w:val="20"/>
                <w:szCs w:val="20"/>
                <w:color w:val="auto"/>
              </w:rPr>
            </w:pPr>
            <w:r>
              <w:rPr>
                <w:rFonts w:ascii="Arial" w:cs="Arial" w:eastAsia="Arial" w:hAnsi="Arial"/>
                <w:sz w:val="18"/>
                <w:szCs w:val="18"/>
                <w:color w:val="auto"/>
              </w:rPr>
              <w:t>Operating Cash Flow</w:t>
            </w: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$3,124</w:t>
            </w:r>
          </w:p>
        </w:tc>
        <w:tc>
          <w:tcPr>
            <w:tcW w:w="1080" w:type="dxa"/>
            <w:vAlign w:val="bottom"/>
          </w:tcPr>
          <w:p>
            <w:pPr>
              <w:jc w:val="right"/>
              <w:ind w:right="216"/>
              <w:spacing w:after="0"/>
              <w:rPr>
                <w:sz w:val="20"/>
                <w:szCs w:val="20"/>
                <w:color w:val="auto"/>
              </w:rPr>
            </w:pPr>
            <w:r>
              <w:rPr>
                <w:rFonts w:ascii="Arial" w:cs="Arial" w:eastAsia="Arial" w:hAnsi="Arial"/>
                <w:sz w:val="18"/>
                <w:szCs w:val="18"/>
                <w:color w:val="auto"/>
              </w:rPr>
              <w:t>$2,755</w:t>
            </w:r>
          </w:p>
        </w:tc>
        <w:tc>
          <w:tcPr>
            <w:tcW w:w="800" w:type="dxa"/>
            <w:vAlign w:val="bottom"/>
          </w:tcPr>
          <w:p>
            <w:pPr>
              <w:jc w:val="right"/>
              <w:ind w:right="134"/>
              <w:spacing w:after="0"/>
              <w:rPr>
                <w:sz w:val="20"/>
                <w:szCs w:val="20"/>
                <w:color w:val="auto"/>
              </w:rPr>
            </w:pPr>
            <w:r>
              <w:rPr>
                <w:rFonts w:ascii="Arial" w:cs="Arial" w:eastAsia="Arial" w:hAnsi="Arial"/>
                <w:sz w:val="18"/>
                <w:szCs w:val="18"/>
                <w:color w:val="auto"/>
              </w:rPr>
              <w:t>13%</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$11,976</w:t>
            </w:r>
          </w:p>
        </w:tc>
        <w:tc>
          <w:tcPr>
            <w:tcW w:w="1100" w:type="dxa"/>
            <w:vAlign w:val="bottom"/>
          </w:tcPr>
          <w:p>
            <w:pPr>
              <w:jc w:val="right"/>
              <w:ind w:right="176"/>
              <w:spacing w:after="0"/>
              <w:rPr>
                <w:sz w:val="20"/>
                <w:szCs w:val="20"/>
                <w:color w:val="auto"/>
              </w:rPr>
            </w:pPr>
            <w:r>
              <w:rPr>
                <w:rFonts w:ascii="Arial" w:cs="Arial" w:eastAsia="Arial" w:hAnsi="Arial"/>
                <w:sz w:val="18"/>
                <w:szCs w:val="18"/>
                <w:color w:val="auto"/>
              </w:rPr>
              <w:t>$10,555</w:t>
            </w: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80" w:type="dxa"/>
            <w:vAlign w:val="bottom"/>
          </w:tcPr>
          <w:p>
            <w:pPr>
              <w:ind w:left="1140"/>
              <w:spacing w:after="0"/>
              <w:rPr>
                <w:sz w:val="20"/>
                <w:szCs w:val="20"/>
                <w:color w:val="auto"/>
              </w:rPr>
            </w:pPr>
            <w:r>
              <w:rPr>
                <w:rFonts w:ascii="Arial" w:cs="Arial" w:eastAsia="Arial" w:hAnsi="Arial"/>
                <w:sz w:val="18"/>
                <w:szCs w:val="18"/>
                <w:color w:val="auto"/>
              </w:rPr>
              <w:t>Revenue Generating Unit Additions</w:t>
            </w: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1,236</w:t>
            </w:r>
          </w:p>
        </w:tc>
        <w:tc>
          <w:tcPr>
            <w:tcW w:w="1080" w:type="dxa"/>
            <w:vAlign w:val="bottom"/>
          </w:tcPr>
          <w:p>
            <w:pPr>
              <w:jc w:val="right"/>
              <w:ind w:right="216"/>
              <w:spacing w:after="0"/>
              <w:rPr>
                <w:sz w:val="20"/>
                <w:szCs w:val="20"/>
                <w:color w:val="auto"/>
              </w:rPr>
            </w:pPr>
            <w:r>
              <w:rPr>
                <w:rFonts w:ascii="Arial" w:cs="Arial" w:eastAsia="Arial" w:hAnsi="Arial"/>
                <w:sz w:val="18"/>
                <w:szCs w:val="18"/>
                <w:color w:val="auto"/>
              </w:rPr>
              <w:t>1,638</w:t>
            </w:r>
          </w:p>
        </w:tc>
        <w:tc>
          <w:tcPr>
            <w:tcW w:w="800" w:type="dxa"/>
            <w:vAlign w:val="bottom"/>
          </w:tcPr>
          <w:p>
            <w:pPr>
              <w:jc w:val="right"/>
              <w:ind w:right="74"/>
              <w:spacing w:after="0"/>
              <w:rPr>
                <w:sz w:val="20"/>
                <w:szCs w:val="20"/>
                <w:color w:val="auto"/>
              </w:rPr>
            </w:pPr>
            <w:r>
              <w:rPr>
                <w:rFonts w:ascii="Arial" w:cs="Arial" w:eastAsia="Arial" w:hAnsi="Arial"/>
                <w:sz w:val="18"/>
                <w:szCs w:val="18"/>
                <w:color w:val="auto"/>
              </w:rPr>
              <w:t>(25%)</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6,013</w:t>
            </w:r>
          </w:p>
        </w:tc>
        <w:tc>
          <w:tcPr>
            <w:tcW w:w="1100" w:type="dxa"/>
            <w:vAlign w:val="bottom"/>
          </w:tcPr>
          <w:p>
            <w:pPr>
              <w:jc w:val="right"/>
              <w:ind w:right="176"/>
              <w:spacing w:after="0"/>
              <w:rPr>
                <w:sz w:val="20"/>
                <w:szCs w:val="20"/>
                <w:color w:val="auto"/>
              </w:rPr>
            </w:pPr>
            <w:r>
              <w:rPr>
                <w:rFonts w:ascii="Arial" w:cs="Arial" w:eastAsia="Arial" w:hAnsi="Arial"/>
                <w:sz w:val="18"/>
                <w:szCs w:val="18"/>
                <w:color w:val="auto"/>
              </w:rPr>
              <w:t>5,055</w:t>
            </w: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42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Brian L. Roberts, Chairman and CEO of Comcast Corporation, said, “In 2007 we delivered very healthy growth in revenue and operating cash flow, added substantial revenue generating units and generated significant earnings growth – despite a weak economy and intensified competition in the second half of the year. Our goal continues to be to deliver consistent, profitable growth that builds long-term shareholder value. For 2008, we are confident about our competitive position and our ability to further grow our business, as illustrated by our outlook for 2008 free cash flow growth of at least 20%.</w:t>
      </w:r>
    </w:p>
    <w:p>
      <w:pPr>
        <w:spacing w:after="0" w:line="140"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Our ability to generate substantial free cash flow has allowed us to continue to return significant capital to our shareholders. In the 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quarter of 2007, we repurchased $1.25 billion of stock, equal to 15% of the $8.2 billion authorization. Our total buyback for the year was $3.1 billion, representing 132% of our free cash flow and more than a 4% reduction in total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22466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notes on page 5 as well as reconciliation of adjusted net income and earnings per share in Table 7-B</w:t>
      </w:r>
    </w:p>
    <w:p>
      <w:pPr>
        <w:sectPr>
          <w:pgSz w:w="11900" w:h="16838" w:orient="portrait"/>
          <w:cols w:equalWidth="0" w:num="1">
            <w:col w:w="11420"/>
          </w:cols>
          <w:pgMar w:left="240" w:top="125" w:right="239" w:bottom="1440" w:gutter="0" w:footer="0" w:header="0"/>
        </w:sectPr>
      </w:pPr>
    </w:p>
    <w:bookmarkStart w:id="4" w:name="page5"/>
    <w:bookmarkEnd w:id="4"/>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further evidence of our continued commitment to returning capital to shareholders, we are making two important announcements today. First, we are pleased to announce that our Board of Directors has approved a quarterly dividend of $0.0625 per share, which will be payable in April. This represents the first payment of a planned annual dividend of $0.25 per share. In addition, we are announcing our intent to fully utilize our remaining $6.9 billion share repurchase authorization by the end of 2009. Taken together, we believe these actions underscore our strong confidence in the cash flow generation of our business and our continued commitment to returning capital and building shareholder value.”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Results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2007</w:t>
      </w:r>
    </w:p>
    <w:p>
      <w:pPr>
        <w:spacing w:after="0" w:line="8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increased 24% in 2007 to $30.9 billion while</w:t>
      </w:r>
      <w:r>
        <w:rPr>
          <w:rFonts w:ascii="Arial" w:cs="Arial" w:eastAsia="Arial" w:hAnsi="Arial"/>
          <w:sz w:val="16"/>
          <w:szCs w:val="16"/>
          <w:b w:val="1"/>
          <w:bCs w:val="1"/>
          <w:i w:val="1"/>
          <w:iCs w:val="1"/>
          <w:color w:val="auto"/>
        </w:rPr>
        <w:t xml:space="preserve"> Operating Cash Flow </w:t>
      </w:r>
      <w:r>
        <w:rPr>
          <w:rFonts w:ascii="Arial" w:cs="Arial" w:eastAsia="Arial" w:hAnsi="Arial"/>
          <w:sz w:val="16"/>
          <w:szCs w:val="16"/>
          <w:color w:val="auto"/>
        </w:rPr>
        <w:t>(as defined in Table 7) increased 25% to $11.8 billion and</w:t>
      </w:r>
      <w:r>
        <w:rPr>
          <w:rFonts w:ascii="Arial" w:cs="Arial" w:eastAsia="Arial" w:hAnsi="Arial"/>
          <w:sz w:val="16"/>
          <w:szCs w:val="16"/>
          <w:b w:val="1"/>
          <w:bCs w:val="1"/>
          <w:i w:val="1"/>
          <w:iCs w:val="1"/>
          <w:color w:val="auto"/>
        </w:rPr>
        <w:t xml:space="preserve"> Operating Income </w:t>
      </w:r>
      <w:r>
        <w:rPr>
          <w:rFonts w:ascii="Arial" w:cs="Arial" w:eastAsia="Arial" w:hAnsi="Arial"/>
          <w:sz w:val="16"/>
          <w:szCs w:val="16"/>
          <w:color w:val="auto"/>
        </w:rPr>
        <w:t>increased 21% to $5.6 billion. This significant growth was due to strong operating results at Comcast Cable and the positive impact of cable acquisitions. On a</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pro forma basis</w:t>
      </w:r>
      <w:r>
        <w:rPr>
          <w:rFonts w:ascii="Arial" w:cs="Arial" w:eastAsia="Arial" w:hAnsi="Arial"/>
          <w:sz w:val="22"/>
          <w:szCs w:val="22"/>
          <w:color w:val="auto"/>
          <w:vertAlign w:val="superscript"/>
        </w:rPr>
        <w:t>3</w:t>
      </w:r>
      <w:r>
        <w:rPr>
          <w:rFonts w:ascii="Arial" w:cs="Arial" w:eastAsia="Arial" w:hAnsi="Arial"/>
          <w:sz w:val="18"/>
          <w:szCs w:val="18"/>
          <w:color w:val="auto"/>
        </w:rPr>
        <w:t>, Consolidated Revenue increased 12% to $31.0 billion in 2007 while Consolidated Operating Cash Flow increased 13% to $11.8 billion for the year.</w:t>
      </w:r>
    </w:p>
    <w:p>
      <w:pPr>
        <w:spacing w:after="0" w:line="17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 xml:space="preserve">Net Income </w:t>
      </w:r>
      <w:r>
        <w:rPr>
          <w:rFonts w:ascii="Arial" w:cs="Arial" w:eastAsia="Arial" w:hAnsi="Arial"/>
          <w:sz w:val="16"/>
          <w:szCs w:val="16"/>
          <w:color w:val="auto"/>
        </w:rPr>
        <w:t>increased to $2.6 billion, or $0.83 per share, in 2007, compared to $2.5 billion, or $0.79 per share, in 2006. In addition to strong operating results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Comcast Cable, net income reflects a one-time gain of $500 million (or $300 million net of tax) related to the dissolution of our Texas/Kansas City Cable Partnership in the first quarter of 2007 included in other income. Excluding this gain, Adjusted Net Income for 2007 would have been $2.3 billion or $0.74 per share, as reconciled in Table 7-B. Similarly, 2006 results included a one-time gain included in investment income, of $646 million (or $405 million net of tax) related to the Adelphia/Time Warner transactions and a one-time gain of $195 million, net of tax, on discontinued operations related to the transfer of cable systems to Time Warner. Excluding these gains, Adjusted Net Income for 2006 would have been $1.9 billion, or $0.60 per share.</w:t>
      </w:r>
    </w:p>
    <w:p>
      <w:pPr>
        <w:spacing w:after="0" w:line="10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increased to $8.8 billion in 2007 up from $6.6 billion in 2006, due primarily to stronger cable operating results,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cable system acquisitions, and proceeds from sales of trading securities.</w:t>
      </w:r>
    </w:p>
    <w:p>
      <w:pPr>
        <w:spacing w:after="0" w:line="11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(described further on Table 4) was $2.3 billion in 2007 compared to $2.6 billion in 2006. This decline was due primarily to an increase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expenditures and additional interest related to increased borrowings.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Fourth Quarter 2007</w:t>
      </w:r>
    </w:p>
    <w:p>
      <w:pPr>
        <w:spacing w:after="0" w:line="9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Driven by strong operating results at Comcast Cable and the positive impact of cable acquisitions, Comcast reported fourth quarter consolidated revenue of $8.0 billion, an increase of 14%, and an increase in consolidated Operating Cash Flow of 19% to $3.1 billion compared to the fourth quarter of 2006. Consolidated operating income increased 20% to $1.5 billion in the fourth quarter of 2007 compared to $1.2 billion in 2006.</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income increased to $602 million, or $0.20 per share, for the fourth quarter of 2007 compared to $390 million, or $0.13 per share, in the prior year. Results in 2006 included two adjustments that reduced gains on the Adelphia/Time Warner transactions. One adjustment is included in investment income for $30 million, net of tax, and the other adjustment is on the gain on discontinued operations for $39 million, net of tax. Excluding these adjustments, Adjusted Net Income for the fourth quarter of 2006 would have been $459 million, or $0.15 per share.</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Free Cash Flow was $1.0 billion in 4Q07 compared to $342 million in 4Q06. This is a result of stronger operating results and 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22466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notes on page 5</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 Forma Cable Segment Results</w:t>
      </w:r>
      <w:r>
        <w:rPr>
          <w:rFonts w:ascii="Arial" w:cs="Arial" w:eastAsia="Arial" w:hAnsi="Arial"/>
          <w:sz w:val="11"/>
          <w:szCs w:val="11"/>
          <w:b w:val="1"/>
          <w:bCs w:val="1"/>
          <w:u w:val="single" w:color="auto"/>
          <w:color w:val="auto"/>
        </w:rPr>
        <w:t>2</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2007</w:t>
      </w:r>
    </w:p>
    <w:p>
      <w:pPr>
        <w:spacing w:after="0" w:line="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increased 11% to $29.4 billion for the year reflecting strong demand for Comcast’s services. A decline in advertising revenue and a challenging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economic and competitive environment in the second half of the year adversely impacted this revenue increase.</w:t>
      </w:r>
    </w:p>
    <w:p>
      <w:pPr>
        <w:spacing w:after="0" w:line="14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b w:val="1"/>
          <w:bCs w:val="1"/>
          <w:i w:val="1"/>
          <w:iCs w:val="1"/>
          <w:color w:val="auto"/>
        </w:rPr>
        <w:t xml:space="preserve">Revenue generating units </w:t>
      </w:r>
      <w:r>
        <w:rPr>
          <w:rFonts w:ascii="Arial" w:cs="Arial" w:eastAsia="Arial" w:hAnsi="Arial"/>
          <w:sz w:val="18"/>
          <w:szCs w:val="18"/>
          <w:color w:val="auto"/>
        </w:rPr>
        <w:t>(RGUs)</w:t>
      </w:r>
      <w:r>
        <w:rPr>
          <w:rFonts w:ascii="Arial" w:cs="Arial" w:eastAsia="Arial" w:hAnsi="Arial"/>
          <w:sz w:val="22"/>
          <w:szCs w:val="22"/>
          <w:color w:val="auto"/>
          <w:vertAlign w:val="superscript"/>
        </w:rPr>
        <w:t>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 net basis increased 19%, or 6.0 million compared to net additions of 5.1 million last year. Comcast ended 2007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57.0 million RGUs.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Operating Cash Flow </w:t>
      </w:r>
      <w:r>
        <w:rPr>
          <w:rFonts w:ascii="Arial" w:cs="Arial" w:eastAsia="Arial" w:hAnsi="Arial"/>
          <w:sz w:val="18"/>
          <w:szCs w:val="18"/>
          <w:color w:val="auto"/>
        </w:rPr>
        <w:t>grew 13% to $12.0 billion resulting in an Operating Cash Flow margin of 40.7%, an increase from the 39.9% reported last year.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margin improvement reflects strong revenue growth and our continuing success in controlling the growth of operating expenses. In 2007, programming expense increased 7% to $5.8 billion. In 2007 Comcast Cable hired and trained over 10,000 new employees to support higher service and installation activity that resulted from higher RGU additions and our efforts to improve customer service.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85"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Added 2.5 million new digital cable subscribers in 2007 – 33% growth over last year</w:t>
      </w:r>
    </w:p>
    <w:p>
      <w:pPr>
        <w:spacing w:after="0" w:line="90" w:lineRule="exact"/>
        <w:rPr>
          <w:rFonts w:ascii="Arial" w:cs="Arial" w:eastAsia="Arial" w:hAnsi="Arial"/>
          <w:sz w:val="18"/>
          <w:szCs w:val="18"/>
          <w:color w:val="auto"/>
        </w:rPr>
      </w:pPr>
    </w:p>
    <w:p>
      <w:pPr>
        <w:ind w:left="220" w:hanging="212"/>
        <w:spacing w:after="0" w:line="268"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6.3 million, or 42%, of our digital cable subscribers took advanced services such as digital video recorders (DVR) and high-definition television (HDTV) compared to 4.5 million, or 36%, a year ago</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Video revenue increased 7% to $17.7 billion in 2007, reflecting growth in digital cable customers and increased demand for advanced digital features including ON DEMAND, DVR and HDTV, as well as higher basic cable pricing.</w:t>
      </w:r>
    </w:p>
    <w:p>
      <w:pPr>
        <w:spacing w:after="0" w:line="13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Basic cable subscribers decreased by 180,000, or 0.7%, to 24.1 million during 2007 with 15.2 million or 63% of video customers taking digital cable services. Comcast added a record 2.5 million digital cable customers in 2007, an increase of 33% from the 1.9 million digital cable customers added in 2006. Digital cable customer additions in 2007 included 1.0 million full digital cable and 1.5 million digital starter subscribers.</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1.8 million additional digital cable customers subscribed to advanced services, like DVR and HDTV, either by upgrading their digital cable service or as new customers. As of December 31, 2007, 6.3 million, or 42% of our digital cable customers received advanced services, 5.4 million, or 36% received full digital cable, and 3.5 million, or 23% were digital starter subscribers.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Growth in video revenue also reflects increasing ON DEMAND movie purchases. Pay-per-view revenue increased 22% to $774 million in 2007.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85"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Added 1.7 million high-speed Internet subscribers during 2007 compared to 1.9 million in the prior year</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High-speed Internet revenue increased 18% to $6.4 billion in 2007, reflecting a 1.7 million or 15% increase in subscribers from the prior year and relatively stable average monthly revenue per subscriber of approximately $43. Comcast ended 2007 with 13.2 million high-speed Internet subscribers, or 27% penetration of homes passed.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Phone</w:t>
      </w:r>
    </w:p>
    <w:p>
      <w:pPr>
        <w:spacing w:after="0" w:line="85" w:lineRule="exact"/>
        <w:rPr>
          <w:sz w:val="20"/>
          <w:szCs w:val="20"/>
          <w:color w:val="auto"/>
        </w:rPr>
      </w:pPr>
    </w:p>
    <w:p>
      <w:pPr>
        <w:ind w:left="220" w:right="2320" w:hanging="212"/>
        <w:spacing w:after="0" w:line="268"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Added over 2.5 million Comcast Digital Voice (CDV) customers compared to 1.6 million added in the prior year – an increase of 61%</w:t>
      </w:r>
    </w:p>
    <w:p>
      <w:pPr>
        <w:spacing w:after="0" w:line="50"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Increased CDV-ready homes passed by 9 million – CDV service now marketed to 42 million homes representing 86% of Comcast’s markets</w:t>
      </w:r>
    </w:p>
    <w:p>
      <w:pPr>
        <w:spacing w:after="0" w:line="171"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Phone revenue increased 85% to $1.8 billion due to significant growth in CDV subscribers, offset by a $229 million, or 50% decline in circuit-switched phone revenues as Comcast transitions to marketing CDV in most areas. Comcast ended 2007 with a total of 4.4 million CDV customers or 10.4% of available homes. Entering 2008, Comcast has fewer than 200,000 circuit-switched customers, with the winding down of that business expected to be completed by the end of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22466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notes on page 5</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56" w:right="239" w:bottom="1440" w:gutter="0" w:footer="0" w:header="0"/>
        </w:sectPr>
      </w:pPr>
    </w:p>
    <w:bookmarkStart w:id="6" w:name="page7"/>
    <w:bookmarkEnd w:id="6"/>
    <w:p>
      <w:pPr>
        <w:jc w:val="both"/>
        <w:spacing w:after="0" w:line="27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Advertising </w:t>
      </w:r>
      <w:r>
        <w:rPr>
          <w:rFonts w:ascii="Arial" w:cs="Arial" w:eastAsia="Arial" w:hAnsi="Arial"/>
          <w:sz w:val="18"/>
          <w:szCs w:val="18"/>
          <w:color w:val="auto"/>
        </w:rPr>
        <w:t>revenue decreased 3% to $1.5 billion in 2007, reflecting a significant decline in political advertising, softness in some discretionary categories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one less week in the broadcast advertising calendar compared to last year.</w:t>
      </w:r>
    </w:p>
    <w:p>
      <w:pPr>
        <w:spacing w:after="0" w:line="1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Capital expenditures </w:t>
      </w:r>
      <w:r>
        <w:rPr>
          <w:rFonts w:ascii="Arial" w:cs="Arial" w:eastAsia="Arial" w:hAnsi="Arial"/>
          <w:sz w:val="16"/>
          <w:szCs w:val="16"/>
          <w:color w:val="auto"/>
        </w:rPr>
        <w:t>of $6.0 billion increased 29% in 2007, reflecting RGU growth, a 63% increase in the number of set-top boxes deployed (including over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 million HD and/or DVR boxes), additional overhead and equipment necessary to support the higher level of RGU activity, network improvements, capital expenditures related to commercial services, as well as the integration of the acquired systems from Adelphia and Time Warner.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Fourth Quarter 2007</w:t>
      </w:r>
    </w:p>
    <w:p>
      <w:pPr>
        <w:spacing w:after="0" w:line="90"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Added 1.2 million RGUs during the quarter</w:t>
      </w:r>
    </w:p>
    <w:p>
      <w:pPr>
        <w:spacing w:after="0" w:line="90"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13% Operating Cash Flow growth</w:t>
      </w:r>
    </w:p>
    <w:p>
      <w:pPr>
        <w:spacing w:after="0" w:line="17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Comcast Cable reported revenue of $7.6 billion in the fourth quarter of 2007, an increase of 9% from the prior year. Video revenue increased 6% reflecting growth in digital cable customers, increased demand for advanced digital features, such as DVR and HDTV, and higher basic cable pricing. Comcast Cable added 523,000 digital cable subscribers and lost 94,000 basic cable subscribers during the fourth quarter of 2007. Driven by increasing ON DEMAND movies and events, pay-per-view revenue increased 23% to $197 million in the fourth quarter of 2007.</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High-speed Internet revenue increased 14% in the quarter to $1.7 billion. The growth includes the addition of 331,000 high-speed Internet subscribers and stable monthly revenue per subscriber. Phone revenue increased 73% in the fourth quarter of 2007 to $523 million reflecting the addition of 604,000 CDV customers offset by the decline of 128,000 circuit-switched customers during the quarter.</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Advertising revenue decreased 12% to $418 million in the fourth quarter of 2007, reflecting lower political advertising, continued weakness in certain discretionary categories and one less week in the broadcast advertising calendar compared to the same period in 2006.</w:t>
      </w:r>
    </w:p>
    <w:p>
      <w:pPr>
        <w:spacing w:after="0" w:line="13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Operating Cash Flow grew 13% to $3.1 billion during the quarter, reflecting solid revenue growth and the Company’s success in controlling the growth of operating expenses. Operating Cash Flow margin for the quarter was 41.2% compared to 39.8% one year ago.</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Comcast Cable capital expenditures of $1.5 billion for the quarter were 7% higher than the fourth quarter of 2006.</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Programming Segment Results</w:t>
      </w:r>
    </w:p>
    <w:p>
      <w:pPr>
        <w:spacing w:after="0" w:line="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Comcast’s Programming segment consists of our national programming networks E! Entertainment Television, Style Network, The Golf Channel, VERSUS, G4, and other emerging networks.</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Programming segment reported 2007 revenue of $1.3 billion, a 25% increase from 2006, reflecting continued growth in advertising driven by strong ratings, affiliate and international revenue. Operating Cash Flow increased 20% to $286 million in 2007, reflecting strong revenue growth, partially offset by an increase in production, programming and marketing expenses related to new and live event programming for our networks including the PGA TOUR on The Golf Channel.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Fourth Quarter 2007</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fourth quarter of 2007, Comcast’s Programming segment reported revenue of $348 million, a 23% increase compared to the prior year. Operating Cash Flow increased to $49 million, an increase of 17% from the same period last year, reflecting continued strength in ratings, national advertising and affiliate revenue.</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Corporate and Other</w:t>
      </w:r>
    </w:p>
    <w:p>
      <w:pPr>
        <w:spacing w:after="0" w:line="95"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Corporate and Other includes corporate overhead, Comcast Spectacor, Comcast Interactive Media (CIM), and other operations and eliminations between Comcast’s businesses. In 2007, Comcast reported Corporate and Other revenue of $275 million, a 6% increase over last year. The Operating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22466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notes on page 5</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1" w:right="239" w:bottom="1440" w:gutter="0" w:footer="0" w:header="0"/>
        </w:sectPr>
      </w:pPr>
    </w:p>
    <w:bookmarkStart w:id="7" w:name="page8"/>
    <w:bookmarkEnd w:id="7"/>
    <w:p>
      <w:pPr>
        <w:jc w:val="both"/>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loss for the year was $423 million compared to a loss of $322 million in 2006. The 2007 loss includes $55 million in expense recognized in the third quarter of 2007 related to the anticipated cost and settlement of previously-disclosed At Home litigation.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Fourth Quarter 2007</w:t>
      </w:r>
    </w:p>
    <w:p>
      <w:pPr>
        <w:spacing w:after="0" w:line="9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For the quarter ended December 31, 2007, Corporate and Other revenue decreased to $88 million from the $108 million reported in 2006. The Operating Cash Flow loss for the fourth quarter of 2007 was $92 million compared to a loss of $96 million in 2006.</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Share Repurchase Program</w:t>
      </w:r>
    </w:p>
    <w:p>
      <w:pPr>
        <w:spacing w:after="0" w:line="9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2007, Comcast repurchased 132.9 million of its common shares for approximately $3.1 billion, reducing the number of total shares outstanding by more than 4%. Comcast repurchased 63.3 million of its common shares for $1.25 billion during the fourth quarter of 2007. As of December 31, 2007, Comcast had approximately $6.9 billion of availability remaining under its share repurchase authorization, which it intends to fully utilize by the end of 2009.</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the inception of its first repurchase program in December 2003, the Company has repurchased $10.5 billion of its common stock and convertible securities, reducing the number of shares outstanding by 15%. These include repurchasing $9.1 billion or 436.3 million shares of common stock and redeeming several debt issues for $1.4 billion that were exchangeable into 70.9 million shares of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2007 Performance vs. Guidance</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Comcast delivered results in line with the annual guidance provided on December 4,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vMerge w:val="restart"/>
          </w:tcPr>
          <w:p>
            <w:pPr>
              <w:spacing w:after="0"/>
              <w:rPr>
                <w:sz w:val="20"/>
                <w:szCs w:val="20"/>
                <w:color w:val="auto"/>
              </w:rPr>
            </w:pPr>
            <w:r>
              <w:rPr>
                <w:rFonts w:ascii="Arial" w:cs="Arial" w:eastAsia="Arial" w:hAnsi="Arial"/>
                <w:sz w:val="18"/>
                <w:szCs w:val="18"/>
                <w:color w:val="auto"/>
              </w:rPr>
              <w:t>Pro Forma Consolidated Revenue growth</w:t>
            </w:r>
            <w:r>
              <w:rPr>
                <w:rFonts w:ascii="Arial" w:cs="Arial" w:eastAsia="Arial" w:hAnsi="Arial"/>
                <w:sz w:val="22"/>
                <w:szCs w:val="22"/>
                <w:color w:val="auto"/>
                <w:vertAlign w:val="superscript"/>
              </w:rPr>
              <w:t>3</w:t>
            </w:r>
          </w:p>
        </w:tc>
        <w:tc>
          <w:tcPr>
            <w:tcW w:w="366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auto"/>
              </w:rPr>
              <w:t>Guidance</w:t>
            </w:r>
          </w:p>
        </w:tc>
        <w:tc>
          <w:tcPr>
            <w:tcW w:w="194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Results</w:t>
            </w:r>
          </w:p>
        </w:tc>
        <w:tc>
          <w:tcPr>
            <w:tcW w:w="0" w:type="dxa"/>
            <w:vAlign w:val="bottom"/>
          </w:tcPr>
          <w:p>
            <w:pPr>
              <w:spacing w:after="0"/>
              <w:rPr>
                <w:sz w:val="1"/>
                <w:szCs w:val="1"/>
                <w:color w:val="auto"/>
              </w:rPr>
            </w:pPr>
          </w:p>
        </w:tc>
      </w:tr>
      <w:tr>
        <w:trPr>
          <w:trHeight w:val="201"/>
        </w:trPr>
        <w:tc>
          <w:tcPr>
            <w:tcW w:w="5820" w:type="dxa"/>
            <w:vAlign w:val="bottom"/>
            <w:vMerge w:val="continue"/>
          </w:tcPr>
          <w:p>
            <w:pPr>
              <w:spacing w:after="0"/>
              <w:rPr>
                <w:sz w:val="17"/>
                <w:szCs w:val="17"/>
                <w:color w:val="auto"/>
              </w:rPr>
            </w:pPr>
          </w:p>
        </w:tc>
        <w:tc>
          <w:tcPr>
            <w:tcW w:w="3660" w:type="dxa"/>
            <w:vAlign w:val="bottom"/>
          </w:tcPr>
          <w:p>
            <w:pPr>
              <w:ind w:left="640"/>
              <w:spacing w:after="0" w:line="201" w:lineRule="exact"/>
              <w:rPr>
                <w:sz w:val="20"/>
                <w:szCs w:val="20"/>
                <w:color w:val="auto"/>
              </w:rPr>
            </w:pPr>
            <w:r>
              <w:rPr>
                <w:rFonts w:ascii="Arial" w:cs="Arial" w:eastAsia="Arial" w:hAnsi="Arial"/>
                <w:sz w:val="18"/>
                <w:szCs w:val="18"/>
                <w:color w:val="auto"/>
              </w:rPr>
              <w:t>At least 11%</w:t>
            </w:r>
          </w:p>
        </w:tc>
        <w:tc>
          <w:tcPr>
            <w:tcW w:w="1940" w:type="dxa"/>
            <w:vAlign w:val="bottom"/>
          </w:tcPr>
          <w:p>
            <w:pPr>
              <w:ind w:left="1020"/>
              <w:spacing w:after="0" w:line="201"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820" w:type="dxa"/>
            <w:vAlign w:val="bottom"/>
          </w:tcPr>
          <w:p>
            <w:pPr>
              <w:spacing w:after="0" w:line="217" w:lineRule="exact"/>
              <w:rPr>
                <w:sz w:val="20"/>
                <w:szCs w:val="20"/>
                <w:color w:val="auto"/>
              </w:rPr>
            </w:pPr>
            <w:r>
              <w:rPr>
                <w:rFonts w:ascii="Arial" w:cs="Arial" w:eastAsia="Arial" w:hAnsi="Arial"/>
                <w:sz w:val="18"/>
                <w:szCs w:val="18"/>
                <w:color w:val="auto"/>
              </w:rPr>
              <w:t>Pro Forma Consolidated Operating Cash Flow growth</w:t>
            </w:r>
            <w:r>
              <w:rPr>
                <w:rFonts w:ascii="Arial" w:cs="Arial" w:eastAsia="Arial" w:hAnsi="Arial"/>
                <w:sz w:val="22"/>
                <w:szCs w:val="22"/>
                <w:color w:val="auto"/>
                <w:vertAlign w:val="superscript"/>
              </w:rPr>
              <w:t>3</w:t>
            </w:r>
          </w:p>
        </w:tc>
        <w:tc>
          <w:tcPr>
            <w:tcW w:w="3660" w:type="dxa"/>
            <w:vAlign w:val="bottom"/>
          </w:tcPr>
          <w:p>
            <w:pPr>
              <w:ind w:left="640"/>
              <w:spacing w:after="0"/>
              <w:rPr>
                <w:sz w:val="20"/>
                <w:szCs w:val="20"/>
                <w:color w:val="auto"/>
              </w:rPr>
            </w:pPr>
            <w:r>
              <w:rPr>
                <w:rFonts w:ascii="Arial" w:cs="Arial" w:eastAsia="Arial" w:hAnsi="Arial"/>
                <w:sz w:val="18"/>
                <w:szCs w:val="18"/>
                <w:color w:val="auto"/>
              </w:rPr>
              <w:t>Approximately 13%</w:t>
            </w:r>
          </w:p>
        </w:tc>
        <w:tc>
          <w:tcPr>
            <w:tcW w:w="1940" w:type="dxa"/>
            <w:vAlign w:val="bottom"/>
          </w:tcPr>
          <w:p>
            <w:pPr>
              <w:ind w:left="10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Free Cash Flow</w:t>
            </w:r>
          </w:p>
        </w:tc>
        <w:tc>
          <w:tcPr>
            <w:tcW w:w="3660" w:type="dxa"/>
            <w:vAlign w:val="bottom"/>
          </w:tcPr>
          <w:p>
            <w:pPr>
              <w:ind w:left="640"/>
              <w:spacing w:after="0"/>
              <w:rPr>
                <w:sz w:val="20"/>
                <w:szCs w:val="20"/>
                <w:color w:val="auto"/>
              </w:rPr>
            </w:pPr>
            <w:r>
              <w:rPr>
                <w:rFonts w:ascii="Arial" w:cs="Arial" w:eastAsia="Arial" w:hAnsi="Arial"/>
                <w:sz w:val="18"/>
                <w:szCs w:val="18"/>
                <w:color w:val="auto"/>
              </w:rPr>
              <w:t>Approximately 80% of 2006</w:t>
            </w:r>
          </w:p>
        </w:tc>
        <w:tc>
          <w:tcPr>
            <w:tcW w:w="1940" w:type="dxa"/>
            <w:vAlign w:val="bottom"/>
          </w:tcPr>
          <w:p>
            <w:pPr>
              <w:ind w:left="1020"/>
              <w:spacing w:after="0"/>
              <w:rPr>
                <w:sz w:val="20"/>
                <w:szCs w:val="20"/>
                <w:color w:val="auto"/>
              </w:rPr>
            </w:pPr>
            <w:r>
              <w:rPr>
                <w:rFonts w:ascii="Arial" w:cs="Arial" w:eastAsia="Arial" w:hAnsi="Arial"/>
                <w:sz w:val="18"/>
                <w:szCs w:val="18"/>
                <w:color w:val="auto"/>
                <w:w w:val="88"/>
              </w:rPr>
              <w:t>89% of 2006</w:t>
            </w:r>
          </w:p>
        </w:tc>
        <w:tc>
          <w:tcPr>
            <w:tcW w:w="0" w:type="dxa"/>
            <w:vAlign w:val="bottom"/>
          </w:tcPr>
          <w:p>
            <w:pPr>
              <w:spacing w:after="0"/>
              <w:rPr>
                <w:sz w:val="1"/>
                <w:szCs w:val="1"/>
                <w:color w:val="auto"/>
              </w:rPr>
            </w:pPr>
          </w:p>
        </w:tc>
      </w:tr>
      <w:tr>
        <w:trPr>
          <w:trHeight w:val="385"/>
        </w:trPr>
        <w:tc>
          <w:tcPr>
            <w:tcW w:w="5820" w:type="dxa"/>
            <w:vAlign w:val="bottom"/>
          </w:tcPr>
          <w:p>
            <w:pPr>
              <w:spacing w:after="0"/>
              <w:rPr>
                <w:sz w:val="20"/>
                <w:szCs w:val="20"/>
                <w:color w:val="auto"/>
              </w:rPr>
            </w:pPr>
            <w:r>
              <w:rPr>
                <w:rFonts w:ascii="Arial" w:cs="Arial" w:eastAsia="Arial" w:hAnsi="Arial"/>
                <w:sz w:val="18"/>
                <w:szCs w:val="18"/>
                <w:color w:val="auto"/>
              </w:rPr>
              <w:t>Pro Forma Cable Revenue growth</w:t>
            </w:r>
          </w:p>
        </w:tc>
        <w:tc>
          <w:tcPr>
            <w:tcW w:w="3660" w:type="dxa"/>
            <w:vAlign w:val="bottom"/>
          </w:tcPr>
          <w:p>
            <w:pPr>
              <w:ind w:left="640"/>
              <w:spacing w:after="0"/>
              <w:rPr>
                <w:sz w:val="20"/>
                <w:szCs w:val="20"/>
                <w:color w:val="auto"/>
              </w:rPr>
            </w:pPr>
            <w:r>
              <w:rPr>
                <w:rFonts w:ascii="Arial" w:cs="Arial" w:eastAsia="Arial" w:hAnsi="Arial"/>
                <w:sz w:val="18"/>
                <w:szCs w:val="18"/>
                <w:color w:val="auto"/>
              </w:rPr>
              <w:t>Approximately 11%</w:t>
            </w:r>
          </w:p>
        </w:tc>
        <w:tc>
          <w:tcPr>
            <w:tcW w:w="1940" w:type="dxa"/>
            <w:vAlign w:val="bottom"/>
          </w:tcPr>
          <w:p>
            <w:pPr>
              <w:ind w:left="10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Pro Forma Cable Operating Cash Flow growth</w:t>
            </w:r>
          </w:p>
        </w:tc>
        <w:tc>
          <w:tcPr>
            <w:tcW w:w="3660" w:type="dxa"/>
            <w:vAlign w:val="bottom"/>
          </w:tcPr>
          <w:p>
            <w:pPr>
              <w:ind w:left="640"/>
              <w:spacing w:after="0"/>
              <w:rPr>
                <w:sz w:val="20"/>
                <w:szCs w:val="20"/>
                <w:color w:val="auto"/>
              </w:rPr>
            </w:pPr>
            <w:r>
              <w:rPr>
                <w:rFonts w:ascii="Arial" w:cs="Arial" w:eastAsia="Arial" w:hAnsi="Arial"/>
                <w:sz w:val="18"/>
                <w:szCs w:val="18"/>
                <w:color w:val="auto"/>
              </w:rPr>
              <w:t>Approximately 13%</w:t>
            </w:r>
          </w:p>
        </w:tc>
        <w:tc>
          <w:tcPr>
            <w:tcW w:w="1940" w:type="dxa"/>
            <w:vAlign w:val="bottom"/>
          </w:tcPr>
          <w:p>
            <w:pPr>
              <w:ind w:left="10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RGU additions</w:t>
            </w:r>
          </w:p>
        </w:tc>
        <w:tc>
          <w:tcPr>
            <w:tcW w:w="3660" w:type="dxa"/>
            <w:vAlign w:val="bottom"/>
          </w:tcPr>
          <w:p>
            <w:pPr>
              <w:ind w:left="640"/>
              <w:spacing w:after="0"/>
              <w:rPr>
                <w:sz w:val="20"/>
                <w:szCs w:val="20"/>
                <w:color w:val="auto"/>
              </w:rPr>
            </w:pPr>
            <w:r>
              <w:rPr>
                <w:rFonts w:ascii="Arial" w:cs="Arial" w:eastAsia="Arial" w:hAnsi="Arial"/>
                <w:sz w:val="18"/>
                <w:szCs w:val="18"/>
                <w:color w:val="auto"/>
              </w:rPr>
              <w:t>Approximately 6 million</w:t>
            </w:r>
          </w:p>
        </w:tc>
        <w:tc>
          <w:tcPr>
            <w:tcW w:w="1940" w:type="dxa"/>
            <w:vAlign w:val="bottom"/>
          </w:tcPr>
          <w:p>
            <w:pPr>
              <w:ind w:left="1020"/>
              <w:spacing w:after="0"/>
              <w:rPr>
                <w:sz w:val="20"/>
                <w:szCs w:val="20"/>
                <w:color w:val="auto"/>
              </w:rPr>
            </w:pPr>
            <w:r>
              <w:rPr>
                <w:rFonts w:ascii="Arial" w:cs="Arial" w:eastAsia="Arial" w:hAnsi="Arial"/>
                <w:sz w:val="18"/>
                <w:szCs w:val="18"/>
                <w:color w:val="auto"/>
              </w:rPr>
              <w:t>6 million</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Cable Capital Expenditures</w:t>
            </w:r>
          </w:p>
        </w:tc>
        <w:tc>
          <w:tcPr>
            <w:tcW w:w="36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Approximately $6.0 billion</w:t>
            </w:r>
          </w:p>
        </w:tc>
        <w:tc>
          <w:tcPr>
            <w:tcW w:w="194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$6.0 billion</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2008 Financial Outlook</w:t>
      </w:r>
    </w:p>
    <w:p>
      <w:pPr>
        <w:spacing w:after="0" w:line="95"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Revenue and Operating Cash Flow growth of 8% to 10%</w:t>
      </w:r>
      <w:r>
        <w:rPr>
          <w:rFonts w:ascii="Arial" w:cs="Arial" w:eastAsia="Arial" w:hAnsi="Arial"/>
          <w:sz w:val="22"/>
          <w:szCs w:val="22"/>
          <w:color w:val="auto"/>
          <w:vertAlign w:val="superscript"/>
        </w:rPr>
        <w:t>5</w:t>
      </w:r>
    </w:p>
    <w:p>
      <w:pPr>
        <w:spacing w:after="0" w:line="44"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Capital Expenditures as a percent of revenue expected to decline to approximately 18%</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Free Cash Flow growth of at least 20% from the $2.3 billion reported in 2007</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outlook above does not reflect the potential impact of any tax law changes or any future sales or acquisitions of businesses or operating assets (or related tax effects).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Notes</w:t>
      </w:r>
      <w:r>
        <w:rPr>
          <w:rFonts w:ascii="Arial" w:cs="Arial" w:eastAsia="Arial" w:hAnsi="Arial"/>
          <w:sz w:val="22"/>
          <w:szCs w:val="22"/>
          <w:b w:val="1"/>
          <w:bCs w:val="1"/>
          <w:color w:val="auto"/>
        </w:rPr>
        <w:t>:</w:t>
      </w:r>
    </w:p>
    <w:p>
      <w:pPr>
        <w:sectPr>
          <w:pgSz w:w="11900" w:h="16838" w:orient="portrait"/>
          <w:cols w:equalWidth="0" w:num="1">
            <w:col w:w="11420"/>
          </w:cols>
          <w:pgMar w:left="240" w:top="280" w:right="239" w:bottom="1440" w:gutter="0" w:footer="0" w:header="0"/>
        </w:sectPr>
      </w:pP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344"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Net income and earnings per share are adjusted for one-time gains, net of tax, related to the Adelphia/Time Warner transactions in 2006 and the dissolution of the Texas/Kansas City Cable Partnership in 2007. Please refer to Table 7-B for a reconciliation of adjusted net income and earnings per share.</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Cable results are presented on a pro forma basis. Pro forma results adjust only for certain acquisitions and dispositions, including Susquehanna Communications (April 2006), Adelphia/Time Warner transactions (July 2006), the dissolution of the Texas/Kansas City Cable Partnership (January 2007), SportsNet Bay Area/Sports Channel New England (June 2007), and the cable system acquired from Patriot Media (August 2007). Cable results are presented as if the transactions noted above were effective on January 1, 2006. The net impact of these transactions was to increase the number of basic cable subscribers by 2.7 million. Please refer to Table 7-A for a reconciliation of pro forma financial data.</w:t>
      </w:r>
    </w:p>
    <w:p>
      <w:pPr>
        <w:spacing w:after="0" w:line="11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60" w:space="400"/>
            <w:col w:w="10960"/>
          </w:cols>
          <w:pgMar w:left="240" w:top="280" w:right="239" w:bottom="1440" w:gutter="0" w:footer="0" w:header="0"/>
          <w:type w:val="continuous"/>
        </w:sectPr>
      </w:pPr>
    </w:p>
    <w:bookmarkStart w:id="8" w:name="page9"/>
    <w:bookmarkEnd w:id="8"/>
    <w:p>
      <w:pPr>
        <w:spacing w:after="0" w:line="33"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142"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Presented on a pro forma basis as described in note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-202565</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3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Represents the sum of basic and digital cable, high-speed Internet and net phone subscribers, excluding additional outlets. Subscriptions to DVR and/or HDTV services by existing Comcast Digital Cable customers do not result in additional RGUs.</w:t>
      </w:r>
    </w:p>
    <w:p>
      <w:pPr>
        <w:spacing w:after="0" w:line="25" w:lineRule="exact"/>
        <w:rPr>
          <w:sz w:val="20"/>
          <w:szCs w:val="20"/>
          <w:color w:val="auto"/>
        </w:rPr>
      </w:pPr>
    </w:p>
    <w:p>
      <w:pPr>
        <w:sectPr>
          <w:pgSz w:w="11900" w:h="16838" w:orient="portrait"/>
          <w:cols w:equalWidth="0" w:num="2">
            <w:col w:w="60" w:space="400"/>
            <w:col w:w="10960"/>
          </w:cols>
          <w:pgMar w:left="240" w:top="253" w:right="239" w:bottom="1440" w:gutter="0" w:footer="0" w:header="0"/>
        </w:sectPr>
      </w:pPr>
    </w:p>
    <w:p>
      <w:pPr>
        <w:ind w:left="460" w:right="20" w:hanging="452"/>
        <w:spacing w:after="0" w:line="252" w:lineRule="auto"/>
        <w:tabs>
          <w:tab w:leader="none" w:pos="460" w:val="left"/>
        </w:tabs>
        <w:numPr>
          <w:ilvl w:val="0"/>
          <w:numId w:val="7"/>
        </w:numPr>
        <w:rPr>
          <w:rFonts w:ascii="Arial" w:cs="Arial" w:eastAsia="Arial" w:hAnsi="Arial"/>
          <w:sz w:val="11"/>
          <w:szCs w:val="11"/>
          <w:color w:val="auto"/>
        </w:rPr>
      </w:pPr>
      <w:r>
        <w:rPr>
          <w:rFonts w:ascii="Arial" w:cs="Arial" w:eastAsia="Arial" w:hAnsi="Arial"/>
          <w:sz w:val="18"/>
          <w:szCs w:val="18"/>
          <w:color w:val="auto"/>
        </w:rPr>
        <w:t>In addition to the pro forma adjustments described in note 2, the 2008 Financial Outlook adjusts for the dissolution of the Insight Cable Partnership (January 2008), as if the transaction was effective on January 1, 2007.</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Information</w:t>
      </w:r>
    </w:p>
    <w:p>
      <w:pPr>
        <w:spacing w:after="0" w:line="9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Comcast Corporation will host a conference call with the financial community today February 14, 2008 at 8:30 a.m. Eastern Time (ET). The conference call will be broadcast live on the Company’s Investor Relations website at www.cmcsa.com or www.cmcsk.com. A recording of the call will be available on the Investor Relations website starting at 12:30 p.m. ET on Thursday, February 14, 2008. To participate via telephone, please dial (800) 263-8495 with the conference ID number 30449562. A telephone replay will begin immediately following the call and will be available until Friday, February 15, 2008 at midnight Eastern Time (ET). To access the rebroadcast, please dial (800) 642-1687 and enter passcode number 30449562.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To automatically receive Comcast financial news by email, please visit www.cmcsa.com or www.cmcsk.com and subscribe to email alerts.</w:t>
      </w:r>
    </w:p>
    <w:p>
      <w:pPr>
        <w:spacing w:after="0" w:line="9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These risks and uncertainties include changes in business and economic conditions as well as other risks and uncertainties described in Comcast’s periodic and other reports filed with the Securities and Exchange Commission (SEC). The Company undertakes no obligation to update any forward-looking statements. The amount and timing of share repurchases and dividends is subject to business, economic and other relevant factors.</w:t>
      </w:r>
    </w:p>
    <w:p>
      <w:pPr>
        <w:spacing w:after="0" w:line="1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provided in Table 7 of this release. All percentages are calculated based on actual amounts. Minor differences may exist due to rounding.</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Comcast Corporation (Nasdaq: CMCSA, CMCSK) (http://www.comcast.com) is the nation's leading provider of entertainment, information and communications products and services. With 24.1 million cable customers, 13.2 million high-speed Internet customers, and 4.6 million voice customers, Comcast is principally involved in the development, management and operation of broadband cable systems and in the delivery of programming content. Comcast’s content networks and investments include E! Entertainment Television, Style Network, The Golf Channel, VERSUS, G4, PBS KIDS Sprout, TV One, Comcast SportsNet and Comcast Interactive Media, which develops and operates Comcast’s Internet business. Comcast also has a majority ownership in Comcast Spectacor, whose major holdings include the Philadelphia Flyers NHL hockey team, the Philadelphia 76ers NBA basketball team and two large multipurpose arenas in Philadelphia.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53"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3073400</wp:posOffset>
            </wp:positionH>
            <wp:positionV relativeFrom="page">
              <wp:posOffset>183515</wp:posOffset>
            </wp:positionV>
            <wp:extent cx="1423670" cy="3600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423670" cy="360045"/>
                    </a:xfrm>
                    <a:prstGeom prst="rect">
                      <a:avLst/>
                    </a:prstGeom>
                    <a:noFill/>
                  </pic:spPr>
                </pic:pic>
              </a:graphicData>
            </a:graphic>
          </wp:anchor>
        </w:drawing>
        <w:t>TABLE 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Operations</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200" w:type="dxa"/>
            <w:vAlign w:val="bottom"/>
            <w:gridSpan w:val="2"/>
          </w:tcPr>
          <w:p>
            <w:pPr>
              <w:jc w:val="right"/>
              <w:ind w:right="314"/>
              <w:spacing w:after="0"/>
              <w:rPr>
                <w:sz w:val="20"/>
                <w:szCs w:val="20"/>
                <w:color w:val="auto"/>
              </w:rPr>
            </w:pPr>
            <w:r>
              <w:rPr>
                <w:rFonts w:ascii="Arial" w:cs="Arial" w:eastAsia="Arial" w:hAnsi="Arial"/>
                <w:sz w:val="14"/>
                <w:szCs w:val="14"/>
                <w:b w:val="1"/>
                <w:bCs w:val="1"/>
                <w:color w:val="auto"/>
              </w:rPr>
              <w:t>Three Months Ended</w:t>
            </w:r>
          </w:p>
        </w:tc>
        <w:tc>
          <w:tcPr>
            <w:tcW w:w="1940" w:type="dxa"/>
            <w:vAlign w:val="bottom"/>
            <w:gridSpan w:val="2"/>
          </w:tcPr>
          <w:p>
            <w:pPr>
              <w:jc w:val="right"/>
              <w:ind w:right="154"/>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61"/>
        </w:trPr>
        <w:tc>
          <w:tcPr>
            <w:tcW w:w="728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2200" w:type="dxa"/>
            <w:vAlign w:val="bottom"/>
            <w:tcBorders>
              <w:bottom w:val="single" w:sz="8" w:color="auto"/>
            </w:tcBorders>
            <w:gridSpan w:val="2"/>
          </w:tcPr>
          <w:p>
            <w:pPr>
              <w:jc w:val="right"/>
              <w:ind w:right="534"/>
              <w:spacing w:after="0"/>
              <w:rPr>
                <w:sz w:val="20"/>
                <w:szCs w:val="20"/>
                <w:color w:val="auto"/>
              </w:rPr>
            </w:pPr>
            <w:r>
              <w:rPr>
                <w:rFonts w:ascii="Arial" w:cs="Arial" w:eastAsia="Arial" w:hAnsi="Arial"/>
                <w:sz w:val="14"/>
                <w:szCs w:val="14"/>
                <w:b w:val="1"/>
                <w:bCs w:val="1"/>
                <w:color w:val="auto"/>
              </w:rPr>
              <w:t>December 31,</w:t>
            </w:r>
          </w:p>
        </w:tc>
        <w:tc>
          <w:tcPr>
            <w:tcW w:w="1940" w:type="dxa"/>
            <w:vAlign w:val="bottom"/>
            <w:tcBorders>
              <w:bottom w:val="single" w:sz="8" w:color="auto"/>
            </w:tcBorders>
            <w:gridSpan w:val="2"/>
          </w:tcPr>
          <w:p>
            <w:pPr>
              <w:jc w:val="right"/>
              <w:ind w:right="41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280" w:type="dxa"/>
            <w:vAlign w:val="bottom"/>
            <w:gridSpan w:val="2"/>
            <w:vMerge w:val="continue"/>
          </w:tcPr>
          <w:p>
            <w:pPr>
              <w:spacing w:after="0"/>
              <w:rPr>
                <w:sz w:val="12"/>
                <w:szCs w:val="12"/>
                <w:color w:val="auto"/>
              </w:rPr>
            </w:pPr>
          </w:p>
        </w:tc>
        <w:tc>
          <w:tcPr>
            <w:tcW w:w="1180" w:type="dxa"/>
            <w:vAlign w:val="bottom"/>
          </w:tcPr>
          <w:p>
            <w:pPr>
              <w:jc w:val="right"/>
              <w:ind w:right="297"/>
              <w:spacing w:after="0" w:line="142" w:lineRule="exact"/>
              <w:rPr>
                <w:sz w:val="20"/>
                <w:szCs w:val="20"/>
                <w:color w:val="auto"/>
              </w:rPr>
            </w:pPr>
            <w:r>
              <w:rPr>
                <w:rFonts w:ascii="Arial" w:cs="Arial" w:eastAsia="Arial" w:hAnsi="Arial"/>
                <w:sz w:val="14"/>
                <w:szCs w:val="14"/>
                <w:b w:val="1"/>
                <w:bCs w:val="1"/>
                <w:color w:val="auto"/>
              </w:rPr>
              <w:t>2007</w:t>
            </w:r>
          </w:p>
        </w:tc>
        <w:tc>
          <w:tcPr>
            <w:tcW w:w="102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2006</w:t>
            </w:r>
          </w:p>
        </w:tc>
        <w:tc>
          <w:tcPr>
            <w:tcW w:w="1060" w:type="dxa"/>
            <w:vAlign w:val="bottom"/>
          </w:tcPr>
          <w:p>
            <w:pPr>
              <w:jc w:val="right"/>
              <w:ind w:right="317"/>
              <w:spacing w:after="0" w:line="142" w:lineRule="exact"/>
              <w:rPr>
                <w:sz w:val="20"/>
                <w:szCs w:val="20"/>
                <w:color w:val="auto"/>
              </w:rPr>
            </w:pPr>
            <w:r>
              <w:rPr>
                <w:rFonts w:ascii="Arial" w:cs="Arial" w:eastAsia="Arial" w:hAnsi="Arial"/>
                <w:sz w:val="14"/>
                <w:szCs w:val="14"/>
                <w:b w:val="1"/>
                <w:bCs w:val="1"/>
                <w:color w:val="auto"/>
              </w:rPr>
              <w:t>2007</w:t>
            </w:r>
          </w:p>
        </w:tc>
        <w:tc>
          <w:tcPr>
            <w:tcW w:w="88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Revenues</w:t>
            </w:r>
          </w:p>
        </w:tc>
        <w:tc>
          <w:tcPr>
            <w:tcW w:w="1180" w:type="dxa"/>
            <w:vAlign w:val="bottom"/>
            <w:tcBorders>
              <w:top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$ 8,014</w:t>
            </w:r>
          </w:p>
        </w:tc>
        <w:tc>
          <w:tcPr>
            <w:tcW w:w="1020" w:type="dxa"/>
            <w:vAlign w:val="bottom"/>
            <w:tcBorders>
              <w:top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$ 7,031</w:t>
            </w:r>
          </w:p>
        </w:tc>
        <w:tc>
          <w:tcPr>
            <w:tcW w:w="1060" w:type="dxa"/>
            <w:vAlign w:val="bottom"/>
            <w:tcBorders>
              <w:top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$30,895</w:t>
            </w:r>
          </w:p>
        </w:tc>
        <w:tc>
          <w:tcPr>
            <w:tcW w:w="8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$24,966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Operating expenses</w:t>
            </w:r>
          </w:p>
        </w:tc>
        <w:tc>
          <w:tcPr>
            <w:tcW w:w="1180" w:type="dxa"/>
            <w:vAlign w:val="bottom"/>
          </w:tcPr>
          <w:p>
            <w:pPr>
              <w:jc w:val="right"/>
              <w:ind w:right="157"/>
              <w:spacing w:after="0"/>
              <w:rPr>
                <w:sz w:val="20"/>
                <w:szCs w:val="20"/>
                <w:color w:val="auto"/>
              </w:rPr>
            </w:pPr>
            <w:r>
              <w:rPr>
                <w:rFonts w:ascii="Arial" w:cs="Arial" w:eastAsia="Arial" w:hAnsi="Arial"/>
                <w:sz w:val="18"/>
                <w:szCs w:val="18"/>
                <w:b w:val="1"/>
                <w:bCs w:val="1"/>
                <w:color w:val="auto"/>
              </w:rPr>
              <w:t>2,903</w:t>
            </w:r>
          </w:p>
        </w:tc>
        <w:tc>
          <w:tcPr>
            <w:tcW w:w="1020" w:type="dxa"/>
            <w:vAlign w:val="bottom"/>
          </w:tcPr>
          <w:p>
            <w:pPr>
              <w:jc w:val="right"/>
              <w:ind w:right="154"/>
              <w:spacing w:after="0"/>
              <w:rPr>
                <w:sz w:val="20"/>
                <w:szCs w:val="20"/>
                <w:color w:val="auto"/>
              </w:rPr>
            </w:pPr>
            <w:r>
              <w:rPr>
                <w:rFonts w:ascii="Arial" w:cs="Arial" w:eastAsia="Arial" w:hAnsi="Arial"/>
                <w:sz w:val="18"/>
                <w:szCs w:val="18"/>
                <w:color w:val="auto"/>
              </w:rPr>
              <w:t>2,533</w:t>
            </w:r>
          </w:p>
        </w:tc>
        <w:tc>
          <w:tcPr>
            <w:tcW w:w="1060" w:type="dxa"/>
            <w:vAlign w:val="bottom"/>
          </w:tcPr>
          <w:p>
            <w:pPr>
              <w:jc w:val="right"/>
              <w:ind w:right="157"/>
              <w:spacing w:after="0"/>
              <w:rPr>
                <w:sz w:val="20"/>
                <w:szCs w:val="20"/>
                <w:color w:val="auto"/>
              </w:rPr>
            </w:pPr>
            <w:r>
              <w:rPr>
                <w:rFonts w:ascii="Arial" w:cs="Arial" w:eastAsia="Arial" w:hAnsi="Arial"/>
                <w:sz w:val="18"/>
                <w:szCs w:val="18"/>
                <w:b w:val="1"/>
                <w:bCs w:val="1"/>
                <w:color w:val="auto"/>
              </w:rPr>
              <w:t>11,175</w:t>
            </w:r>
          </w:p>
        </w:tc>
        <w:tc>
          <w:tcPr>
            <w:tcW w:w="880" w:type="dxa"/>
            <w:vAlign w:val="bottom"/>
          </w:tcPr>
          <w:p>
            <w:pPr>
              <w:jc w:val="right"/>
              <w:spacing w:after="0"/>
              <w:rPr>
                <w:sz w:val="20"/>
                <w:szCs w:val="20"/>
                <w:color w:val="auto"/>
              </w:rPr>
            </w:pPr>
            <w:r>
              <w:rPr>
                <w:rFonts w:ascii="Arial" w:cs="Arial" w:eastAsia="Arial" w:hAnsi="Arial"/>
                <w:sz w:val="18"/>
                <w:szCs w:val="18"/>
                <w:color w:val="auto"/>
              </w:rPr>
              <w:t>9,010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118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2,029</w:t>
            </w:r>
          </w:p>
        </w:tc>
        <w:tc>
          <w:tcPr>
            <w:tcW w:w="102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1,904</w:t>
            </w:r>
          </w:p>
        </w:tc>
        <w:tc>
          <w:tcPr>
            <w:tcW w:w="106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7,934</w:t>
            </w: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6,514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18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4,932</w:t>
            </w:r>
          </w:p>
        </w:tc>
        <w:tc>
          <w:tcPr>
            <w:tcW w:w="10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4,437</w:t>
            </w:r>
          </w:p>
        </w:tc>
        <w:tc>
          <w:tcPr>
            <w:tcW w:w="106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19,109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cash flow</w:t>
            </w:r>
          </w:p>
        </w:tc>
        <w:tc>
          <w:tcPr>
            <w:tcW w:w="1180" w:type="dxa"/>
            <w:vAlign w:val="bottom"/>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3,082</w:t>
            </w:r>
          </w:p>
        </w:tc>
        <w:tc>
          <w:tcPr>
            <w:tcW w:w="10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2,594</w:t>
            </w:r>
          </w:p>
        </w:tc>
        <w:tc>
          <w:tcPr>
            <w:tcW w:w="1060" w:type="dxa"/>
            <w:vAlign w:val="bottom"/>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11,786</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9,442</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Depreciation expense</w:t>
            </w:r>
          </w:p>
        </w:tc>
        <w:tc>
          <w:tcPr>
            <w:tcW w:w="1180" w:type="dxa"/>
            <w:vAlign w:val="bottom"/>
          </w:tcPr>
          <w:p>
            <w:pPr>
              <w:jc w:val="right"/>
              <w:ind w:right="157"/>
              <w:spacing w:after="0"/>
              <w:rPr>
                <w:sz w:val="20"/>
                <w:szCs w:val="20"/>
                <w:color w:val="auto"/>
              </w:rPr>
            </w:pPr>
            <w:r>
              <w:rPr>
                <w:rFonts w:ascii="Arial" w:cs="Arial" w:eastAsia="Arial" w:hAnsi="Arial"/>
                <w:sz w:val="18"/>
                <w:szCs w:val="18"/>
                <w:b w:val="1"/>
                <w:bCs w:val="1"/>
                <w:color w:val="auto"/>
              </w:rPr>
              <w:t>1,339</w:t>
            </w:r>
          </w:p>
        </w:tc>
        <w:tc>
          <w:tcPr>
            <w:tcW w:w="1020" w:type="dxa"/>
            <w:vAlign w:val="bottom"/>
          </w:tcPr>
          <w:p>
            <w:pPr>
              <w:jc w:val="right"/>
              <w:ind w:right="154"/>
              <w:spacing w:after="0"/>
              <w:rPr>
                <w:sz w:val="20"/>
                <w:szCs w:val="20"/>
                <w:color w:val="auto"/>
              </w:rPr>
            </w:pPr>
            <w:r>
              <w:rPr>
                <w:rFonts w:ascii="Arial" w:cs="Arial" w:eastAsia="Arial" w:hAnsi="Arial"/>
                <w:sz w:val="18"/>
                <w:szCs w:val="18"/>
                <w:color w:val="auto"/>
              </w:rPr>
              <w:t>1,080</w:t>
            </w:r>
          </w:p>
        </w:tc>
        <w:tc>
          <w:tcPr>
            <w:tcW w:w="1060" w:type="dxa"/>
            <w:vAlign w:val="bottom"/>
          </w:tcPr>
          <w:p>
            <w:pPr>
              <w:jc w:val="right"/>
              <w:ind w:right="157"/>
              <w:spacing w:after="0"/>
              <w:rPr>
                <w:sz w:val="20"/>
                <w:szCs w:val="20"/>
                <w:color w:val="auto"/>
              </w:rPr>
            </w:pPr>
            <w:r>
              <w:rPr>
                <w:rFonts w:ascii="Arial" w:cs="Arial" w:eastAsia="Arial" w:hAnsi="Arial"/>
                <w:sz w:val="18"/>
                <w:szCs w:val="18"/>
                <w:b w:val="1"/>
                <w:bCs w:val="1"/>
                <w:color w:val="auto"/>
              </w:rPr>
              <w:t>5,107</w:t>
            </w:r>
          </w:p>
        </w:tc>
        <w:tc>
          <w:tcPr>
            <w:tcW w:w="880" w:type="dxa"/>
            <w:vAlign w:val="bottom"/>
          </w:tcPr>
          <w:p>
            <w:pPr>
              <w:jc w:val="right"/>
              <w:spacing w:after="0"/>
              <w:rPr>
                <w:sz w:val="20"/>
                <w:szCs w:val="20"/>
                <w:color w:val="auto"/>
              </w:rPr>
            </w:pPr>
            <w:r>
              <w:rPr>
                <w:rFonts w:ascii="Arial" w:cs="Arial" w:eastAsia="Arial" w:hAnsi="Arial"/>
                <w:sz w:val="18"/>
                <w:szCs w:val="18"/>
                <w:color w:val="auto"/>
              </w:rPr>
              <w:t>3,828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Amortization expense</w:t>
            </w:r>
          </w:p>
        </w:tc>
        <w:tc>
          <w:tcPr>
            <w:tcW w:w="118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285</w:t>
            </w:r>
          </w:p>
        </w:tc>
        <w:tc>
          <w:tcPr>
            <w:tcW w:w="102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296</w:t>
            </w:r>
          </w:p>
        </w:tc>
        <w:tc>
          <w:tcPr>
            <w:tcW w:w="106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1,101</w:t>
            </w: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18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1,624</w:t>
            </w:r>
          </w:p>
        </w:tc>
        <w:tc>
          <w:tcPr>
            <w:tcW w:w="10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1,376</w:t>
            </w:r>
          </w:p>
        </w:tc>
        <w:tc>
          <w:tcPr>
            <w:tcW w:w="106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6,208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1180" w:type="dxa"/>
            <w:vAlign w:val="bottom"/>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1,458</w:t>
            </w:r>
          </w:p>
        </w:tc>
        <w:tc>
          <w:tcPr>
            <w:tcW w:w="10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1,218</w:t>
            </w:r>
          </w:p>
        </w:tc>
        <w:tc>
          <w:tcPr>
            <w:tcW w:w="1060" w:type="dxa"/>
            <w:vAlign w:val="bottom"/>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5,578</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4,619</w:t>
            </w:r>
          </w:p>
        </w:tc>
        <w:tc>
          <w:tcPr>
            <w:tcW w:w="0" w:type="dxa"/>
            <w:vAlign w:val="bottom"/>
          </w:tcPr>
          <w:p>
            <w:pPr>
              <w:spacing w:after="0"/>
              <w:rPr>
                <w:sz w:val="1"/>
                <w:szCs w:val="1"/>
                <w:color w:val="auto"/>
              </w:rPr>
            </w:pPr>
          </w:p>
        </w:tc>
      </w:tr>
    </w:tbl>
    <w:p>
      <w:pPr>
        <w:spacing w:after="0" w:line="100" w:lineRule="exact"/>
        <w:rPr>
          <w:sz w:val="20"/>
          <w:szCs w:val="20"/>
          <w:color w:val="auto"/>
        </w:rPr>
      </w:pPr>
    </w:p>
    <w:p>
      <w:pPr>
        <w:sectPr>
          <w:pgSz w:w="11900" w:h="16838" w:orient="portrait"/>
          <w:cols w:equalWidth="0" w:num="1">
            <w:col w:w="11420"/>
          </w:cols>
          <w:pgMar w:left="240" w:top="823" w:right="239" w:bottom="1440" w:gutter="0" w:footer="0" w:header="0"/>
        </w:sectPr>
      </w:pPr>
    </w:p>
    <w:p>
      <w:pPr>
        <w:spacing w:after="0"/>
        <w:rPr>
          <w:sz w:val="20"/>
          <w:szCs w:val="20"/>
          <w:color w:val="auto"/>
        </w:rPr>
      </w:pPr>
      <w:r>
        <w:rPr>
          <w:rFonts w:ascii="Arial" w:cs="Arial" w:eastAsia="Arial" w:hAnsi="Arial"/>
          <w:sz w:val="18"/>
          <w:szCs w:val="18"/>
          <w:color w:val="auto"/>
        </w:rPr>
        <w:t>Other income (expense)</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Interest expense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Investment income (loss), net</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Equity in net (losses) income of affiliates, net</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income (expense)</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Income before income taxes and minority interest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Income before minority interest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Minority interest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Income from discontinued operations, net of tax</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Gain on discontinued operations, net of tax</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earnings per common share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Income from continuing operations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Income from discontinued operations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b w:val="1"/>
                <w:bCs w:val="1"/>
                <w:color w:val="auto"/>
                <w:w w:val="99"/>
              </w:rPr>
              <w:t>(600)</w:t>
            </w:r>
          </w:p>
        </w:tc>
        <w:tc>
          <w:tcPr>
            <w:tcW w:w="3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w w:val="99"/>
              </w:rPr>
              <w:t>(562)</w:t>
            </w:r>
          </w:p>
        </w:tc>
        <w:tc>
          <w:tcPr>
            <w:tcW w:w="30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b w:val="1"/>
                <w:bCs w:val="1"/>
                <w:color w:val="auto"/>
                <w:w w:val="91"/>
              </w:rPr>
              <w:t>(2,289)</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(2,064)</w:t>
            </w:r>
          </w:p>
        </w:tc>
      </w:tr>
      <w:tr>
        <w:trPr>
          <w:trHeight w:val="216"/>
        </w:trPr>
        <w:tc>
          <w:tcPr>
            <w:tcW w:w="56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b w:val="1"/>
                <w:bCs w:val="1"/>
                <w:color w:val="auto"/>
              </w:rPr>
              <w:t>143</w:t>
            </w:r>
          </w:p>
        </w:tc>
        <w:tc>
          <w:tcPr>
            <w:tcW w:w="380" w:type="dxa"/>
            <w:vAlign w:val="bottom"/>
          </w:tcPr>
          <w:p>
            <w:pPr>
              <w:spacing w:after="0"/>
              <w:rPr>
                <w:sz w:val="18"/>
                <w:szCs w:val="18"/>
                <w:color w:val="auto"/>
              </w:rPr>
            </w:pPr>
          </w:p>
        </w:tc>
        <w:tc>
          <w:tcPr>
            <w:tcW w:w="660" w:type="dxa"/>
            <w:vAlign w:val="bottom"/>
          </w:tcPr>
          <w:p>
            <w:pPr>
              <w:jc w:val="right"/>
              <w:ind w:right="192"/>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b w:val="1"/>
                <w:bCs w:val="1"/>
                <w:color w:val="auto"/>
              </w:rPr>
              <w:t>601</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990</w:t>
            </w:r>
          </w:p>
        </w:tc>
      </w:tr>
      <w:tr>
        <w:trPr>
          <w:trHeight w:val="216"/>
        </w:trPr>
        <w:tc>
          <w:tcPr>
            <w:tcW w:w="560" w:type="dxa"/>
            <w:vAlign w:val="bottom"/>
          </w:tcPr>
          <w:p>
            <w:pPr>
              <w:spacing w:after="0"/>
              <w:rPr>
                <w:sz w:val="18"/>
                <w:szCs w:val="18"/>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b w:val="1"/>
                <w:bCs w:val="1"/>
                <w:color w:val="auto"/>
              </w:rPr>
              <w:t>(14)</w:t>
            </w:r>
          </w:p>
        </w:tc>
        <w:tc>
          <w:tcPr>
            <w:tcW w:w="3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b w:val="1"/>
                <w:bCs w:val="1"/>
                <w:color w:val="auto"/>
              </w:rPr>
              <w:t>(63)</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29"/>
        </w:trPr>
        <w:tc>
          <w:tcPr>
            <w:tcW w:w="5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9</w:t>
            </w: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(21)</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522</w:t>
            </w: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r>
      <w:tr>
        <w:trPr>
          <w:trHeight w:val="211"/>
        </w:trPr>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9"/>
              </w:rPr>
              <w:t>(462)</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(566)</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1"/>
              </w:rPr>
              <w:t>(1,229)</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(1,025)</w:t>
            </w:r>
          </w:p>
        </w:tc>
      </w:tr>
      <w:tr>
        <w:trPr>
          <w:trHeight w:val="316"/>
        </w:trPr>
        <w:tc>
          <w:tcPr>
            <w:tcW w:w="560" w:type="dxa"/>
            <w:vAlign w:val="bottom"/>
          </w:tcPr>
          <w:p>
            <w:pPr>
              <w:spacing w:after="0"/>
              <w:rPr>
                <w:sz w:val="24"/>
                <w:szCs w:val="24"/>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b w:val="1"/>
                <w:bCs w:val="1"/>
                <w:color w:val="auto"/>
              </w:rPr>
              <w:t>996</w:t>
            </w:r>
          </w:p>
        </w:tc>
        <w:tc>
          <w:tcPr>
            <w:tcW w:w="380" w:type="dxa"/>
            <w:vAlign w:val="bottom"/>
          </w:tcPr>
          <w:p>
            <w:pPr>
              <w:spacing w:after="0"/>
              <w:rPr>
                <w:sz w:val="24"/>
                <w:szCs w:val="24"/>
                <w:color w:val="auto"/>
              </w:rPr>
            </w:pPr>
          </w:p>
        </w:tc>
        <w:tc>
          <w:tcPr>
            <w:tcW w:w="660" w:type="dxa"/>
            <w:vAlign w:val="bottom"/>
          </w:tcPr>
          <w:p>
            <w:pPr>
              <w:jc w:val="right"/>
              <w:ind w:right="192"/>
              <w:spacing w:after="0"/>
              <w:rPr>
                <w:sz w:val="20"/>
                <w:szCs w:val="20"/>
                <w:color w:val="auto"/>
              </w:rPr>
            </w:pPr>
            <w:r>
              <w:rPr>
                <w:rFonts w:ascii="Arial" w:cs="Arial" w:eastAsia="Arial" w:hAnsi="Arial"/>
                <w:sz w:val="18"/>
                <w:szCs w:val="18"/>
                <w:color w:val="auto"/>
              </w:rPr>
              <w:t>652</w:t>
            </w:r>
          </w:p>
        </w:tc>
        <w:tc>
          <w:tcPr>
            <w:tcW w:w="300" w:type="dxa"/>
            <w:vAlign w:val="bottom"/>
          </w:tcPr>
          <w:p>
            <w:pPr>
              <w:spacing w:after="0"/>
              <w:rPr>
                <w:sz w:val="24"/>
                <w:szCs w:val="24"/>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b w:val="1"/>
                <w:bCs w:val="1"/>
                <w:color w:val="auto"/>
              </w:rPr>
              <w:t>4,349</w:t>
            </w: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3,594</w:t>
            </w:r>
          </w:p>
        </w:tc>
      </w:tr>
      <w:tr>
        <w:trPr>
          <w:trHeight w:val="325"/>
        </w:trPr>
        <w:tc>
          <w:tcPr>
            <w:tcW w:w="5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9"/>
              </w:rPr>
              <w:t>(400)</w:t>
            </w: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(221)</w:t>
            </w: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1"/>
              </w:rPr>
              <w:t>(1,800)</w:t>
            </w:r>
          </w:p>
        </w:tc>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(1,347)</w:t>
            </w:r>
          </w:p>
        </w:tc>
      </w:tr>
      <w:tr>
        <w:trPr>
          <w:trHeight w:val="317"/>
        </w:trPr>
        <w:tc>
          <w:tcPr>
            <w:tcW w:w="560" w:type="dxa"/>
            <w:vAlign w:val="bottom"/>
          </w:tcPr>
          <w:p>
            <w:pPr>
              <w:spacing w:after="0"/>
              <w:rPr>
                <w:sz w:val="24"/>
                <w:szCs w:val="24"/>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b w:val="1"/>
                <w:bCs w:val="1"/>
                <w:color w:val="auto"/>
              </w:rPr>
              <w:t>596</w:t>
            </w:r>
          </w:p>
        </w:tc>
        <w:tc>
          <w:tcPr>
            <w:tcW w:w="380" w:type="dxa"/>
            <w:vAlign w:val="bottom"/>
          </w:tcPr>
          <w:p>
            <w:pPr>
              <w:spacing w:after="0"/>
              <w:rPr>
                <w:sz w:val="24"/>
                <w:szCs w:val="24"/>
                <w:color w:val="auto"/>
              </w:rPr>
            </w:pPr>
          </w:p>
        </w:tc>
        <w:tc>
          <w:tcPr>
            <w:tcW w:w="660" w:type="dxa"/>
            <w:vAlign w:val="bottom"/>
          </w:tcPr>
          <w:p>
            <w:pPr>
              <w:jc w:val="right"/>
              <w:ind w:right="192"/>
              <w:spacing w:after="0"/>
              <w:rPr>
                <w:sz w:val="20"/>
                <w:szCs w:val="20"/>
                <w:color w:val="auto"/>
              </w:rPr>
            </w:pPr>
            <w:r>
              <w:rPr>
                <w:rFonts w:ascii="Arial" w:cs="Arial" w:eastAsia="Arial" w:hAnsi="Arial"/>
                <w:sz w:val="18"/>
                <w:szCs w:val="18"/>
                <w:color w:val="auto"/>
              </w:rPr>
              <w:t>431</w:t>
            </w:r>
          </w:p>
        </w:tc>
        <w:tc>
          <w:tcPr>
            <w:tcW w:w="300" w:type="dxa"/>
            <w:vAlign w:val="bottom"/>
          </w:tcPr>
          <w:p>
            <w:pPr>
              <w:spacing w:after="0"/>
              <w:rPr>
                <w:sz w:val="24"/>
                <w:szCs w:val="24"/>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b w:val="1"/>
                <w:bCs w:val="1"/>
                <w:color w:val="auto"/>
              </w:rPr>
              <w:t>2,549</w:t>
            </w: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2,247</w:t>
            </w:r>
          </w:p>
        </w:tc>
      </w:tr>
      <w:tr>
        <w:trPr>
          <w:trHeight w:val="325"/>
        </w:trPr>
        <w:tc>
          <w:tcPr>
            <w:tcW w:w="5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6</w:t>
            </w: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38</w:t>
            </w:r>
          </w:p>
        </w:tc>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317"/>
        </w:trPr>
        <w:tc>
          <w:tcPr>
            <w:tcW w:w="560" w:type="dxa"/>
            <w:vAlign w:val="bottom"/>
          </w:tcPr>
          <w:p>
            <w:pPr>
              <w:spacing w:after="0"/>
              <w:rPr>
                <w:sz w:val="24"/>
                <w:szCs w:val="24"/>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b w:val="1"/>
                <w:bCs w:val="1"/>
                <w:color w:val="auto"/>
              </w:rPr>
              <w:t>602</w:t>
            </w:r>
          </w:p>
        </w:tc>
        <w:tc>
          <w:tcPr>
            <w:tcW w:w="380" w:type="dxa"/>
            <w:vAlign w:val="bottom"/>
          </w:tcPr>
          <w:p>
            <w:pPr>
              <w:spacing w:after="0"/>
              <w:rPr>
                <w:sz w:val="24"/>
                <w:szCs w:val="24"/>
                <w:color w:val="auto"/>
              </w:rPr>
            </w:pPr>
          </w:p>
        </w:tc>
        <w:tc>
          <w:tcPr>
            <w:tcW w:w="660" w:type="dxa"/>
            <w:vAlign w:val="bottom"/>
          </w:tcPr>
          <w:p>
            <w:pPr>
              <w:jc w:val="right"/>
              <w:ind w:right="192"/>
              <w:spacing w:after="0"/>
              <w:rPr>
                <w:sz w:val="20"/>
                <w:szCs w:val="20"/>
                <w:color w:val="auto"/>
              </w:rPr>
            </w:pPr>
            <w:r>
              <w:rPr>
                <w:rFonts w:ascii="Arial" w:cs="Arial" w:eastAsia="Arial" w:hAnsi="Arial"/>
                <w:sz w:val="18"/>
                <w:szCs w:val="18"/>
                <w:color w:val="auto"/>
              </w:rPr>
              <w:t>429</w:t>
            </w:r>
          </w:p>
        </w:tc>
        <w:tc>
          <w:tcPr>
            <w:tcW w:w="300" w:type="dxa"/>
            <w:vAlign w:val="bottom"/>
          </w:tcPr>
          <w:p>
            <w:pPr>
              <w:spacing w:after="0"/>
              <w:rPr>
                <w:sz w:val="24"/>
                <w:szCs w:val="24"/>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b w:val="1"/>
                <w:bCs w:val="1"/>
                <w:color w:val="auto"/>
              </w:rPr>
              <w:t>2,587</w:t>
            </w: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2,235</w:t>
            </w:r>
          </w:p>
        </w:tc>
      </w:tr>
      <w:tr>
        <w:trPr>
          <w:trHeight w:val="324"/>
        </w:trPr>
        <w:tc>
          <w:tcPr>
            <w:tcW w:w="560" w:type="dxa"/>
            <w:vAlign w:val="bottom"/>
          </w:tcPr>
          <w:p>
            <w:pPr>
              <w:spacing w:after="0"/>
              <w:rPr>
                <w:sz w:val="24"/>
                <w:szCs w:val="24"/>
                <w:color w:val="auto"/>
              </w:rPr>
            </w:pPr>
          </w:p>
        </w:tc>
        <w:tc>
          <w:tcPr>
            <w:tcW w:w="640" w:type="dxa"/>
            <w:vAlign w:val="bottom"/>
          </w:tcPr>
          <w:p>
            <w:pPr>
              <w:jc w:val="right"/>
              <w:ind w:right="252"/>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4"/>
                <w:szCs w:val="24"/>
                <w:color w:val="auto"/>
              </w:rPr>
            </w:pP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25"/>
        </w:trPr>
        <w:tc>
          <w:tcPr>
            <w:tcW w:w="5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(39)</w:t>
            </w: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r>
      <w:tr>
        <w:trPr>
          <w:trHeight w:val="326"/>
        </w:trPr>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602</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390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2,587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w:t>
            </w:r>
          </w:p>
        </w:tc>
      </w:tr>
      <w:tr>
        <w:trPr>
          <w:trHeight w:val="526"/>
        </w:trPr>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172"/>
              <w:spacing w:after="0"/>
              <w:rPr>
                <w:sz w:val="20"/>
                <w:szCs w:val="20"/>
                <w:color w:val="auto"/>
              </w:rPr>
            </w:pPr>
            <w:r>
              <w:rPr>
                <w:rFonts w:ascii="Arial" w:cs="Arial" w:eastAsia="Arial" w:hAnsi="Arial"/>
                <w:sz w:val="18"/>
                <w:szCs w:val="18"/>
                <w:b w:val="1"/>
                <w:bCs w:val="1"/>
                <w:color w:val="auto"/>
              </w:rPr>
              <w:t>0.20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92"/>
              <w:spacing w:after="0"/>
              <w:rPr>
                <w:sz w:val="20"/>
                <w:szCs w:val="20"/>
                <w:color w:val="auto"/>
              </w:rPr>
            </w:pPr>
            <w:r>
              <w:rPr>
                <w:rFonts w:ascii="Arial" w:cs="Arial" w:eastAsia="Arial" w:hAnsi="Arial"/>
                <w:sz w:val="18"/>
                <w:szCs w:val="18"/>
                <w:color w:val="auto"/>
              </w:rPr>
              <w:t>0.14</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72"/>
              <w:spacing w:after="0"/>
              <w:rPr>
                <w:sz w:val="20"/>
                <w:szCs w:val="20"/>
                <w:color w:val="auto"/>
              </w:rPr>
            </w:pPr>
            <w:r>
              <w:rPr>
                <w:rFonts w:ascii="Arial" w:cs="Arial" w:eastAsia="Arial" w:hAnsi="Arial"/>
                <w:sz w:val="18"/>
                <w:szCs w:val="18"/>
                <w:b w:val="1"/>
                <w:bCs w:val="1"/>
                <w:color w:val="auto"/>
              </w:rPr>
              <w:t>0.84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0.71</w:t>
            </w:r>
          </w:p>
        </w:tc>
      </w:tr>
      <w:tr>
        <w:trPr>
          <w:trHeight w:val="228"/>
        </w:trPr>
        <w:tc>
          <w:tcPr>
            <w:tcW w:w="560" w:type="dxa"/>
            <w:vAlign w:val="bottom"/>
          </w:tcPr>
          <w:p>
            <w:pPr>
              <w:spacing w:after="0"/>
              <w:rPr>
                <w:sz w:val="19"/>
                <w:szCs w:val="19"/>
                <w:color w:val="auto"/>
              </w:rPr>
            </w:pPr>
          </w:p>
        </w:tc>
        <w:tc>
          <w:tcPr>
            <w:tcW w:w="640" w:type="dxa"/>
            <w:vAlign w:val="bottom"/>
          </w:tcPr>
          <w:p>
            <w:pPr>
              <w:jc w:val="right"/>
              <w:ind w:right="252"/>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-2870835</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-2596515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-2313305</wp:posOffset>
            </wp:positionV>
            <wp:extent cx="72466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-1893570</wp:posOffset>
            </wp:positionV>
            <wp:extent cx="72466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-1473200</wp:posOffset>
            </wp:positionV>
            <wp:extent cx="72466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-1052830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-632460</wp:posOffset>
            </wp:positionV>
            <wp:extent cx="72466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-272415</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6560" w:space="720"/>
            <w:col w:w="4140"/>
          </w:cols>
          <w:pgMar w:left="240" w:top="823"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68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Gain on discontinued operations</w:t>
            </w:r>
          </w:p>
        </w:tc>
        <w:tc>
          <w:tcPr>
            <w:tcW w:w="2580" w:type="dxa"/>
            <w:vAlign w:val="bottom"/>
            <w:tcBorders>
              <w:bottom w:val="single" w:sz="8" w:color="E5E5E5"/>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232"/>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w w:val="97"/>
              </w:rPr>
              <w:t>(0.01)</w:t>
            </w:r>
          </w:p>
        </w:tc>
        <w:tc>
          <w:tcPr>
            <w:tcW w:w="3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232"/>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1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52"/>
              <w:spacing w:after="0"/>
              <w:rPr>
                <w:sz w:val="20"/>
                <w:szCs w:val="20"/>
                <w:color w:val="auto"/>
              </w:rPr>
            </w:pPr>
            <w:r>
              <w:rPr>
                <w:rFonts w:ascii="Arial" w:cs="Arial" w:eastAsia="Arial" w:hAnsi="Arial"/>
                <w:sz w:val="18"/>
                <w:szCs w:val="18"/>
                <w:b w:val="1"/>
                <w:bCs w:val="1"/>
                <w:color w:val="auto"/>
              </w:rPr>
              <w:t>0.20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0.13</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2"/>
              <w:spacing w:after="0"/>
              <w:rPr>
                <w:sz w:val="20"/>
                <w:szCs w:val="20"/>
                <w:color w:val="auto"/>
              </w:rPr>
            </w:pPr>
            <w:r>
              <w:rPr>
                <w:rFonts w:ascii="Arial" w:cs="Arial" w:eastAsia="Arial" w:hAnsi="Arial"/>
                <w:sz w:val="18"/>
                <w:szCs w:val="18"/>
                <w:b w:val="1"/>
                <w:bCs w:val="1"/>
                <w:color w:val="auto"/>
              </w:rPr>
              <w:t>0.84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25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Income from continuing operations</w:t>
            </w:r>
          </w:p>
        </w:tc>
        <w:tc>
          <w:tcPr>
            <w:tcW w:w="31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52"/>
              <w:spacing w:after="0"/>
              <w:rPr>
                <w:sz w:val="20"/>
                <w:szCs w:val="20"/>
                <w:color w:val="auto"/>
              </w:rPr>
            </w:pPr>
            <w:r>
              <w:rPr>
                <w:rFonts w:ascii="Arial" w:cs="Arial" w:eastAsia="Arial" w:hAnsi="Arial"/>
                <w:sz w:val="18"/>
                <w:szCs w:val="18"/>
                <w:b w:val="1"/>
                <w:bCs w:val="1"/>
                <w:color w:val="auto"/>
              </w:rPr>
              <w:t>0.20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0.14</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2"/>
              <w:spacing w:after="0"/>
              <w:rPr>
                <w:sz w:val="20"/>
                <w:szCs w:val="20"/>
                <w:color w:val="auto"/>
              </w:rPr>
            </w:pPr>
            <w:r>
              <w:rPr>
                <w:rFonts w:ascii="Arial" w:cs="Arial" w:eastAsia="Arial" w:hAnsi="Arial"/>
                <w:sz w:val="18"/>
                <w:szCs w:val="18"/>
                <w:b w:val="1"/>
                <w:bCs w:val="1"/>
                <w:color w:val="auto"/>
              </w:rPr>
              <w:t>0.83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Income from discontinued operations</w:t>
            </w:r>
          </w:p>
        </w:tc>
        <w:tc>
          <w:tcPr>
            <w:tcW w:w="25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232"/>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232"/>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Gain on discontinued operations</w:t>
            </w:r>
          </w:p>
        </w:tc>
        <w:tc>
          <w:tcPr>
            <w:tcW w:w="25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7"/>
              </w:rPr>
              <w:t>(0.01)</w:t>
            </w: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Net income</w:t>
            </w:r>
          </w:p>
        </w:tc>
        <w:tc>
          <w:tcPr>
            <w:tcW w:w="2580" w:type="dxa"/>
            <w:vAlign w:val="bottom"/>
            <w:tcBorders>
              <w:bottom w:val="single" w:sz="8" w:color="E5E5E5"/>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0.20</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0.13</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0.83</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331"/>
        </w:trPr>
        <w:tc>
          <w:tcPr>
            <w:tcW w:w="4700" w:type="dxa"/>
            <w:vAlign w:val="bottom"/>
            <w:gridSpan w:val="2"/>
          </w:tcPr>
          <w:p>
            <w:pPr>
              <w:spacing w:after="0"/>
              <w:rPr>
                <w:sz w:val="20"/>
                <w:szCs w:val="20"/>
                <w:color w:val="auto"/>
              </w:rPr>
            </w:pPr>
            <w:r>
              <w:rPr>
                <w:rFonts w:ascii="Arial" w:cs="Arial" w:eastAsia="Arial" w:hAnsi="Arial"/>
                <w:sz w:val="18"/>
                <w:szCs w:val="18"/>
                <w:color w:val="auto"/>
              </w:rPr>
              <w:t>Basic weighted-average number of common shares</w:t>
            </w:r>
          </w:p>
        </w:tc>
        <w:tc>
          <w:tcPr>
            <w:tcW w:w="25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8"/>
              </w:rPr>
              <w:t>3,067</w:t>
            </w: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88"/>
              </w:rPr>
              <w:t>3,127</w:t>
            </w: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3"/>
              </w:rPr>
              <w:t>3,098</w:t>
            </w:r>
          </w:p>
        </w:tc>
        <w:tc>
          <w:tcPr>
            <w:tcW w:w="3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3,160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Diluted weighted-average number of common shares</w:t>
            </w:r>
          </w:p>
        </w:tc>
        <w:tc>
          <w:tcPr>
            <w:tcW w:w="2580" w:type="dxa"/>
            <w:vAlign w:val="bottom"/>
            <w:tcBorders>
              <w:bottom w:val="single" w:sz="8" w:color="E5E5E5"/>
            </w:tcBorders>
            <w:shd w:val="clear" w:color="auto" w:fill="E5E5E5"/>
          </w:tcPr>
          <w:p>
            <w:pPr>
              <w:spacing w:after="0"/>
              <w:rPr>
                <w:sz w:val="19"/>
                <w:szCs w:val="19"/>
                <w:color w:val="auto"/>
              </w:rPr>
            </w:pPr>
          </w:p>
        </w:tc>
        <w:tc>
          <w:tcPr>
            <w:tcW w:w="520" w:type="dxa"/>
            <w:vAlign w:val="bottom"/>
            <w:tcBorders>
              <w:bottom w:val="single" w:sz="8" w:color="auto"/>
            </w:tcBorders>
            <w:shd w:val="clear" w:color="auto" w:fill="E5E5E5"/>
          </w:tcPr>
          <w:p>
            <w:pPr>
              <w:spacing w:after="0"/>
              <w:rPr>
                <w:sz w:val="19"/>
                <w:szCs w:val="19"/>
                <w:color w:val="auto"/>
              </w:rPr>
            </w:pPr>
          </w:p>
        </w:tc>
        <w:tc>
          <w:tcPr>
            <w:tcW w:w="6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w w:val="88"/>
              </w:rPr>
              <w:t>3,078</w:t>
            </w:r>
          </w:p>
        </w:tc>
        <w:tc>
          <w:tcPr>
            <w:tcW w:w="360" w:type="dxa"/>
            <w:vAlign w:val="bottom"/>
            <w:tcBorders>
              <w:bottom w:val="single" w:sz="8" w:color="auto"/>
            </w:tcBorders>
            <w:shd w:val="clear" w:color="auto" w:fill="E5E5E5"/>
          </w:tcPr>
          <w:p>
            <w:pPr>
              <w:spacing w:after="0"/>
              <w:rPr>
                <w:sz w:val="19"/>
                <w:szCs w:val="19"/>
                <w:color w:val="auto"/>
              </w:rPr>
            </w:pPr>
          </w:p>
        </w:tc>
        <w:tc>
          <w:tcPr>
            <w:tcW w:w="70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w w:val="88"/>
              </w:rPr>
              <w:t>3,164</w:t>
            </w:r>
          </w:p>
        </w:tc>
        <w:tc>
          <w:tcPr>
            <w:tcW w:w="340" w:type="dxa"/>
            <w:vAlign w:val="bottom"/>
            <w:tcBorders>
              <w:bottom w:val="single" w:sz="8" w:color="auto"/>
            </w:tcBorders>
            <w:shd w:val="clear" w:color="auto" w:fill="E5E5E5"/>
          </w:tcPr>
          <w:p>
            <w:pPr>
              <w:spacing w:after="0"/>
              <w:rPr>
                <w:sz w:val="19"/>
                <w:szCs w:val="19"/>
                <w:color w:val="auto"/>
              </w:rPr>
            </w:pPr>
          </w:p>
        </w:tc>
        <w:tc>
          <w:tcPr>
            <w:tcW w:w="6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w w:val="93"/>
              </w:rPr>
              <w:t>3,129</w:t>
            </w:r>
          </w:p>
        </w:tc>
        <w:tc>
          <w:tcPr>
            <w:tcW w:w="360" w:type="dxa"/>
            <w:vAlign w:val="bottom"/>
            <w:tcBorders>
              <w:bottom w:val="single" w:sz="8" w:color="auto"/>
            </w:tcBorders>
            <w:shd w:val="clear" w:color="auto" w:fill="E5E5E5"/>
          </w:tcPr>
          <w:p>
            <w:pPr>
              <w:spacing w:after="0"/>
              <w:rPr>
                <w:sz w:val="19"/>
                <w:szCs w:val="19"/>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7"/>
              </w:rPr>
              <w:t>3,180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580" w:type="dxa"/>
            <w:vAlign w:val="bottom"/>
          </w:tcPr>
          <w:p>
            <w:pPr>
              <w:jc w:val="right"/>
              <w:ind w:right="1432"/>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3"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3073400</wp:posOffset>
            </wp:positionH>
            <wp:positionV relativeFrom="page">
              <wp:posOffset>183515</wp:posOffset>
            </wp:positionV>
            <wp:extent cx="1423670" cy="3600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423670" cy="360045"/>
                    </a:xfrm>
                    <a:prstGeom prst="rect">
                      <a:avLst/>
                    </a:prstGeom>
                    <a:noFill/>
                  </pic:spPr>
                </pic:pic>
              </a:graphicData>
            </a:graphic>
          </wp:anchor>
        </w:drawing>
        <w:t>TABLE 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40" w:type="dxa"/>
            <w:vAlign w:val="bottom"/>
            <w:gridSpan w:val="2"/>
          </w:tcPr>
          <w:p>
            <w:pPr>
              <w:ind w:left="54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3"/>
          </w:tcPr>
          <w:p>
            <w:pPr>
              <w:ind w:left="3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53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jc w:val="right"/>
              <w:ind w:right="493"/>
              <w:spacing w:after="0"/>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33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94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3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4020" w:type="dxa"/>
            <w:vAlign w:val="bottom"/>
            <w:gridSpan w:val="2"/>
            <w:shd w:val="clear" w:color="auto" w:fill="E5E5E5"/>
          </w:tcPr>
          <w:p>
            <w:pPr>
              <w:ind w:left="386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963</w:t>
            </w:r>
          </w:p>
        </w:tc>
        <w:tc>
          <w:tcPr>
            <w:tcW w:w="48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3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b w:val="1"/>
                <w:bCs w:val="1"/>
                <w:color w:val="auto"/>
              </w:rPr>
              <w:t>98</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receivable, net</w:t>
            </w:r>
          </w:p>
        </w:tc>
        <w:tc>
          <w:tcPr>
            <w:tcW w:w="33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1,645</w:t>
            </w: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33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961</w:t>
            </w:r>
          </w:p>
        </w:tc>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bottom w:val="single" w:sz="8" w:color="E5E5E5"/>
            </w:tcBorders>
            <w:shd w:val="clear" w:color="auto" w:fill="E5E5E5"/>
          </w:tcPr>
          <w:p>
            <w:pPr>
              <w:ind w:left="860"/>
              <w:spacing w:after="0"/>
              <w:rPr>
                <w:sz w:val="20"/>
                <w:szCs w:val="20"/>
                <w:color w:val="auto"/>
              </w:rPr>
            </w:pPr>
            <w:r>
              <w:rPr>
                <w:rFonts w:ascii="Arial" w:cs="Arial" w:eastAsia="Arial" w:hAnsi="Arial"/>
                <w:sz w:val="18"/>
                <w:szCs w:val="18"/>
                <w:color w:val="auto"/>
              </w:rPr>
              <w:t>Total current assets</w:t>
            </w:r>
          </w:p>
        </w:tc>
        <w:tc>
          <w:tcPr>
            <w:tcW w:w="3320" w:type="dxa"/>
            <w:vAlign w:val="bottom"/>
            <w:tcBorders>
              <w:bottom w:val="single" w:sz="8" w:color="E5E5E5"/>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3,667</w:t>
            </w:r>
          </w:p>
        </w:tc>
        <w:tc>
          <w:tcPr>
            <w:tcW w:w="4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3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b w:val="1"/>
                <w:bCs w:val="1"/>
                <w:color w:val="auto"/>
              </w:rPr>
              <w:t>7,963</w:t>
            </w:r>
          </w:p>
        </w:tc>
        <w:tc>
          <w:tcPr>
            <w:tcW w:w="48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8,847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Property and equipment, net</w:t>
            </w:r>
          </w:p>
        </w:tc>
        <w:tc>
          <w:tcPr>
            <w:tcW w:w="33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23,624</w:t>
            </w: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21,248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Franchise rights</w:t>
            </w:r>
          </w:p>
        </w:tc>
        <w:tc>
          <w:tcPr>
            <w:tcW w:w="3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b w:val="1"/>
                <w:bCs w:val="1"/>
                <w:color w:val="auto"/>
              </w:rPr>
              <w:t>58,077</w:t>
            </w:r>
          </w:p>
        </w:tc>
        <w:tc>
          <w:tcPr>
            <w:tcW w:w="48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55,927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Goodwill</w:t>
            </w:r>
          </w:p>
        </w:tc>
        <w:tc>
          <w:tcPr>
            <w:tcW w:w="33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14,705</w:t>
            </w: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13,768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Other intangible assets, net</w:t>
            </w:r>
          </w:p>
        </w:tc>
        <w:tc>
          <w:tcPr>
            <w:tcW w:w="3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b w:val="1"/>
                <w:bCs w:val="1"/>
                <w:color w:val="auto"/>
              </w:rPr>
              <w:t>4,739</w:t>
            </w:r>
          </w:p>
        </w:tc>
        <w:tc>
          <w:tcPr>
            <w:tcW w:w="48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4,881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Other noncurrent assets, net</w:t>
            </w:r>
          </w:p>
        </w:tc>
        <w:tc>
          <w:tcPr>
            <w:tcW w:w="3320" w:type="dxa"/>
            <w:vAlign w:val="bottom"/>
            <w:tcBorders>
              <w:bottom w:val="single" w:sz="8" w:color="E5E5E5"/>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642</w:t>
            </w:r>
          </w:p>
        </w:tc>
        <w:tc>
          <w:tcPr>
            <w:tcW w:w="4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020" w:type="dxa"/>
            <w:vAlign w:val="bottom"/>
            <w:gridSpan w:val="2"/>
          </w:tcPr>
          <w:p>
            <w:pPr>
              <w:ind w:left="386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233"/>
              <w:spacing w:after="0"/>
              <w:rPr>
                <w:sz w:val="20"/>
                <w:szCs w:val="20"/>
                <w:color w:val="auto"/>
              </w:rPr>
            </w:pPr>
            <w:r>
              <w:rPr>
                <w:rFonts w:ascii="Arial" w:cs="Arial" w:eastAsia="Arial" w:hAnsi="Arial"/>
                <w:sz w:val="18"/>
                <w:szCs w:val="18"/>
                <w:b w:val="1"/>
                <w:bCs w:val="1"/>
                <w:color w:val="auto"/>
                <w:w w:val="92"/>
              </w:rPr>
              <w:t>113,417</w:t>
            </w:r>
          </w:p>
        </w:tc>
        <w:tc>
          <w:tcPr>
            <w:tcW w:w="480" w:type="dxa"/>
            <w:vAlign w:val="bottom"/>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110,405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320" w:type="dxa"/>
            <w:vAlign w:val="bottom"/>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94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Current Liabilities</w:t>
            </w:r>
          </w:p>
        </w:tc>
        <w:tc>
          <w:tcPr>
            <w:tcW w:w="3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2"/>
              </w:rPr>
              <w:t>Accounts payable and accrued expenses related to trade creditors</w:t>
            </w:r>
          </w:p>
        </w:tc>
        <w:tc>
          <w:tcPr>
            <w:tcW w:w="4020" w:type="dxa"/>
            <w:vAlign w:val="bottom"/>
            <w:gridSpan w:val="2"/>
            <w:shd w:val="clear" w:color="auto" w:fill="E5E5E5"/>
          </w:tcPr>
          <w:p>
            <w:pPr>
              <w:ind w:left="386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3,336</w:t>
            </w:r>
          </w:p>
        </w:tc>
        <w:tc>
          <w:tcPr>
            <w:tcW w:w="48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3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b w:val="1"/>
                <w:bCs w:val="1"/>
                <w:color w:val="auto"/>
              </w:rPr>
              <w:t>3,121</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Deferred income taxes</w:t>
            </w:r>
          </w:p>
        </w:tc>
        <w:tc>
          <w:tcPr>
            <w:tcW w:w="33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313"/>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33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1,495</w:t>
            </w:r>
          </w:p>
        </w:tc>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bottom w:val="single" w:sz="8" w:color="E5E5E5"/>
            </w:tcBorders>
            <w:shd w:val="clear" w:color="auto" w:fill="E5E5E5"/>
          </w:tcPr>
          <w:p>
            <w:pPr>
              <w:ind w:left="860"/>
              <w:spacing w:after="0"/>
              <w:rPr>
                <w:sz w:val="20"/>
                <w:szCs w:val="20"/>
                <w:color w:val="auto"/>
              </w:rPr>
            </w:pPr>
            <w:r>
              <w:rPr>
                <w:rFonts w:ascii="Arial" w:cs="Arial" w:eastAsia="Arial" w:hAnsi="Arial"/>
                <w:sz w:val="18"/>
                <w:szCs w:val="18"/>
                <w:color w:val="auto"/>
              </w:rPr>
              <w:t>Total current liabilities</w:t>
            </w:r>
          </w:p>
        </w:tc>
        <w:tc>
          <w:tcPr>
            <w:tcW w:w="3320" w:type="dxa"/>
            <w:vAlign w:val="bottom"/>
            <w:tcBorders>
              <w:bottom w:val="single" w:sz="8" w:color="E5E5E5"/>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7,952</w:t>
            </w:r>
          </w:p>
        </w:tc>
        <w:tc>
          <w:tcPr>
            <w:tcW w:w="4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Long-term debt, less current portion</w:t>
            </w:r>
          </w:p>
        </w:tc>
        <w:tc>
          <w:tcPr>
            <w:tcW w:w="3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b w:val="1"/>
                <w:bCs w:val="1"/>
                <w:color w:val="auto"/>
              </w:rPr>
              <w:t>29,828</w:t>
            </w:r>
          </w:p>
        </w:tc>
        <w:tc>
          <w:tcPr>
            <w:tcW w:w="48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27,992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Deferred income taxes</w:t>
            </w:r>
          </w:p>
        </w:tc>
        <w:tc>
          <w:tcPr>
            <w:tcW w:w="33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26,880</w:t>
            </w: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27,338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Other noncurrent liabilities</w:t>
            </w:r>
          </w:p>
        </w:tc>
        <w:tc>
          <w:tcPr>
            <w:tcW w:w="3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b w:val="1"/>
                <w:bCs w:val="1"/>
                <w:color w:val="auto"/>
              </w:rPr>
              <w:t>7,167</w:t>
            </w:r>
          </w:p>
        </w:tc>
        <w:tc>
          <w:tcPr>
            <w:tcW w:w="48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6,476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Minority interest</w:t>
            </w:r>
          </w:p>
        </w:tc>
        <w:tc>
          <w:tcPr>
            <w:tcW w:w="33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250</w:t>
            </w: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Stockholders’ equity</w:t>
            </w:r>
          </w:p>
        </w:tc>
        <w:tc>
          <w:tcPr>
            <w:tcW w:w="33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41,340</w:t>
            </w:r>
          </w:p>
        </w:tc>
        <w:tc>
          <w:tcPr>
            <w:tcW w:w="4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E5E5E5"/>
          </w:tcPr>
          <w:p>
            <w:pPr>
              <w:spacing w:after="0"/>
              <w:rPr>
                <w:sz w:val="18"/>
                <w:szCs w:val="18"/>
                <w:color w:val="auto"/>
              </w:rPr>
            </w:pPr>
          </w:p>
        </w:tc>
        <w:tc>
          <w:tcPr>
            <w:tcW w:w="4020" w:type="dxa"/>
            <w:vAlign w:val="bottom"/>
            <w:gridSpan w:val="2"/>
            <w:shd w:val="clear" w:color="auto" w:fill="E5E5E5"/>
          </w:tcPr>
          <w:p>
            <w:pPr>
              <w:ind w:left="386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b w:val="1"/>
                <w:bCs w:val="1"/>
                <w:color w:val="auto"/>
                <w:w w:val="92"/>
              </w:rPr>
              <w:t>113,417</w:t>
            </w:r>
          </w:p>
        </w:tc>
        <w:tc>
          <w:tcPr>
            <w:tcW w:w="48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5"/>
              </w:rPr>
              <w:t>110,405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320" w:type="dxa"/>
            <w:vAlign w:val="bottom"/>
            <w:tcBorders>
              <w:top w:val="single" w:sz="8" w:color="E5E5E5"/>
            </w:tcBorders>
          </w:tcPr>
          <w:p>
            <w:pPr>
              <w:spacing w:after="0"/>
              <w:rPr>
                <w:sz w:val="24"/>
                <w:szCs w:val="24"/>
                <w:color w:val="auto"/>
              </w:rPr>
            </w:pPr>
          </w:p>
        </w:tc>
        <w:tc>
          <w:tcPr>
            <w:tcW w:w="3320" w:type="dxa"/>
            <w:vAlign w:val="bottom"/>
            <w:tcBorders>
              <w:top w:val="single" w:sz="8" w:color="E5E5E5"/>
            </w:tcBorders>
          </w:tcPr>
          <w:p>
            <w:pPr>
              <w:jc w:val="right"/>
              <w:ind w:right="2812"/>
              <w:spacing w:after="0"/>
              <w:rPr>
                <w:sz w:val="20"/>
                <w:szCs w:val="20"/>
                <w:color w:val="auto"/>
              </w:rPr>
            </w:pPr>
            <w:r>
              <w:rPr>
                <w:rFonts w:ascii="Arial" w:cs="Arial" w:eastAsia="Arial" w:hAnsi="Arial"/>
                <w:sz w:val="18"/>
                <w:szCs w:val="18"/>
                <w:color w:val="auto"/>
              </w:rPr>
              <w:t>8</w:t>
            </w:r>
          </w:p>
        </w:tc>
        <w:tc>
          <w:tcPr>
            <w:tcW w:w="7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3"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3073400</wp:posOffset>
            </wp:positionH>
            <wp:positionV relativeFrom="page">
              <wp:posOffset>183515</wp:posOffset>
            </wp:positionV>
            <wp:extent cx="1423670" cy="3600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423670" cy="360045"/>
                    </a:xfrm>
                    <a:prstGeom prst="rect">
                      <a:avLst/>
                    </a:prstGeom>
                    <a:noFill/>
                  </pic:spPr>
                </pic:pic>
              </a:graphicData>
            </a:graphic>
          </wp:anchor>
        </w:drawing>
        <w:t>TABLE 3</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Cash Flows</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0" w:type="dxa"/>
            <w:vAlign w:val="bottom"/>
            <w:gridSpan w:val="2"/>
          </w:tcPr>
          <w:p>
            <w:pPr>
              <w:jc w:val="right"/>
              <w:ind w:right="153"/>
              <w:spacing w:after="0"/>
              <w:rPr>
                <w:sz w:val="20"/>
                <w:szCs w:val="20"/>
                <w:color w:val="auto"/>
              </w:rPr>
            </w:pPr>
            <w:r>
              <w:rPr>
                <w:rFonts w:ascii="Arial" w:cs="Arial" w:eastAsia="Arial" w:hAnsi="Arial"/>
                <w:sz w:val="14"/>
                <w:szCs w:val="14"/>
                <w:b w:val="1"/>
                <w:bCs w:val="1"/>
                <w:color w:val="auto"/>
                <w:w w:val="91"/>
              </w:rPr>
              <w:t>Twelve Months Ended</w:t>
            </w:r>
          </w:p>
        </w:tc>
        <w:tc>
          <w:tcPr>
            <w:tcW w:w="0" w:type="dxa"/>
            <w:vAlign w:val="bottom"/>
          </w:tcPr>
          <w:p>
            <w:pPr>
              <w:spacing w:after="0"/>
              <w:rPr>
                <w:sz w:val="1"/>
                <w:szCs w:val="1"/>
                <w:color w:val="auto"/>
              </w:rPr>
            </w:pPr>
          </w:p>
        </w:tc>
      </w:tr>
      <w:tr>
        <w:trPr>
          <w:trHeight w:val="161"/>
        </w:trPr>
        <w:tc>
          <w:tcPr>
            <w:tcW w:w="92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right"/>
              <w:ind w:right="39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2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jc w:val="right"/>
              <w:ind w:right="355"/>
              <w:spacing w:after="0" w:line="142" w:lineRule="exact"/>
              <w:rPr>
                <w:sz w:val="20"/>
                <w:szCs w:val="20"/>
                <w:color w:val="auto"/>
              </w:rPr>
            </w:pPr>
            <w:r>
              <w:rPr>
                <w:rFonts w:ascii="Arial" w:cs="Arial" w:eastAsia="Arial" w:hAnsi="Arial"/>
                <w:sz w:val="14"/>
                <w:szCs w:val="14"/>
                <w:b w:val="1"/>
                <w:bCs w:val="1"/>
                <w:color w:val="auto"/>
                <w:w w:val="96"/>
              </w:rPr>
              <w:t>2007</w:t>
            </w:r>
          </w:p>
        </w:tc>
        <w:tc>
          <w:tcPr>
            <w:tcW w:w="84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ACTIVITIES</w:t>
            </w:r>
          </w:p>
        </w:tc>
        <w:tc>
          <w:tcPr>
            <w:tcW w:w="54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w w:val="97"/>
              </w:rPr>
              <w:t>8,792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$ 6,618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54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Proceeds from borrowings</w:t>
            </w:r>
          </w:p>
        </w:tc>
        <w:tc>
          <w:tcPr>
            <w:tcW w:w="540" w:type="dxa"/>
            <w:vAlign w:val="bottom"/>
          </w:tcPr>
          <w:p>
            <w:pPr>
              <w:spacing w:after="0"/>
              <w:rPr>
                <w:sz w:val="18"/>
                <w:szCs w:val="18"/>
                <w:color w:val="auto"/>
              </w:rPr>
            </w:pPr>
          </w:p>
        </w:tc>
        <w:tc>
          <w:tcPr>
            <w:tcW w:w="760" w:type="dxa"/>
            <w:vAlign w:val="bottom"/>
          </w:tcPr>
          <w:p>
            <w:pPr>
              <w:jc w:val="right"/>
              <w:ind w:right="215"/>
              <w:spacing w:after="0"/>
              <w:rPr>
                <w:sz w:val="20"/>
                <w:szCs w:val="20"/>
                <w:color w:val="auto"/>
              </w:rPr>
            </w:pPr>
            <w:r>
              <w:rPr>
                <w:rFonts w:ascii="Arial" w:cs="Arial" w:eastAsia="Arial" w:hAnsi="Arial"/>
                <w:sz w:val="18"/>
                <w:szCs w:val="18"/>
                <w:b w:val="1"/>
                <w:bCs w:val="1"/>
                <w:color w:val="auto"/>
                <w:w w:val="97"/>
              </w:rPr>
              <w:t>3,713</w:t>
            </w:r>
          </w:p>
        </w:tc>
        <w:tc>
          <w:tcPr>
            <w:tcW w:w="840" w:type="dxa"/>
            <w:vAlign w:val="bottom"/>
          </w:tcPr>
          <w:p>
            <w:pPr>
              <w:jc w:val="right"/>
              <w:spacing w:after="0"/>
              <w:rPr>
                <w:sz w:val="20"/>
                <w:szCs w:val="20"/>
                <w:color w:val="auto"/>
              </w:rPr>
            </w:pPr>
            <w:r>
              <w:rPr>
                <w:rFonts w:ascii="Arial" w:cs="Arial" w:eastAsia="Arial" w:hAnsi="Arial"/>
                <w:sz w:val="18"/>
                <w:szCs w:val="18"/>
                <w:color w:val="auto"/>
              </w:rPr>
              <w:t>7,497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Retirements and repayments of debt</w:t>
            </w:r>
          </w:p>
        </w:tc>
        <w:tc>
          <w:tcPr>
            <w:tcW w:w="5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5"/>
              <w:spacing w:after="0"/>
              <w:rPr>
                <w:sz w:val="20"/>
                <w:szCs w:val="20"/>
                <w:color w:val="auto"/>
              </w:rPr>
            </w:pPr>
            <w:r>
              <w:rPr>
                <w:rFonts w:ascii="Arial" w:cs="Arial" w:eastAsia="Arial" w:hAnsi="Arial"/>
                <w:sz w:val="18"/>
                <w:szCs w:val="18"/>
                <w:b w:val="1"/>
                <w:bCs w:val="1"/>
                <w:color w:val="auto"/>
                <w:w w:val="87"/>
              </w:rPr>
              <w:t>(1,401)</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Repurchases of common stock</w:t>
            </w:r>
          </w:p>
        </w:tc>
        <w:tc>
          <w:tcPr>
            <w:tcW w:w="540" w:type="dxa"/>
            <w:vAlign w:val="bottom"/>
          </w:tcPr>
          <w:p>
            <w:pPr>
              <w:spacing w:after="0"/>
              <w:rPr>
                <w:sz w:val="18"/>
                <w:szCs w:val="18"/>
                <w:color w:val="auto"/>
              </w:rPr>
            </w:pPr>
          </w:p>
        </w:tc>
        <w:tc>
          <w:tcPr>
            <w:tcW w:w="760" w:type="dxa"/>
            <w:vAlign w:val="bottom"/>
          </w:tcPr>
          <w:p>
            <w:pPr>
              <w:jc w:val="right"/>
              <w:ind w:right="155"/>
              <w:spacing w:after="0"/>
              <w:rPr>
                <w:sz w:val="20"/>
                <w:szCs w:val="20"/>
                <w:color w:val="auto"/>
              </w:rPr>
            </w:pPr>
            <w:r>
              <w:rPr>
                <w:rFonts w:ascii="Arial" w:cs="Arial" w:eastAsia="Arial" w:hAnsi="Arial"/>
                <w:sz w:val="18"/>
                <w:szCs w:val="18"/>
                <w:b w:val="1"/>
                <w:bCs w:val="1"/>
                <w:color w:val="auto"/>
                <w:w w:val="87"/>
              </w:rPr>
              <w:t>(3,102)</w:t>
            </w:r>
          </w:p>
        </w:tc>
        <w:tc>
          <w:tcPr>
            <w:tcW w:w="840" w:type="dxa"/>
            <w:vAlign w:val="bottom"/>
          </w:tcPr>
          <w:p>
            <w:pPr>
              <w:jc w:val="right"/>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Issuances of common stock</w:t>
            </w:r>
          </w:p>
        </w:tc>
        <w:tc>
          <w:tcPr>
            <w:tcW w:w="5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15"/>
              <w:spacing w:after="0"/>
              <w:rPr>
                <w:sz w:val="20"/>
                <w:szCs w:val="20"/>
                <w:color w:val="auto"/>
              </w:rPr>
            </w:pPr>
            <w:r>
              <w:rPr>
                <w:rFonts w:ascii="Arial" w:cs="Arial" w:eastAsia="Arial" w:hAnsi="Arial"/>
                <w:sz w:val="18"/>
                <w:szCs w:val="18"/>
                <w:b w:val="1"/>
                <w:bCs w:val="1"/>
                <w:color w:val="auto"/>
              </w:rPr>
              <w:t>412</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62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Net cash provided by (used in) financing activities</w:t>
            </w:r>
          </w:p>
        </w:tc>
        <w:tc>
          <w:tcPr>
            <w:tcW w:w="5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b w:val="1"/>
                <w:bCs w:val="1"/>
                <w:color w:val="auto"/>
              </w:rPr>
              <w:t>(316)</w:t>
            </w: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317"/>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Capital expenditures</w:t>
            </w:r>
          </w:p>
        </w:tc>
        <w:tc>
          <w:tcPr>
            <w:tcW w:w="5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5"/>
              <w:spacing w:after="0"/>
              <w:rPr>
                <w:sz w:val="20"/>
                <w:szCs w:val="20"/>
                <w:color w:val="auto"/>
              </w:rPr>
            </w:pPr>
            <w:r>
              <w:rPr>
                <w:rFonts w:ascii="Arial" w:cs="Arial" w:eastAsia="Arial" w:hAnsi="Arial"/>
                <w:sz w:val="18"/>
                <w:szCs w:val="18"/>
                <w:b w:val="1"/>
                <w:bCs w:val="1"/>
                <w:color w:val="auto"/>
                <w:w w:val="87"/>
              </w:rPr>
              <w:t>(6,158)</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Cash paid for software and other intangible assets</w:t>
            </w:r>
          </w:p>
        </w:tc>
        <w:tc>
          <w:tcPr>
            <w:tcW w:w="540" w:type="dxa"/>
            <w:vAlign w:val="bottom"/>
          </w:tcPr>
          <w:p>
            <w:pPr>
              <w:spacing w:after="0"/>
              <w:rPr>
                <w:sz w:val="18"/>
                <w:szCs w:val="18"/>
                <w:color w:val="auto"/>
              </w:rPr>
            </w:pPr>
          </w:p>
        </w:tc>
        <w:tc>
          <w:tcPr>
            <w:tcW w:w="760" w:type="dxa"/>
            <w:vAlign w:val="bottom"/>
          </w:tcPr>
          <w:p>
            <w:pPr>
              <w:jc w:val="right"/>
              <w:ind w:right="155"/>
              <w:spacing w:after="0"/>
              <w:rPr>
                <w:sz w:val="20"/>
                <w:szCs w:val="20"/>
                <w:color w:val="auto"/>
              </w:rPr>
            </w:pPr>
            <w:r>
              <w:rPr>
                <w:rFonts w:ascii="Arial" w:cs="Arial" w:eastAsia="Arial" w:hAnsi="Arial"/>
                <w:sz w:val="18"/>
                <w:szCs w:val="18"/>
                <w:b w:val="1"/>
                <w:bCs w:val="1"/>
                <w:color w:val="auto"/>
              </w:rPr>
              <w:t>(406)</w:t>
            </w:r>
          </w:p>
        </w:tc>
        <w:tc>
          <w:tcPr>
            <w:tcW w:w="840" w:type="dxa"/>
            <w:vAlign w:val="bottom"/>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Acquisitions, net of cash acquired</w:t>
            </w:r>
          </w:p>
        </w:tc>
        <w:tc>
          <w:tcPr>
            <w:tcW w:w="5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5"/>
              <w:spacing w:after="0"/>
              <w:rPr>
                <w:sz w:val="20"/>
                <w:szCs w:val="20"/>
                <w:color w:val="auto"/>
              </w:rPr>
            </w:pPr>
            <w:r>
              <w:rPr>
                <w:rFonts w:ascii="Arial" w:cs="Arial" w:eastAsia="Arial" w:hAnsi="Arial"/>
                <w:sz w:val="18"/>
                <w:szCs w:val="18"/>
                <w:b w:val="1"/>
                <w:bCs w:val="1"/>
                <w:color w:val="auto"/>
                <w:w w:val="87"/>
              </w:rPr>
              <w:t>(1,319)</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Proceeds from sales of investments</w:t>
            </w:r>
          </w:p>
        </w:tc>
        <w:tc>
          <w:tcPr>
            <w:tcW w:w="540" w:type="dxa"/>
            <w:vAlign w:val="bottom"/>
          </w:tcPr>
          <w:p>
            <w:pPr>
              <w:spacing w:after="0"/>
              <w:rPr>
                <w:sz w:val="18"/>
                <w:szCs w:val="18"/>
                <w:color w:val="auto"/>
              </w:rPr>
            </w:pPr>
          </w:p>
        </w:tc>
        <w:tc>
          <w:tcPr>
            <w:tcW w:w="760" w:type="dxa"/>
            <w:vAlign w:val="bottom"/>
          </w:tcPr>
          <w:p>
            <w:pPr>
              <w:jc w:val="right"/>
              <w:ind w:right="215"/>
              <w:spacing w:after="0"/>
              <w:rPr>
                <w:sz w:val="20"/>
                <w:szCs w:val="20"/>
                <w:color w:val="auto"/>
              </w:rPr>
            </w:pPr>
            <w:r>
              <w:rPr>
                <w:rFonts w:ascii="Arial" w:cs="Arial" w:eastAsia="Arial" w:hAnsi="Arial"/>
                <w:sz w:val="18"/>
                <w:szCs w:val="18"/>
                <w:b w:val="1"/>
                <w:bCs w:val="1"/>
                <w:color w:val="auto"/>
                <w:w w:val="97"/>
              </w:rPr>
              <w:t>1,158</w:t>
            </w:r>
          </w:p>
        </w:tc>
        <w:tc>
          <w:tcPr>
            <w:tcW w:w="840" w:type="dxa"/>
            <w:vAlign w:val="bottom"/>
          </w:tcPr>
          <w:p>
            <w:pPr>
              <w:jc w:val="right"/>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Purchases of investments</w:t>
            </w:r>
          </w:p>
        </w:tc>
        <w:tc>
          <w:tcPr>
            <w:tcW w:w="5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5"/>
              <w:spacing w:after="0"/>
              <w:rPr>
                <w:sz w:val="20"/>
                <w:szCs w:val="20"/>
                <w:color w:val="auto"/>
              </w:rPr>
            </w:pPr>
            <w:r>
              <w:rPr>
                <w:rFonts w:ascii="Arial" w:cs="Arial" w:eastAsia="Arial" w:hAnsi="Arial"/>
                <w:sz w:val="18"/>
                <w:szCs w:val="18"/>
                <w:b w:val="1"/>
                <w:bCs w:val="1"/>
                <w:color w:val="auto"/>
                <w:w w:val="87"/>
              </w:rPr>
              <w:t>(2,089)</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62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Net cash provided by (used in) investing activities</w:t>
            </w:r>
          </w:p>
        </w:tc>
        <w:tc>
          <w:tcPr>
            <w:tcW w:w="5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b w:val="1"/>
                <w:bCs w:val="1"/>
                <w:color w:val="auto"/>
                <w:w w:val="87"/>
              </w:rPr>
              <w:t>(8,752)</w:t>
            </w: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(9,872)</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9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5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5"/>
              <w:spacing w:after="0"/>
              <w:rPr>
                <w:sz w:val="20"/>
                <w:szCs w:val="20"/>
                <w:color w:val="auto"/>
              </w:rPr>
            </w:pPr>
            <w:r>
              <w:rPr>
                <w:rFonts w:ascii="Arial" w:cs="Arial" w:eastAsia="Arial" w:hAnsi="Arial"/>
                <w:sz w:val="18"/>
                <w:szCs w:val="18"/>
                <w:b w:val="1"/>
                <w:bCs w:val="1"/>
                <w:color w:val="auto"/>
              </w:rPr>
              <w:t>(276)</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323"/>
        </w:trPr>
        <w:tc>
          <w:tcPr>
            <w:tcW w:w="928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5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w w:val="97"/>
              </w:rPr>
              <w:t>1,239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92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b w:val="1"/>
                <w:bCs w:val="1"/>
                <w:color w:val="auto"/>
              </w:rPr>
              <w:t>963</w:t>
            </w: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$ 1,239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Calculation of Free Cash Flow and Unlevered Free Cash Flow</w:t>
      </w:r>
    </w:p>
    <w:p>
      <w:pPr>
        <w:jc w:val="center"/>
        <w:spacing w:after="0"/>
        <w:rPr>
          <w:sz w:val="20"/>
          <w:szCs w:val="20"/>
          <w:color w:val="auto"/>
        </w:rPr>
      </w:pPr>
      <w:r>
        <w:rPr>
          <w:rFonts w:ascii="Arial" w:cs="Arial" w:eastAsia="Arial" w:hAnsi="Arial"/>
          <w:sz w:val="22"/>
          <w:szCs w:val="22"/>
          <w:b w:val="1"/>
          <w:bCs w:val="1"/>
          <w:color w:val="auto"/>
        </w:rPr>
        <w:t>(Unaudited) (1)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300" w:type="dxa"/>
            <w:vAlign w:val="bottom"/>
            <w:gridSpan w:val="3"/>
          </w:tcPr>
          <w:p>
            <w:pPr>
              <w:jc w:val="right"/>
              <w:ind w:right="374"/>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620" w:type="dxa"/>
            <w:vAlign w:val="bottom"/>
            <w:gridSpan w:val="3"/>
          </w:tcPr>
          <w:p>
            <w:pPr>
              <w:jc w:val="right"/>
              <w:ind w:right="154"/>
              <w:spacing w:after="0"/>
              <w:rPr>
                <w:sz w:val="20"/>
                <w:szCs w:val="20"/>
                <w:color w:val="auto"/>
              </w:rPr>
            </w:pPr>
            <w:r>
              <w:rPr>
                <w:rFonts w:ascii="Arial" w:cs="Arial" w:eastAsia="Arial" w:hAnsi="Arial"/>
                <w:sz w:val="14"/>
                <w:szCs w:val="14"/>
                <w:b w:val="1"/>
                <w:bCs w:val="1"/>
                <w:color w:val="auto"/>
                <w:w w:val="92"/>
              </w:rPr>
              <w:t>Twelve Months Ended</w:t>
            </w:r>
          </w:p>
        </w:tc>
        <w:tc>
          <w:tcPr>
            <w:tcW w:w="0" w:type="dxa"/>
            <w:vAlign w:val="bottom"/>
          </w:tcPr>
          <w:p>
            <w:pPr>
              <w:spacing w:after="0"/>
              <w:rPr>
                <w:sz w:val="1"/>
                <w:szCs w:val="1"/>
                <w:color w:val="auto"/>
              </w:rPr>
            </w:pPr>
          </w:p>
        </w:tc>
      </w:tr>
      <w:tr>
        <w:trPr>
          <w:trHeight w:val="161"/>
        </w:trPr>
        <w:tc>
          <w:tcPr>
            <w:tcW w:w="72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300" w:type="dxa"/>
            <w:vAlign w:val="bottom"/>
            <w:tcBorders>
              <w:bottom w:val="single" w:sz="8" w:color="auto"/>
            </w:tcBorders>
            <w:gridSpan w:val="3"/>
          </w:tcPr>
          <w:p>
            <w:pPr>
              <w:jc w:val="right"/>
              <w:ind w:right="594"/>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200" w:type="dxa"/>
            <w:vAlign w:val="bottom"/>
            <w:gridSpan w:val="2"/>
            <w:vMerge w:val="continue"/>
          </w:tcPr>
          <w:p>
            <w:pPr>
              <w:spacing w:after="0"/>
              <w:rPr>
                <w:sz w:val="12"/>
                <w:szCs w:val="12"/>
                <w:color w:val="auto"/>
              </w:rPr>
            </w:pPr>
          </w:p>
        </w:tc>
        <w:tc>
          <w:tcPr>
            <w:tcW w:w="1260" w:type="dxa"/>
            <w:vAlign w:val="bottom"/>
          </w:tcPr>
          <w:p>
            <w:pPr>
              <w:jc w:val="right"/>
              <w:ind w:right="336"/>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74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w w:val="96"/>
              </w:rPr>
              <w:t>2006</w:t>
            </w:r>
          </w:p>
        </w:tc>
        <w:tc>
          <w:tcPr>
            <w:tcW w:w="300" w:type="dxa"/>
            <w:vAlign w:val="bottom"/>
          </w:tcPr>
          <w:p>
            <w:pPr>
              <w:spacing w:after="0"/>
              <w:rPr>
                <w:sz w:val="12"/>
                <w:szCs w:val="12"/>
                <w:color w:val="auto"/>
              </w:rPr>
            </w:pPr>
          </w:p>
        </w:tc>
        <w:tc>
          <w:tcPr>
            <w:tcW w:w="740" w:type="dxa"/>
            <w:vAlign w:val="bottom"/>
          </w:tcPr>
          <w:p>
            <w:pPr>
              <w:jc w:val="right"/>
              <w:ind w:right="336"/>
              <w:spacing w:after="0" w:line="142" w:lineRule="exact"/>
              <w:rPr>
                <w:sz w:val="20"/>
                <w:szCs w:val="20"/>
                <w:color w:val="auto"/>
              </w:rPr>
            </w:pPr>
            <w:r>
              <w:rPr>
                <w:rFonts w:ascii="Arial" w:cs="Arial" w:eastAsia="Arial" w:hAnsi="Arial"/>
                <w:sz w:val="14"/>
                <w:szCs w:val="14"/>
                <w:b w:val="1"/>
                <w:bCs w:val="1"/>
                <w:color w:val="auto"/>
                <w:w w:val="96"/>
              </w:rPr>
              <w:t>2007</w:t>
            </w:r>
          </w:p>
        </w:tc>
        <w:tc>
          <w:tcPr>
            <w:tcW w:w="340" w:type="dxa"/>
            <w:vAlign w:val="bottom"/>
          </w:tcPr>
          <w:p>
            <w:pPr>
              <w:spacing w:after="0"/>
              <w:rPr>
                <w:sz w:val="12"/>
                <w:szCs w:val="12"/>
                <w:color w:val="auto"/>
              </w:rPr>
            </w:pPr>
          </w:p>
        </w:tc>
        <w:tc>
          <w:tcPr>
            <w:tcW w:w="54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Provided by Operating Activities</w:t>
            </w:r>
          </w:p>
        </w:tc>
        <w:tc>
          <w:tcPr>
            <w:tcW w:w="1260" w:type="dxa"/>
            <w:vAlign w:val="bottom"/>
            <w:tcBorders>
              <w:top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b w:val="1"/>
                <w:bCs w:val="1"/>
                <w:color w:val="auto"/>
              </w:rPr>
              <w:t>$ 2,684</w:t>
            </w:r>
          </w:p>
        </w:tc>
        <w:tc>
          <w:tcPr>
            <w:tcW w:w="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w w:val="97"/>
              </w:rPr>
              <w:t>1,403</w:t>
            </w:r>
          </w:p>
        </w:tc>
        <w:tc>
          <w:tcPr>
            <w:tcW w:w="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b w:val="1"/>
                <w:bCs w:val="1"/>
                <w:color w:val="auto"/>
              </w:rPr>
              <w:t>8,792</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Capital Expenditures</w:t>
            </w:r>
          </w:p>
        </w:tc>
        <w:tc>
          <w:tcPr>
            <w:tcW w:w="1260" w:type="dxa"/>
            <w:vAlign w:val="bottom"/>
          </w:tcPr>
          <w:p>
            <w:pPr>
              <w:jc w:val="right"/>
              <w:ind w:right="136"/>
              <w:spacing w:after="0"/>
              <w:rPr>
                <w:sz w:val="20"/>
                <w:szCs w:val="20"/>
                <w:color w:val="auto"/>
              </w:rPr>
            </w:pPr>
            <w:r>
              <w:rPr>
                <w:rFonts w:ascii="Arial" w:cs="Arial" w:eastAsia="Arial" w:hAnsi="Arial"/>
                <w:sz w:val="18"/>
                <w:szCs w:val="18"/>
                <w:b w:val="1"/>
                <w:bCs w:val="1"/>
                <w:color w:val="auto"/>
              </w:rPr>
              <w:t>(1,574)</w:t>
            </w:r>
          </w:p>
        </w:tc>
        <w:tc>
          <w:tcPr>
            <w:tcW w:w="300" w:type="dxa"/>
            <w:vAlign w:val="bottom"/>
          </w:tcPr>
          <w:p>
            <w:pPr>
              <w:spacing w:after="0"/>
              <w:rPr>
                <w:sz w:val="18"/>
                <w:szCs w:val="18"/>
                <w:color w:val="auto"/>
              </w:rPr>
            </w:pPr>
          </w:p>
        </w:tc>
        <w:tc>
          <w:tcPr>
            <w:tcW w:w="740" w:type="dxa"/>
            <w:vAlign w:val="bottom"/>
          </w:tcPr>
          <w:p>
            <w:pPr>
              <w:jc w:val="right"/>
              <w:ind w:right="134"/>
              <w:spacing w:after="0"/>
              <w:rPr>
                <w:sz w:val="20"/>
                <w:szCs w:val="20"/>
                <w:color w:val="auto"/>
              </w:rPr>
            </w:pPr>
            <w:r>
              <w:rPr>
                <w:rFonts w:ascii="Arial" w:cs="Arial" w:eastAsia="Arial" w:hAnsi="Arial"/>
                <w:sz w:val="18"/>
                <w:szCs w:val="18"/>
                <w:color w:val="auto"/>
                <w:w w:val="87"/>
              </w:rPr>
              <w:t>(1,344)</w:t>
            </w:r>
          </w:p>
        </w:tc>
        <w:tc>
          <w:tcPr>
            <w:tcW w:w="300" w:type="dxa"/>
            <w:vAlign w:val="bottom"/>
          </w:tcPr>
          <w:p>
            <w:pPr>
              <w:spacing w:after="0"/>
              <w:rPr>
                <w:sz w:val="18"/>
                <w:szCs w:val="18"/>
                <w:color w:val="auto"/>
              </w:rPr>
            </w:pPr>
          </w:p>
        </w:tc>
        <w:tc>
          <w:tcPr>
            <w:tcW w:w="740" w:type="dxa"/>
            <w:vAlign w:val="bottom"/>
          </w:tcPr>
          <w:p>
            <w:pPr>
              <w:jc w:val="right"/>
              <w:ind w:right="116"/>
              <w:spacing w:after="0"/>
              <w:rPr>
                <w:sz w:val="20"/>
                <w:szCs w:val="20"/>
                <w:color w:val="auto"/>
              </w:rPr>
            </w:pPr>
            <w:r>
              <w:rPr>
                <w:rFonts w:ascii="Arial" w:cs="Arial" w:eastAsia="Arial" w:hAnsi="Arial"/>
                <w:sz w:val="18"/>
                <w:szCs w:val="18"/>
                <w:b w:val="1"/>
                <w:bCs w:val="1"/>
                <w:color w:val="auto"/>
                <w:w w:val="91"/>
              </w:rPr>
              <w:t>(6,158)</w:t>
            </w: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(4,395)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E5E5E5"/>
          </w:tcPr>
          <w:p>
            <w:pPr>
              <w:spacing w:after="0"/>
              <w:rPr>
                <w:sz w:val="20"/>
                <w:szCs w:val="20"/>
                <w:color w:val="auto"/>
              </w:rPr>
            </w:pPr>
            <w:r>
              <w:rPr>
                <w:rFonts w:ascii="Arial" w:cs="Arial" w:eastAsia="Arial" w:hAnsi="Arial"/>
                <w:sz w:val="18"/>
                <w:szCs w:val="18"/>
                <w:color w:val="auto"/>
              </w:rPr>
              <w:t>Cash Paid for Capitalized Software</w:t>
            </w:r>
          </w:p>
        </w:tc>
        <w:tc>
          <w:tcPr>
            <w:tcW w:w="1260" w:type="dxa"/>
            <w:vAlign w:val="bottom"/>
            <w:shd w:val="clear" w:color="auto" w:fill="E5E5E5"/>
          </w:tcPr>
          <w:p>
            <w:pPr>
              <w:jc w:val="right"/>
              <w:ind w:right="136"/>
              <w:spacing w:after="0"/>
              <w:rPr>
                <w:sz w:val="20"/>
                <w:szCs w:val="20"/>
                <w:color w:val="auto"/>
              </w:rPr>
            </w:pPr>
            <w:r>
              <w:rPr>
                <w:rFonts w:ascii="Arial" w:cs="Arial" w:eastAsia="Arial" w:hAnsi="Arial"/>
                <w:sz w:val="18"/>
                <w:szCs w:val="18"/>
                <w:b w:val="1"/>
                <w:bCs w:val="1"/>
                <w:color w:val="auto"/>
              </w:rPr>
              <w:t>(74)</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(54)</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6"/>
              <w:spacing w:after="0"/>
              <w:rPr>
                <w:sz w:val="20"/>
                <w:szCs w:val="20"/>
                <w:color w:val="auto"/>
              </w:rPr>
            </w:pPr>
            <w:r>
              <w:rPr>
                <w:rFonts w:ascii="Arial" w:cs="Arial" w:eastAsia="Arial" w:hAnsi="Arial"/>
                <w:sz w:val="18"/>
                <w:szCs w:val="18"/>
                <w:b w:val="1"/>
                <w:bCs w:val="1"/>
                <w:color w:val="auto"/>
              </w:rPr>
              <w:t>(302)</w:t>
            </w:r>
          </w:p>
        </w:tc>
        <w:tc>
          <w:tcPr>
            <w:tcW w:w="34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Paid for Other Intangible Assets</w:t>
            </w:r>
          </w:p>
        </w:tc>
        <w:tc>
          <w:tcPr>
            <w:tcW w:w="1260" w:type="dxa"/>
            <w:vAlign w:val="bottom"/>
          </w:tcPr>
          <w:p>
            <w:pPr>
              <w:jc w:val="right"/>
              <w:ind w:right="136"/>
              <w:spacing w:after="0"/>
              <w:rPr>
                <w:sz w:val="20"/>
                <w:szCs w:val="20"/>
                <w:color w:val="auto"/>
              </w:rPr>
            </w:pPr>
            <w:r>
              <w:rPr>
                <w:rFonts w:ascii="Arial" w:cs="Arial" w:eastAsia="Arial" w:hAnsi="Arial"/>
                <w:sz w:val="18"/>
                <w:szCs w:val="18"/>
                <w:b w:val="1"/>
                <w:bCs w:val="1"/>
                <w:color w:val="auto"/>
              </w:rPr>
              <w:t>(19)</w:t>
            </w:r>
          </w:p>
        </w:tc>
        <w:tc>
          <w:tcPr>
            <w:tcW w:w="300" w:type="dxa"/>
            <w:vAlign w:val="bottom"/>
          </w:tcPr>
          <w:p>
            <w:pPr>
              <w:spacing w:after="0"/>
              <w:rPr>
                <w:sz w:val="18"/>
                <w:szCs w:val="18"/>
                <w:color w:val="auto"/>
              </w:rPr>
            </w:pPr>
          </w:p>
        </w:tc>
        <w:tc>
          <w:tcPr>
            <w:tcW w:w="740" w:type="dxa"/>
            <w:vAlign w:val="bottom"/>
          </w:tcPr>
          <w:p>
            <w:pPr>
              <w:jc w:val="right"/>
              <w:ind w:right="134"/>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740" w:type="dxa"/>
            <w:vAlign w:val="bottom"/>
          </w:tcPr>
          <w:p>
            <w:pPr>
              <w:jc w:val="right"/>
              <w:ind w:right="116"/>
              <w:spacing w:after="0"/>
              <w:rPr>
                <w:sz w:val="20"/>
                <w:szCs w:val="20"/>
                <w:color w:val="auto"/>
              </w:rPr>
            </w:pPr>
            <w:r>
              <w:rPr>
                <w:rFonts w:ascii="Arial" w:cs="Arial" w:eastAsia="Arial" w:hAnsi="Arial"/>
                <w:sz w:val="18"/>
                <w:szCs w:val="18"/>
                <w:b w:val="1"/>
                <w:bCs w:val="1"/>
                <w:color w:val="auto"/>
              </w:rPr>
              <w:t>(104)</w:t>
            </w: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E5E5E5"/>
          </w:tcPr>
          <w:p>
            <w:pPr>
              <w:spacing w:after="0"/>
              <w:rPr>
                <w:sz w:val="20"/>
                <w:szCs w:val="20"/>
                <w:color w:val="auto"/>
              </w:rPr>
            </w:pPr>
            <w:r>
              <w:rPr>
                <w:rFonts w:ascii="Arial" w:cs="Arial" w:eastAsia="Arial" w:hAnsi="Arial"/>
                <w:sz w:val="18"/>
                <w:szCs w:val="18"/>
                <w:color w:val="auto"/>
              </w:rPr>
              <w:t>Nonoperating and Nonrecurring items, net of tax:</w:t>
            </w:r>
          </w:p>
        </w:tc>
        <w:tc>
          <w:tcPr>
            <w:tcW w:w="12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Payment of Tax on Nonoperating Items</w:t>
            </w:r>
          </w:p>
        </w:tc>
        <w:tc>
          <w:tcPr>
            <w:tcW w:w="1260" w:type="dxa"/>
            <w:vAlign w:val="bottom"/>
          </w:tcPr>
          <w:p>
            <w:pPr>
              <w:jc w:val="right"/>
              <w:ind w:right="196"/>
              <w:spacing w:after="0"/>
              <w:rPr>
                <w:sz w:val="20"/>
                <w:szCs w:val="20"/>
                <w:color w:val="auto"/>
              </w:rPr>
            </w:pPr>
            <w:r>
              <w:rPr>
                <w:rFonts w:ascii="Arial" w:cs="Arial" w:eastAsia="Arial" w:hAnsi="Arial"/>
                <w:sz w:val="18"/>
                <w:szCs w:val="18"/>
                <w:b w:val="1"/>
                <w:bCs w:val="1"/>
                <w:color w:val="auto"/>
              </w:rPr>
              <w:t>141</w:t>
            </w:r>
          </w:p>
        </w:tc>
        <w:tc>
          <w:tcPr>
            <w:tcW w:w="300" w:type="dxa"/>
            <w:vAlign w:val="bottom"/>
          </w:tcPr>
          <w:p>
            <w:pPr>
              <w:spacing w:after="0"/>
              <w:rPr>
                <w:sz w:val="18"/>
                <w:szCs w:val="18"/>
                <w:color w:val="auto"/>
              </w:rPr>
            </w:pPr>
          </w:p>
        </w:tc>
        <w:tc>
          <w:tcPr>
            <w:tcW w:w="740" w:type="dxa"/>
            <w:vAlign w:val="bottom"/>
          </w:tcPr>
          <w:p>
            <w:pPr>
              <w:jc w:val="right"/>
              <w:ind w:right="194"/>
              <w:spacing w:after="0"/>
              <w:rPr>
                <w:sz w:val="20"/>
                <w:szCs w:val="20"/>
                <w:color w:val="auto"/>
              </w:rPr>
            </w:pPr>
            <w:r>
              <w:rPr>
                <w:rFonts w:ascii="Arial" w:cs="Arial" w:eastAsia="Arial" w:hAnsi="Arial"/>
                <w:sz w:val="18"/>
                <w:szCs w:val="18"/>
                <w:color w:val="auto"/>
              </w:rPr>
              <w:t>262</w:t>
            </w:r>
          </w:p>
        </w:tc>
        <w:tc>
          <w:tcPr>
            <w:tcW w:w="300" w:type="dxa"/>
            <w:vAlign w:val="bottom"/>
          </w:tcPr>
          <w:p>
            <w:pPr>
              <w:spacing w:after="0"/>
              <w:rPr>
                <w:sz w:val="18"/>
                <w:szCs w:val="18"/>
                <w:color w:val="auto"/>
              </w:rPr>
            </w:pPr>
          </w:p>
        </w:tc>
        <w:tc>
          <w:tcPr>
            <w:tcW w:w="740" w:type="dxa"/>
            <w:vAlign w:val="bottom"/>
          </w:tcPr>
          <w:p>
            <w:pPr>
              <w:jc w:val="right"/>
              <w:ind w:right="176"/>
              <w:spacing w:after="0"/>
              <w:rPr>
                <w:sz w:val="20"/>
                <w:szCs w:val="20"/>
                <w:color w:val="auto"/>
              </w:rPr>
            </w:pPr>
            <w:r>
              <w:rPr>
                <w:rFonts w:ascii="Arial" w:cs="Arial" w:eastAsia="Arial" w:hAnsi="Arial"/>
                <w:sz w:val="18"/>
                <w:szCs w:val="18"/>
                <w:b w:val="1"/>
                <w:bCs w:val="1"/>
                <w:color w:val="auto"/>
              </w:rPr>
              <w:t>491</w:t>
            </w: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Payment (Refund) of Tax Related to Acquired Companies, net</w:t>
            </w:r>
          </w:p>
        </w:tc>
        <w:tc>
          <w:tcPr>
            <w:tcW w:w="1260" w:type="dxa"/>
            <w:vAlign w:val="bottom"/>
            <w:shd w:val="clear" w:color="auto" w:fill="E5E5E5"/>
          </w:tcPr>
          <w:p>
            <w:pPr>
              <w:jc w:val="right"/>
              <w:ind w:right="136"/>
              <w:spacing w:after="0"/>
              <w:rPr>
                <w:sz w:val="20"/>
                <w:szCs w:val="20"/>
                <w:color w:val="auto"/>
              </w:rPr>
            </w:pPr>
            <w:r>
              <w:rPr>
                <w:rFonts w:ascii="Arial" w:cs="Arial" w:eastAsia="Arial" w:hAnsi="Arial"/>
                <w:sz w:val="18"/>
                <w:szCs w:val="18"/>
                <w:b w:val="1"/>
                <w:bCs w:val="1"/>
                <w:color w:val="auto"/>
              </w:rPr>
              <w:t>(132)</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56</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6"/>
              <w:spacing w:after="0"/>
              <w:rPr>
                <w:sz w:val="20"/>
                <w:szCs w:val="20"/>
                <w:color w:val="auto"/>
              </w:rPr>
            </w:pPr>
            <w:r>
              <w:rPr>
                <w:rFonts w:ascii="Arial" w:cs="Arial" w:eastAsia="Arial" w:hAnsi="Arial"/>
                <w:sz w:val="18"/>
                <w:szCs w:val="18"/>
                <w:b w:val="1"/>
                <w:bCs w:val="1"/>
                <w:color w:val="auto"/>
              </w:rPr>
              <w:t>(76)</w:t>
            </w:r>
          </w:p>
        </w:tc>
        <w:tc>
          <w:tcPr>
            <w:tcW w:w="34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Payment of Tax on Prior Year Audits</w:t>
            </w:r>
          </w:p>
        </w:tc>
        <w:tc>
          <w:tcPr>
            <w:tcW w:w="1260" w:type="dxa"/>
            <w:vAlign w:val="bottom"/>
          </w:tcPr>
          <w:p>
            <w:pPr>
              <w:jc w:val="right"/>
              <w:ind w:right="136"/>
              <w:spacing w:after="0"/>
              <w:rPr>
                <w:sz w:val="20"/>
                <w:szCs w:val="20"/>
                <w:color w:val="auto"/>
              </w:rPr>
            </w:pPr>
            <w:r>
              <w:rPr>
                <w:rFonts w:ascii="Arial" w:cs="Arial" w:eastAsia="Arial" w:hAnsi="Arial"/>
                <w:sz w:val="18"/>
                <w:szCs w:val="18"/>
                <w:b w:val="1"/>
                <w:bCs w:val="1"/>
                <w:color w:val="auto"/>
              </w:rPr>
              <w:t>(18)</w:t>
            </w:r>
          </w:p>
        </w:tc>
        <w:tc>
          <w:tcPr>
            <w:tcW w:w="300" w:type="dxa"/>
            <w:vAlign w:val="bottom"/>
          </w:tcPr>
          <w:p>
            <w:pPr>
              <w:spacing w:after="0"/>
              <w:rPr>
                <w:sz w:val="18"/>
                <w:szCs w:val="18"/>
                <w:color w:val="auto"/>
              </w:rPr>
            </w:pPr>
          </w:p>
        </w:tc>
        <w:tc>
          <w:tcPr>
            <w:tcW w:w="74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176"/>
              <w:spacing w:after="0"/>
              <w:rPr>
                <w:sz w:val="20"/>
                <w:szCs w:val="20"/>
                <w:color w:val="auto"/>
              </w:rPr>
            </w:pPr>
            <w:r>
              <w:rPr>
                <w:rFonts w:ascii="Arial" w:cs="Arial" w:eastAsia="Arial" w:hAnsi="Arial"/>
                <w:sz w:val="18"/>
                <w:szCs w:val="18"/>
                <w:b w:val="1"/>
                <w:bCs w:val="1"/>
                <w:color w:val="auto"/>
              </w:rPr>
              <w:t>302</w:t>
            </w:r>
          </w:p>
        </w:tc>
        <w:tc>
          <w:tcPr>
            <w:tcW w:w="340" w:type="dxa"/>
            <w:vAlign w:val="bottom"/>
          </w:tcPr>
          <w:p>
            <w:pPr>
              <w:spacing w:after="0"/>
              <w:rPr>
                <w:sz w:val="18"/>
                <w:szCs w:val="18"/>
                <w:color w:val="auto"/>
              </w:rPr>
            </w:pPr>
          </w:p>
        </w:tc>
        <w:tc>
          <w:tcPr>
            <w:tcW w:w="5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Payment of Litigation Settlements of Acquired Companies</w:t>
            </w:r>
          </w:p>
        </w:tc>
        <w:tc>
          <w:tcPr>
            <w:tcW w:w="1260" w:type="dxa"/>
            <w:vAlign w:val="bottom"/>
            <w:shd w:val="clear" w:color="auto" w:fill="E5E5E5"/>
          </w:tcPr>
          <w:p>
            <w:pPr>
              <w:jc w:val="right"/>
              <w:ind w:right="276"/>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44</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276"/>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Proceeds from the Sale of Trading Securities</w:t>
            </w:r>
          </w:p>
        </w:tc>
        <w:tc>
          <w:tcPr>
            <w:tcW w:w="126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(603)</w:t>
            </w: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b w:val="1"/>
                <w:bCs w:val="1"/>
                <w:color w:val="auto"/>
              </w:rPr>
              <w:t>Free Cash Flow</w:t>
            </w:r>
          </w:p>
        </w:tc>
        <w:tc>
          <w:tcPr>
            <w:tcW w:w="1260" w:type="dxa"/>
            <w:vAlign w:val="bottom"/>
            <w:tcBorders>
              <w:bottom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b w:val="1"/>
                <w:bCs w:val="1"/>
                <w:color w:val="auto"/>
              </w:rPr>
              <w:t>$ 1,008</w:t>
            </w: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b w:val="1"/>
                <w:bCs w:val="1"/>
                <w:color w:val="auto"/>
              </w:rPr>
              <w:t>342</w:t>
            </w: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b w:val="1"/>
                <w:bCs w:val="1"/>
                <w:color w:val="auto"/>
              </w:rPr>
              <w:t>2,342</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2,623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Cash Paid Interest</w:t>
            </w:r>
          </w:p>
        </w:tc>
        <w:tc>
          <w:tcPr>
            <w:tcW w:w="1260" w:type="dxa"/>
            <w:vAlign w:val="bottom"/>
            <w:tcBorders>
              <w:bottom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rPr>
              <w:t>410</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428</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color w:val="auto"/>
              </w:rPr>
              <w:t>2,134</w:t>
            </w:r>
          </w:p>
        </w:tc>
        <w:tc>
          <w:tcPr>
            <w:tcW w:w="34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Unlevered Free Cash Flow</w:t>
            </w:r>
          </w:p>
        </w:tc>
        <w:tc>
          <w:tcPr>
            <w:tcW w:w="126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$ 1,418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770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4,476</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5660" w:right="2100" w:hanging="5652"/>
        <w:spacing w:after="0" w:line="440" w:lineRule="auto"/>
        <w:tabs>
          <w:tab w:leader="none" w:pos="449"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Non-GAAP and Other Financial Measures in Table 7 for the definition of Free Cash Flow and Unlevered Free Cash Flow. 9</w:t>
      </w:r>
    </w:p>
    <w:p>
      <w:pPr>
        <w:sectPr>
          <w:pgSz w:w="11900" w:h="16838" w:orient="portrait"/>
          <w:cols w:equalWidth="0" w:num="1">
            <w:col w:w="11420"/>
          </w:cols>
          <w:pgMar w:left="240" w:top="823"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3073400</wp:posOffset>
            </wp:positionH>
            <wp:positionV relativeFrom="page">
              <wp:posOffset>183515</wp:posOffset>
            </wp:positionV>
            <wp:extent cx="1423670" cy="3600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423670" cy="360045"/>
                    </a:xfrm>
                    <a:prstGeom prst="rect">
                      <a:avLst/>
                    </a:prstGeom>
                    <a:noFill/>
                  </pic:spPr>
                </pic:pic>
              </a:graphicData>
            </a:graphic>
          </wp:anchor>
        </w:drawing>
        <w:t>TABLE 5</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 Forma Financial Data by Business Segment</w:t>
      </w:r>
    </w:p>
    <w:p>
      <w:pPr>
        <w:jc w:val="center"/>
        <w:spacing w:after="0"/>
        <w:rPr>
          <w:sz w:val="20"/>
          <w:szCs w:val="20"/>
          <w:color w:val="auto"/>
        </w:rPr>
      </w:pPr>
      <w:r>
        <w:rPr>
          <w:rFonts w:ascii="Arial" w:cs="Arial" w:eastAsia="Arial" w:hAnsi="Arial"/>
          <w:sz w:val="22"/>
          <w:szCs w:val="22"/>
          <w:b w:val="1"/>
          <w:bCs w:val="1"/>
          <w:color w:val="auto"/>
        </w:rPr>
        <w:t>(Unaudited) (1)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Corporate</w:t>
            </w: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980" w:type="dxa"/>
            <w:vAlign w:val="bottom"/>
          </w:tcPr>
          <w:p>
            <w:pPr>
              <w:spacing w:after="0"/>
              <w:rPr>
                <w:sz w:val="15"/>
                <w:szCs w:val="15"/>
                <w:color w:val="auto"/>
              </w:rPr>
            </w:pPr>
          </w:p>
        </w:tc>
        <w:tc>
          <w:tcPr>
            <w:tcW w:w="780" w:type="dxa"/>
            <w:vAlign w:val="bottom"/>
          </w:tcPr>
          <w:p>
            <w:pPr>
              <w:jc w:val="right"/>
              <w:ind w:right="333"/>
              <w:spacing w:after="0"/>
              <w:rPr>
                <w:sz w:val="20"/>
                <w:szCs w:val="20"/>
                <w:color w:val="auto"/>
              </w:rPr>
            </w:pPr>
            <w:r>
              <w:rPr>
                <w:rFonts w:ascii="Arial" w:cs="Arial" w:eastAsia="Arial" w:hAnsi="Arial"/>
                <w:sz w:val="14"/>
                <w:szCs w:val="14"/>
                <w:b w:val="1"/>
                <w:bCs w:val="1"/>
                <w:color w:val="auto"/>
                <w:w w:val="89"/>
              </w:rPr>
              <w:t>Cable</w:t>
            </w:r>
          </w:p>
        </w:tc>
        <w:tc>
          <w:tcPr>
            <w:tcW w:w="160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Programming (2)</w:t>
            </w:r>
          </w:p>
        </w:tc>
        <w:tc>
          <w:tcPr>
            <w:tcW w:w="118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and Other</w:t>
            </w:r>
          </w:p>
        </w:tc>
        <w:tc>
          <w:tcPr>
            <w:tcW w:w="360" w:type="dxa"/>
            <w:vAlign w:val="bottom"/>
          </w:tcPr>
          <w:p>
            <w:pPr>
              <w:spacing w:after="0"/>
              <w:rPr>
                <w:sz w:val="15"/>
                <w:szCs w:val="15"/>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Three Months Ended December 31, 2007</w:t>
            </w:r>
          </w:p>
        </w:tc>
        <w:tc>
          <w:tcPr>
            <w:tcW w:w="198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96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Revenues</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3"/>
              <w:spacing w:after="0"/>
              <w:rPr>
                <w:sz w:val="20"/>
                <w:szCs w:val="20"/>
                <w:color w:val="auto"/>
              </w:rPr>
            </w:pPr>
            <w:r>
              <w:rPr>
                <w:rFonts w:ascii="Arial" w:cs="Arial" w:eastAsia="Arial" w:hAnsi="Arial"/>
                <w:sz w:val="18"/>
                <w:szCs w:val="18"/>
                <w:color w:val="auto"/>
              </w:rPr>
              <w:t>7,578</w:t>
            </w:r>
          </w:p>
        </w:tc>
        <w:tc>
          <w:tcPr>
            <w:tcW w:w="640" w:type="dxa"/>
            <w:vAlign w:val="bottom"/>
          </w:tcPr>
          <w:p>
            <w:pPr>
              <w:ind w:lef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348</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88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1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3,124</w:t>
            </w:r>
          </w:p>
        </w:tc>
        <w:tc>
          <w:tcPr>
            <w:tcW w:w="64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49</w:t>
            </w:r>
          </w:p>
        </w:tc>
        <w:tc>
          <w:tcPr>
            <w:tcW w:w="50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92)</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3"/>
              <w:spacing w:after="0"/>
              <w:rPr>
                <w:sz w:val="20"/>
                <w:szCs w:val="20"/>
                <w:color w:val="auto"/>
              </w:rPr>
            </w:pPr>
            <w:r>
              <w:rPr>
                <w:rFonts w:ascii="Arial" w:cs="Arial" w:eastAsia="Arial" w:hAnsi="Arial"/>
                <w:sz w:val="18"/>
                <w:szCs w:val="18"/>
                <w:color w:val="auto"/>
              </w:rPr>
              <w:t>1,583</w:t>
            </w:r>
          </w:p>
        </w:tc>
        <w:tc>
          <w:tcPr>
            <w:tcW w:w="640" w:type="dxa"/>
            <w:vAlign w:val="bottom"/>
          </w:tcPr>
          <w:p>
            <w:pPr>
              <w:ind w:lef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35)</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89)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 Margin</w:t>
            </w:r>
          </w:p>
        </w:tc>
        <w:tc>
          <w:tcPr>
            <w:tcW w:w="19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w w:val="90"/>
              </w:rPr>
              <w:t>41.2%</w:t>
            </w:r>
          </w:p>
        </w:tc>
        <w:tc>
          <w:tcPr>
            <w:tcW w:w="64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14.3%</w:t>
            </w:r>
          </w:p>
        </w:tc>
        <w:tc>
          <w:tcPr>
            <w:tcW w:w="5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NM</w:t>
            </w:r>
          </w:p>
        </w:tc>
        <w:tc>
          <w:tcPr>
            <w:tcW w:w="36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0"/>
              </w:rPr>
              <w:t>38.4%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Capital Expenditures (3)</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3"/>
              <w:spacing w:after="0"/>
              <w:rPr>
                <w:sz w:val="20"/>
                <w:szCs w:val="20"/>
                <w:color w:val="auto"/>
              </w:rPr>
            </w:pPr>
            <w:r>
              <w:rPr>
                <w:rFonts w:ascii="Arial" w:cs="Arial" w:eastAsia="Arial" w:hAnsi="Arial"/>
                <w:sz w:val="18"/>
                <w:szCs w:val="18"/>
                <w:color w:val="auto"/>
              </w:rPr>
              <w:t>1,474</w:t>
            </w:r>
          </w:p>
        </w:tc>
        <w:tc>
          <w:tcPr>
            <w:tcW w:w="640" w:type="dxa"/>
            <w:vAlign w:val="bottom"/>
          </w:tcPr>
          <w:p>
            <w:pPr>
              <w:ind w:lef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13</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89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Three Months Ended December 31, 2006</w:t>
            </w:r>
          </w:p>
        </w:tc>
        <w:tc>
          <w:tcPr>
            <w:tcW w:w="19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Revenues</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3"/>
              <w:spacing w:after="0"/>
              <w:rPr>
                <w:sz w:val="20"/>
                <w:szCs w:val="20"/>
                <w:color w:val="auto"/>
              </w:rPr>
            </w:pPr>
            <w:r>
              <w:rPr>
                <w:rFonts w:ascii="Arial" w:cs="Arial" w:eastAsia="Arial" w:hAnsi="Arial"/>
                <w:sz w:val="18"/>
                <w:szCs w:val="18"/>
                <w:color w:val="auto"/>
              </w:rPr>
              <w:t>6,927</w:t>
            </w:r>
          </w:p>
        </w:tc>
        <w:tc>
          <w:tcPr>
            <w:tcW w:w="640" w:type="dxa"/>
            <w:vAlign w:val="bottom"/>
          </w:tcPr>
          <w:p>
            <w:pPr>
              <w:ind w:lef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283</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108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1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2,755</w:t>
            </w:r>
          </w:p>
        </w:tc>
        <w:tc>
          <w:tcPr>
            <w:tcW w:w="64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43</w:t>
            </w:r>
          </w:p>
        </w:tc>
        <w:tc>
          <w:tcPr>
            <w:tcW w:w="50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96)</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3"/>
              <w:spacing w:after="0"/>
              <w:rPr>
                <w:sz w:val="20"/>
                <w:szCs w:val="20"/>
                <w:color w:val="auto"/>
              </w:rPr>
            </w:pPr>
            <w:r>
              <w:rPr>
                <w:rFonts w:ascii="Arial" w:cs="Arial" w:eastAsia="Arial" w:hAnsi="Arial"/>
                <w:sz w:val="18"/>
                <w:szCs w:val="18"/>
                <w:color w:val="auto"/>
              </w:rPr>
              <w:t>1,353</w:t>
            </w:r>
          </w:p>
        </w:tc>
        <w:tc>
          <w:tcPr>
            <w:tcW w:w="640" w:type="dxa"/>
            <w:vAlign w:val="bottom"/>
          </w:tcPr>
          <w:p>
            <w:pPr>
              <w:ind w:lef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107)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 Margin</w:t>
            </w:r>
          </w:p>
        </w:tc>
        <w:tc>
          <w:tcPr>
            <w:tcW w:w="19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w w:val="90"/>
              </w:rPr>
              <w:t>39.8%</w:t>
            </w:r>
          </w:p>
        </w:tc>
        <w:tc>
          <w:tcPr>
            <w:tcW w:w="64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15.0%</w:t>
            </w:r>
          </w:p>
        </w:tc>
        <w:tc>
          <w:tcPr>
            <w:tcW w:w="5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NM</w:t>
            </w:r>
          </w:p>
        </w:tc>
        <w:tc>
          <w:tcPr>
            <w:tcW w:w="36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0"/>
              </w:rPr>
              <w:t>36.9%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Capital Expenditures (3)</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3"/>
              <w:spacing w:after="0"/>
              <w:rPr>
                <w:sz w:val="20"/>
                <w:szCs w:val="20"/>
                <w:color w:val="auto"/>
              </w:rPr>
            </w:pPr>
            <w:r>
              <w:rPr>
                <w:rFonts w:ascii="Arial" w:cs="Arial" w:eastAsia="Arial" w:hAnsi="Arial"/>
                <w:sz w:val="18"/>
                <w:szCs w:val="18"/>
                <w:color w:val="auto"/>
              </w:rPr>
              <w:t>1,383</w:t>
            </w:r>
          </w:p>
        </w:tc>
        <w:tc>
          <w:tcPr>
            <w:tcW w:w="640" w:type="dxa"/>
            <w:vAlign w:val="bottom"/>
          </w:tcPr>
          <w:p>
            <w:pPr>
              <w:ind w:lef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16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Twelve Months Ended December 31, 2007</w:t>
            </w:r>
          </w:p>
        </w:tc>
        <w:tc>
          <w:tcPr>
            <w:tcW w:w="19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Revenues</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3"/>
              <w:spacing w:after="0"/>
              <w:rPr>
                <w:sz w:val="20"/>
                <w:szCs w:val="20"/>
                <w:color w:val="auto"/>
              </w:rPr>
            </w:pPr>
            <w:r>
              <w:rPr>
                <w:rFonts w:ascii="Arial" w:cs="Arial" w:eastAsia="Arial" w:hAnsi="Arial"/>
                <w:sz w:val="18"/>
                <w:szCs w:val="18"/>
                <w:color w:val="auto"/>
                <w:w w:val="83"/>
              </w:rPr>
              <w:t>29,434</w:t>
            </w:r>
          </w:p>
        </w:tc>
        <w:tc>
          <w:tcPr>
            <w:tcW w:w="640" w:type="dxa"/>
            <w:vAlign w:val="bottom"/>
          </w:tcPr>
          <w:p>
            <w:pPr>
              <w:ind w:lef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1,314</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275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31,023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1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w w:val="83"/>
              </w:rPr>
              <w:t>11,976</w:t>
            </w:r>
          </w:p>
        </w:tc>
        <w:tc>
          <w:tcPr>
            <w:tcW w:w="64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286</w:t>
            </w:r>
          </w:p>
        </w:tc>
        <w:tc>
          <w:tcPr>
            <w:tcW w:w="50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423)</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3"/>
              </w:rPr>
              <w:t>11,839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3"/>
              <w:spacing w:after="0"/>
              <w:rPr>
                <w:sz w:val="20"/>
                <w:szCs w:val="20"/>
                <w:color w:val="auto"/>
              </w:rPr>
            </w:pPr>
            <w:r>
              <w:rPr>
                <w:rFonts w:ascii="Arial" w:cs="Arial" w:eastAsia="Arial" w:hAnsi="Arial"/>
                <w:sz w:val="18"/>
                <w:szCs w:val="18"/>
                <w:color w:val="auto"/>
              </w:rPr>
              <w:t>6,022</w:t>
            </w:r>
          </w:p>
        </w:tc>
        <w:tc>
          <w:tcPr>
            <w:tcW w:w="640" w:type="dxa"/>
            <w:vAlign w:val="bottom"/>
          </w:tcPr>
          <w:p>
            <w:pPr>
              <w:ind w:lef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63</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482)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 Margin</w:t>
            </w:r>
          </w:p>
        </w:tc>
        <w:tc>
          <w:tcPr>
            <w:tcW w:w="19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w w:val="90"/>
              </w:rPr>
              <w:t>40.7%</w:t>
            </w:r>
          </w:p>
        </w:tc>
        <w:tc>
          <w:tcPr>
            <w:tcW w:w="64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21.8%</w:t>
            </w:r>
          </w:p>
        </w:tc>
        <w:tc>
          <w:tcPr>
            <w:tcW w:w="5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NM</w:t>
            </w:r>
          </w:p>
        </w:tc>
        <w:tc>
          <w:tcPr>
            <w:tcW w:w="36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0"/>
              </w:rPr>
              <w:t>38.2%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Capital Expenditures (3)</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3"/>
              <w:spacing w:after="0"/>
              <w:rPr>
                <w:sz w:val="20"/>
                <w:szCs w:val="20"/>
                <w:color w:val="auto"/>
              </w:rPr>
            </w:pPr>
            <w:r>
              <w:rPr>
                <w:rFonts w:ascii="Arial" w:cs="Arial" w:eastAsia="Arial" w:hAnsi="Arial"/>
                <w:sz w:val="18"/>
                <w:szCs w:val="18"/>
                <w:color w:val="auto"/>
              </w:rPr>
              <w:t>6,004</w:t>
            </w:r>
          </w:p>
        </w:tc>
        <w:tc>
          <w:tcPr>
            <w:tcW w:w="640" w:type="dxa"/>
            <w:vAlign w:val="bottom"/>
          </w:tcPr>
          <w:p>
            <w:pPr>
              <w:ind w:lef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35</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130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6,169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Twelve Months Ended December 31, 2006</w:t>
            </w:r>
          </w:p>
        </w:tc>
        <w:tc>
          <w:tcPr>
            <w:tcW w:w="19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Revenues</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3"/>
              <w:spacing w:after="0"/>
              <w:rPr>
                <w:sz w:val="20"/>
                <w:szCs w:val="20"/>
                <w:color w:val="auto"/>
              </w:rPr>
            </w:pPr>
            <w:r>
              <w:rPr>
                <w:rFonts w:ascii="Arial" w:cs="Arial" w:eastAsia="Arial" w:hAnsi="Arial"/>
                <w:sz w:val="18"/>
                <w:szCs w:val="18"/>
                <w:color w:val="auto"/>
                <w:w w:val="83"/>
              </w:rPr>
              <w:t>26,482</w:t>
            </w:r>
          </w:p>
        </w:tc>
        <w:tc>
          <w:tcPr>
            <w:tcW w:w="640" w:type="dxa"/>
            <w:vAlign w:val="bottom"/>
          </w:tcPr>
          <w:p>
            <w:pPr>
              <w:ind w:lef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1,054</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259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27,795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1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w w:val="83"/>
              </w:rPr>
              <w:t>10,555</w:t>
            </w:r>
          </w:p>
        </w:tc>
        <w:tc>
          <w:tcPr>
            <w:tcW w:w="64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239</w:t>
            </w:r>
          </w:p>
        </w:tc>
        <w:tc>
          <w:tcPr>
            <w:tcW w:w="50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322)</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3"/>
              </w:rPr>
              <w:t>10,472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3"/>
              <w:spacing w:after="0"/>
              <w:rPr>
                <w:sz w:val="20"/>
                <w:szCs w:val="20"/>
                <w:color w:val="auto"/>
              </w:rPr>
            </w:pPr>
            <w:r>
              <w:rPr>
                <w:rFonts w:ascii="Arial" w:cs="Arial" w:eastAsia="Arial" w:hAnsi="Arial"/>
                <w:sz w:val="18"/>
                <w:szCs w:val="18"/>
                <w:color w:val="auto"/>
              </w:rPr>
              <w:t>5,246</w:t>
            </w:r>
          </w:p>
        </w:tc>
        <w:tc>
          <w:tcPr>
            <w:tcW w:w="640" w:type="dxa"/>
            <w:vAlign w:val="bottom"/>
          </w:tcPr>
          <w:p>
            <w:pPr>
              <w:ind w:lef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72</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390)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 Margin</w:t>
            </w:r>
          </w:p>
        </w:tc>
        <w:tc>
          <w:tcPr>
            <w:tcW w:w="19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w w:val="90"/>
              </w:rPr>
              <w:t>39.9%</w:t>
            </w:r>
          </w:p>
        </w:tc>
        <w:tc>
          <w:tcPr>
            <w:tcW w:w="64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22.7%</w:t>
            </w:r>
          </w:p>
        </w:tc>
        <w:tc>
          <w:tcPr>
            <w:tcW w:w="5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NM</w:t>
            </w:r>
          </w:p>
        </w:tc>
        <w:tc>
          <w:tcPr>
            <w:tcW w:w="36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0"/>
              </w:rPr>
              <w:t>37.7%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Capital Expenditures (3)</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3"/>
              <w:spacing w:after="0"/>
              <w:rPr>
                <w:sz w:val="20"/>
                <w:szCs w:val="20"/>
                <w:color w:val="auto"/>
              </w:rPr>
            </w:pPr>
            <w:r>
              <w:rPr>
                <w:rFonts w:ascii="Arial" w:cs="Arial" w:eastAsia="Arial" w:hAnsi="Arial"/>
                <w:sz w:val="18"/>
                <w:szCs w:val="18"/>
                <w:color w:val="auto"/>
              </w:rPr>
              <w:t>4,655</w:t>
            </w:r>
          </w:p>
        </w:tc>
        <w:tc>
          <w:tcPr>
            <w:tcW w:w="640" w:type="dxa"/>
            <w:vAlign w:val="bottom"/>
          </w:tcPr>
          <w:p>
            <w:pPr>
              <w:ind w:lef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16</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31</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4,702</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46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 Non-GAAP and Other Financial Measures in Table 7. Historical financial data by business segment, in accordance with generally accepted accounting principles in the United States (GAAP), is available in the Company’s annual report on Form 10-K. All percentages are calculated based on actual amounts. Minor differences may exist due to rounding.</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Programming includes our national networks E! Entertainment Television and Style Network (E! Networks), The Golf Channel, VERSUS and G4.</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Cable segment’s capital expenditures are comprised of the following categories: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jc w:val="right"/>
              <w:ind w:right="196"/>
              <w:spacing w:after="0"/>
              <w:rPr>
                <w:sz w:val="20"/>
                <w:szCs w:val="20"/>
                <w:color w:val="auto"/>
              </w:rPr>
            </w:pPr>
            <w:r>
              <w:rPr>
                <w:rFonts w:ascii="Arial" w:cs="Arial" w:eastAsia="Arial" w:hAnsi="Arial"/>
                <w:sz w:val="14"/>
                <w:szCs w:val="14"/>
                <w:b w:val="1"/>
                <w:bCs w:val="1"/>
                <w:color w:val="auto"/>
              </w:rPr>
              <w:t>YTD</w:t>
            </w:r>
          </w:p>
        </w:tc>
        <w:tc>
          <w:tcPr>
            <w:tcW w:w="660" w:type="dxa"/>
            <w:vAlign w:val="bottom"/>
          </w:tcPr>
          <w:p>
            <w:pPr>
              <w:jc w:val="right"/>
              <w:ind w:right="16"/>
              <w:spacing w:after="0"/>
              <w:rPr>
                <w:sz w:val="20"/>
                <w:szCs w:val="20"/>
                <w:color w:val="auto"/>
              </w:rPr>
            </w:pPr>
            <w:r>
              <w:rPr>
                <w:rFonts w:ascii="Arial" w:cs="Arial" w:eastAsia="Arial" w:hAnsi="Arial"/>
                <w:sz w:val="14"/>
                <w:szCs w:val="14"/>
                <w:b w:val="1"/>
                <w:bCs w:val="1"/>
                <w:color w:val="auto"/>
              </w:rPr>
              <w:t>YTD</w:t>
            </w:r>
          </w:p>
        </w:tc>
      </w:tr>
      <w:tr>
        <w:trPr>
          <w:trHeight w:val="175"/>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87"/>
              </w:rPr>
              <w:t>4Q07</w:t>
            </w:r>
          </w:p>
        </w:tc>
        <w:tc>
          <w:tcPr>
            <w:tcW w:w="2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81"/>
              </w:rPr>
              <w:t>4Q06</w:t>
            </w: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4Q07</w:t>
            </w: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4Q06</w:t>
            </w:r>
          </w:p>
        </w:tc>
      </w:tr>
      <w:tr>
        <w:trPr>
          <w:trHeight w:val="210"/>
        </w:trPr>
        <w:tc>
          <w:tcPr>
            <w:tcW w:w="20" w:type="dxa"/>
            <w:vAlign w:val="bottom"/>
          </w:tcPr>
          <w:p>
            <w:pPr>
              <w:spacing w:after="0"/>
              <w:rPr>
                <w:sz w:val="18"/>
                <w:szCs w:val="18"/>
                <w:color w:val="auto"/>
              </w:rPr>
            </w:pPr>
          </w:p>
        </w:tc>
        <w:tc>
          <w:tcPr>
            <w:tcW w:w="5780" w:type="dxa"/>
            <w:vAlign w:val="bottom"/>
            <w:shd w:val="clear" w:color="auto" w:fill="E5E5E5"/>
          </w:tcPr>
          <w:p>
            <w:pPr>
              <w:spacing w:after="0"/>
              <w:rPr>
                <w:sz w:val="20"/>
                <w:szCs w:val="20"/>
                <w:color w:val="auto"/>
              </w:rPr>
            </w:pPr>
            <w:r>
              <w:rPr>
                <w:rFonts w:ascii="Arial" w:cs="Arial" w:eastAsia="Arial" w:hAnsi="Arial"/>
                <w:sz w:val="18"/>
                <w:szCs w:val="18"/>
                <w:color w:val="auto"/>
              </w:rPr>
              <w:t>New Service Offerings</w:t>
            </w:r>
          </w:p>
        </w:tc>
        <w:tc>
          <w:tcPr>
            <w:tcW w:w="4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Customer Premise Equipment (CPE)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725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712</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$3,172</w:t>
            </w:r>
          </w:p>
        </w:tc>
        <w:tc>
          <w:tcPr>
            <w:tcW w:w="660" w:type="dxa"/>
            <w:vAlign w:val="bottom"/>
          </w:tcPr>
          <w:p>
            <w:pPr>
              <w:jc w:val="right"/>
              <w:spacing w:after="0"/>
              <w:rPr>
                <w:sz w:val="20"/>
                <w:szCs w:val="20"/>
                <w:color w:val="auto"/>
              </w:rPr>
            </w:pPr>
            <w:r>
              <w:rPr>
                <w:rFonts w:ascii="Arial" w:cs="Arial" w:eastAsia="Arial" w:hAnsi="Arial"/>
                <w:sz w:val="18"/>
                <w:szCs w:val="18"/>
                <w:color w:val="auto"/>
              </w:rPr>
              <w:t>$2,486</w:t>
            </w:r>
          </w:p>
        </w:tc>
      </w:tr>
      <w:tr>
        <w:trPr>
          <w:trHeight w:val="216"/>
        </w:trPr>
        <w:tc>
          <w:tcPr>
            <w:tcW w:w="20" w:type="dxa"/>
            <w:vAlign w:val="bottom"/>
          </w:tcPr>
          <w:p>
            <w:pPr>
              <w:spacing w:after="0"/>
              <w:rPr>
                <w:sz w:val="18"/>
                <w:szCs w:val="18"/>
                <w:color w:val="auto"/>
              </w:rPr>
            </w:pPr>
          </w:p>
        </w:tc>
        <w:tc>
          <w:tcPr>
            <w:tcW w:w="578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Scalable Infrastructure</w:t>
            </w:r>
          </w:p>
        </w:tc>
        <w:tc>
          <w:tcPr>
            <w:tcW w:w="4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259</w:t>
            </w:r>
          </w:p>
        </w:tc>
        <w:tc>
          <w:tcPr>
            <w:tcW w:w="2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331</w:t>
            </w:r>
          </w:p>
        </w:tc>
        <w:tc>
          <w:tcPr>
            <w:tcW w:w="84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rPr>
              <w:t>1,017</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923</w:t>
            </w:r>
          </w:p>
        </w:tc>
      </w:tr>
      <w:tr>
        <w:trPr>
          <w:trHeight w:val="210"/>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984</w:t>
            </w:r>
          </w:p>
        </w:tc>
        <w:tc>
          <w:tcPr>
            <w:tcW w:w="260" w:type="dxa"/>
            <w:vAlign w:val="bottom"/>
          </w:tcPr>
          <w:p>
            <w:pPr>
              <w:spacing w:after="0"/>
              <w:rPr>
                <w:sz w:val="18"/>
                <w:szCs w:val="18"/>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w w:val="84"/>
              </w:rPr>
              <w:t>1,043</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4,189</w:t>
            </w:r>
          </w:p>
        </w:tc>
        <w:tc>
          <w:tcPr>
            <w:tcW w:w="660" w:type="dxa"/>
            <w:vAlign w:val="bottom"/>
          </w:tcPr>
          <w:p>
            <w:pPr>
              <w:jc w:val="right"/>
              <w:spacing w:after="0"/>
              <w:rPr>
                <w:sz w:val="20"/>
                <w:szCs w:val="20"/>
                <w:color w:val="auto"/>
              </w:rPr>
            </w:pPr>
            <w:r>
              <w:rPr>
                <w:rFonts w:ascii="Arial" w:cs="Arial" w:eastAsia="Arial" w:hAnsi="Arial"/>
                <w:sz w:val="18"/>
                <w:szCs w:val="18"/>
                <w:color w:val="auto"/>
              </w:rPr>
              <w:t>3,409</w:t>
            </w:r>
          </w:p>
        </w:tc>
      </w:tr>
      <w:tr>
        <w:trPr>
          <w:trHeight w:val="216"/>
        </w:trPr>
        <w:tc>
          <w:tcPr>
            <w:tcW w:w="20" w:type="dxa"/>
            <w:vAlign w:val="bottom"/>
          </w:tcPr>
          <w:p>
            <w:pPr>
              <w:spacing w:after="0"/>
              <w:rPr>
                <w:sz w:val="18"/>
                <w:szCs w:val="18"/>
                <w:color w:val="auto"/>
              </w:rPr>
            </w:pPr>
          </w:p>
        </w:tc>
        <w:tc>
          <w:tcPr>
            <w:tcW w:w="5780" w:type="dxa"/>
            <w:vAlign w:val="bottom"/>
            <w:shd w:val="clear" w:color="auto" w:fill="E5E5E5"/>
          </w:tcPr>
          <w:p>
            <w:pPr>
              <w:spacing w:after="0"/>
              <w:rPr>
                <w:sz w:val="20"/>
                <w:szCs w:val="20"/>
                <w:color w:val="auto"/>
              </w:rPr>
            </w:pPr>
            <w:r>
              <w:rPr>
                <w:rFonts w:ascii="Arial" w:cs="Arial" w:eastAsia="Arial" w:hAnsi="Arial"/>
                <w:sz w:val="18"/>
                <w:szCs w:val="18"/>
                <w:color w:val="auto"/>
              </w:rPr>
              <w:t>Recurring Capital Projects</w:t>
            </w:r>
          </w:p>
        </w:tc>
        <w:tc>
          <w:tcPr>
            <w:tcW w:w="4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Line Extensions</w:t>
            </w:r>
          </w:p>
        </w:tc>
        <w:tc>
          <w:tcPr>
            <w:tcW w:w="420" w:type="dxa"/>
            <w:vAlign w:val="bottom"/>
          </w:tcPr>
          <w:p>
            <w:pPr>
              <w:spacing w:after="0"/>
              <w:rPr>
                <w:sz w:val="18"/>
                <w:szCs w:val="18"/>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8"/>
                <w:szCs w:val="18"/>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63</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352</w:t>
            </w:r>
          </w:p>
        </w:tc>
        <w:tc>
          <w:tcPr>
            <w:tcW w:w="660" w:type="dxa"/>
            <w:vAlign w:val="bottom"/>
          </w:tcPr>
          <w:p>
            <w:pPr>
              <w:jc w:val="right"/>
              <w:spacing w:after="0"/>
              <w:rPr>
                <w:sz w:val="20"/>
                <w:szCs w:val="20"/>
                <w:color w:val="auto"/>
              </w:rPr>
            </w:pPr>
            <w:r>
              <w:rPr>
                <w:rFonts w:ascii="Arial" w:cs="Arial" w:eastAsia="Arial" w:hAnsi="Arial"/>
                <w:sz w:val="18"/>
                <w:szCs w:val="18"/>
                <w:color w:val="auto"/>
              </w:rPr>
              <w:t>324</w:t>
            </w:r>
          </w:p>
        </w:tc>
      </w:tr>
      <w:tr>
        <w:trPr>
          <w:trHeight w:val="216"/>
        </w:trPr>
        <w:tc>
          <w:tcPr>
            <w:tcW w:w="20" w:type="dxa"/>
            <w:vAlign w:val="bottom"/>
          </w:tcPr>
          <w:p>
            <w:pPr>
              <w:spacing w:after="0"/>
              <w:rPr>
                <w:sz w:val="18"/>
                <w:szCs w:val="18"/>
                <w:color w:val="auto"/>
              </w:rPr>
            </w:pPr>
          </w:p>
        </w:tc>
        <w:tc>
          <w:tcPr>
            <w:tcW w:w="578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Support Capital</w:t>
            </w:r>
          </w:p>
        </w:tc>
        <w:tc>
          <w:tcPr>
            <w:tcW w:w="4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190</w:t>
            </w:r>
          </w:p>
        </w:tc>
        <w:tc>
          <w:tcPr>
            <w:tcW w:w="2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144</w:t>
            </w:r>
          </w:p>
        </w:tc>
        <w:tc>
          <w:tcPr>
            <w:tcW w:w="84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rPr>
              <w:t>792</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529</w:t>
            </w:r>
          </w:p>
        </w:tc>
      </w:tr>
      <w:tr>
        <w:trPr>
          <w:trHeight w:val="210"/>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264</w:t>
            </w:r>
          </w:p>
        </w:tc>
        <w:tc>
          <w:tcPr>
            <w:tcW w:w="260" w:type="dxa"/>
            <w:vAlign w:val="bottom"/>
          </w:tcPr>
          <w:p>
            <w:pPr>
              <w:spacing w:after="0"/>
              <w:rPr>
                <w:sz w:val="18"/>
                <w:szCs w:val="18"/>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207</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1,144</w:t>
            </w:r>
          </w:p>
        </w:tc>
        <w:tc>
          <w:tcPr>
            <w:tcW w:w="660" w:type="dxa"/>
            <w:vAlign w:val="bottom"/>
          </w:tcPr>
          <w:p>
            <w:pPr>
              <w:jc w:val="right"/>
              <w:spacing w:after="0"/>
              <w:rPr>
                <w:sz w:val="20"/>
                <w:szCs w:val="20"/>
                <w:color w:val="auto"/>
              </w:rPr>
            </w:pPr>
            <w:r>
              <w:rPr>
                <w:rFonts w:ascii="Arial" w:cs="Arial" w:eastAsia="Arial" w:hAnsi="Arial"/>
                <w:sz w:val="18"/>
                <w:szCs w:val="18"/>
                <w:color w:val="auto"/>
              </w:rPr>
              <w:t>853</w:t>
            </w:r>
          </w:p>
        </w:tc>
      </w:tr>
      <w:tr>
        <w:trPr>
          <w:trHeight w:val="216"/>
        </w:trPr>
        <w:tc>
          <w:tcPr>
            <w:tcW w:w="20" w:type="dxa"/>
            <w:vAlign w:val="bottom"/>
          </w:tcPr>
          <w:p>
            <w:pPr>
              <w:spacing w:after="0"/>
              <w:rPr>
                <w:sz w:val="18"/>
                <w:szCs w:val="18"/>
                <w:color w:val="auto"/>
              </w:rPr>
            </w:pPr>
          </w:p>
        </w:tc>
        <w:tc>
          <w:tcPr>
            <w:tcW w:w="5780" w:type="dxa"/>
            <w:vAlign w:val="bottom"/>
            <w:shd w:val="clear" w:color="auto" w:fill="E5E5E5"/>
          </w:tcPr>
          <w:p>
            <w:pPr>
              <w:spacing w:after="0"/>
              <w:rPr>
                <w:sz w:val="20"/>
                <w:szCs w:val="20"/>
                <w:color w:val="auto"/>
              </w:rPr>
            </w:pPr>
            <w:r>
              <w:rPr>
                <w:rFonts w:ascii="Arial" w:cs="Arial" w:eastAsia="Arial" w:hAnsi="Arial"/>
                <w:sz w:val="18"/>
                <w:szCs w:val="18"/>
                <w:color w:val="auto"/>
              </w:rPr>
              <w:t>Upgrades</w:t>
            </w:r>
          </w:p>
        </w:tc>
        <w:tc>
          <w:tcPr>
            <w:tcW w:w="4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156</w:t>
            </w:r>
          </w:p>
        </w:tc>
        <w:tc>
          <w:tcPr>
            <w:tcW w:w="2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133</w:t>
            </w:r>
          </w:p>
        </w:tc>
        <w:tc>
          <w:tcPr>
            <w:tcW w:w="840" w:type="dxa"/>
            <w:vAlign w:val="bottom"/>
            <w:shd w:val="clear" w:color="auto" w:fill="E5E5E5"/>
          </w:tcPr>
          <w:p>
            <w:pPr>
              <w:jc w:val="right"/>
              <w:ind w:right="96"/>
              <w:spacing w:after="0"/>
              <w:rPr>
                <w:sz w:val="20"/>
                <w:szCs w:val="20"/>
                <w:color w:val="auto"/>
              </w:rPr>
            </w:pPr>
            <w:r>
              <w:rPr>
                <w:rFonts w:ascii="Arial" w:cs="Arial" w:eastAsia="Arial" w:hAnsi="Arial"/>
                <w:sz w:val="18"/>
                <w:szCs w:val="18"/>
                <w:color w:val="auto"/>
              </w:rPr>
              <w:t>520</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393</w:t>
            </w: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Commercial</w:t>
            </w:r>
          </w:p>
        </w:tc>
        <w:tc>
          <w:tcPr>
            <w:tcW w:w="4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70</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151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20" w:type="dxa"/>
            <w:vAlign w:val="bottom"/>
          </w:tcPr>
          <w:p>
            <w:pPr>
              <w:spacing w:after="0"/>
              <w:rPr>
                <w:sz w:val="18"/>
                <w:szCs w:val="18"/>
                <w:color w:val="auto"/>
              </w:rPr>
            </w:pPr>
          </w:p>
        </w:tc>
        <w:tc>
          <w:tcPr>
            <w:tcW w:w="57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84"/>
              </w:rPr>
              <w:t>1,474</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84"/>
              </w:rPr>
              <w:t>1,383</w:t>
            </w:r>
          </w:p>
        </w:tc>
        <w:tc>
          <w:tcPr>
            <w:tcW w:w="84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rPr>
              <w:t>$6,004</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$4,655</w:t>
            </w:r>
          </w:p>
        </w:tc>
      </w:tr>
    </w:tbl>
    <w:p>
      <w:pPr>
        <w:spacing w:after="0" w:line="73" w:lineRule="exact"/>
        <w:rPr>
          <w:sz w:val="20"/>
          <w:szCs w:val="20"/>
          <w:color w:val="auto"/>
        </w:rPr>
      </w:pPr>
    </w:p>
    <w:p>
      <w:pPr>
        <w:jc w:val="both"/>
        <w:ind w:left="460"/>
        <w:spacing w:after="0" w:line="254" w:lineRule="auto"/>
        <w:rPr>
          <w:sz w:val="20"/>
          <w:szCs w:val="20"/>
          <w:color w:val="auto"/>
        </w:rPr>
      </w:pPr>
      <w:r>
        <w:rPr>
          <w:rFonts w:ascii="Arial" w:cs="Arial" w:eastAsia="Arial" w:hAnsi="Arial"/>
          <w:sz w:val="18"/>
          <w:szCs w:val="18"/>
          <w:color w:val="auto"/>
        </w:rPr>
        <w:t>CPE includes costs incurred at the customer residence to secure new customers, revenue units and additional bandwidth revenues (e.g. digital converters). Scalable infrastructure includes costs, not CPE or network related, to secure growth of new customers, revenue units and additional bandwidth revenues or provide service enhancements (e.g. headend equipment). Line extensions include network costs associated with entering new service areas (e.g. fiber/coaxial cable). Support capital includes costs associated with the replacement or enhancement of non-network assets due to obsolescence and wear out (e.g. non-network equipment, land, buildings and vehicles). Upgrades include costs to enhance or replace existing fiber/coaxial cable networks, including recurring betterments.</w:t>
      </w:r>
    </w:p>
    <w:p>
      <w:pPr>
        <w:sectPr>
          <w:pgSz w:w="11900" w:h="16838" w:orient="portrait"/>
          <w:cols w:equalWidth="0" w:num="1">
            <w:col w:w="11420"/>
          </w:cols>
          <w:pgMar w:left="240" w:top="823" w:right="239"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823"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3073400</wp:posOffset>
            </wp:positionH>
            <wp:positionV relativeFrom="page">
              <wp:posOffset>183515</wp:posOffset>
            </wp:positionV>
            <wp:extent cx="1423670" cy="3600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423670" cy="360045"/>
                    </a:xfrm>
                    <a:prstGeom prst="rect">
                      <a:avLst/>
                    </a:prstGeom>
                    <a:noFill/>
                  </pic:spPr>
                </pic:pic>
              </a:graphicData>
            </a:graphic>
          </wp:anchor>
        </w:drawing>
        <w:t>TABLE 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 Forma Data – Cable Segment Components</w:t>
      </w:r>
    </w:p>
    <w:p>
      <w:pPr>
        <w:jc w:val="center"/>
        <w:spacing w:after="0"/>
        <w:rPr>
          <w:sz w:val="20"/>
          <w:szCs w:val="20"/>
          <w:color w:val="auto"/>
        </w:rPr>
      </w:pPr>
      <w:r>
        <w:rPr>
          <w:rFonts w:ascii="Arial" w:cs="Arial" w:eastAsia="Arial" w:hAnsi="Arial"/>
          <w:sz w:val="22"/>
          <w:szCs w:val="22"/>
          <w:b w:val="1"/>
          <w:bCs w:val="1"/>
          <w:color w:val="auto"/>
        </w:rPr>
        <w:t>(Unaudited) (1) (2)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840" w:type="dxa"/>
            <w:vAlign w:val="bottom"/>
            <w:gridSpan w:val="2"/>
          </w:tcPr>
          <w:p>
            <w:pPr>
              <w:jc w:val="right"/>
              <w:ind w:right="194"/>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4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87"/>
              </w:rPr>
              <w:t>Twelve Months Ended</w:t>
            </w:r>
          </w:p>
        </w:tc>
        <w:tc>
          <w:tcPr>
            <w:tcW w:w="0" w:type="dxa"/>
            <w:vAlign w:val="bottom"/>
          </w:tcPr>
          <w:p>
            <w:pPr>
              <w:spacing w:after="0"/>
              <w:rPr>
                <w:sz w:val="1"/>
                <w:szCs w:val="1"/>
                <w:color w:val="auto"/>
              </w:rPr>
            </w:pPr>
          </w:p>
        </w:tc>
      </w:tr>
      <w:tr>
        <w:trPr>
          <w:trHeight w:val="161"/>
        </w:trPr>
        <w:tc>
          <w:tcPr>
            <w:tcW w:w="792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 subscriber and per unit data)</w:t>
            </w:r>
          </w:p>
        </w:tc>
        <w:tc>
          <w:tcPr>
            <w:tcW w:w="1840" w:type="dxa"/>
            <w:vAlign w:val="bottom"/>
            <w:gridSpan w:val="2"/>
          </w:tcPr>
          <w:p>
            <w:pPr>
              <w:jc w:val="right"/>
              <w:ind w:right="414"/>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4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920" w:type="dxa"/>
            <w:vAlign w:val="bottom"/>
            <w:gridSpan w:val="2"/>
            <w:vMerge w:val="continue"/>
          </w:tcPr>
          <w:p>
            <w:pPr>
              <w:spacing w:after="0"/>
              <w:rPr>
                <w:sz w:val="12"/>
                <w:szCs w:val="12"/>
                <w:color w:val="auto"/>
              </w:rPr>
            </w:pPr>
          </w:p>
        </w:tc>
        <w:tc>
          <w:tcPr>
            <w:tcW w:w="940" w:type="dxa"/>
            <w:vAlign w:val="bottom"/>
            <w:tcBorders>
              <w:top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2007</w:t>
            </w:r>
          </w:p>
        </w:tc>
        <w:tc>
          <w:tcPr>
            <w:tcW w:w="90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2006</w:t>
            </w: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w w:val="96"/>
              </w:rPr>
              <w:t>2007</w:t>
            </w:r>
          </w:p>
        </w:tc>
        <w:tc>
          <w:tcPr>
            <w:tcW w:w="2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Revenues:</w:t>
            </w:r>
          </w:p>
        </w:tc>
        <w:tc>
          <w:tcPr>
            <w:tcW w:w="94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Video (3)</w:t>
            </w:r>
          </w:p>
        </w:tc>
        <w:tc>
          <w:tcPr>
            <w:tcW w:w="940" w:type="dxa"/>
            <w:vAlign w:val="bottom"/>
          </w:tcPr>
          <w:p>
            <w:pPr>
              <w:jc w:val="right"/>
              <w:ind w:right="77"/>
              <w:spacing w:after="0"/>
              <w:rPr>
                <w:sz w:val="20"/>
                <w:szCs w:val="20"/>
                <w:color w:val="auto"/>
              </w:rPr>
            </w:pPr>
            <w:r>
              <w:rPr>
                <w:rFonts w:ascii="Arial" w:cs="Arial" w:eastAsia="Arial" w:hAnsi="Arial"/>
                <w:sz w:val="18"/>
                <w:szCs w:val="18"/>
                <w:color w:val="auto"/>
              </w:rPr>
              <w:t>$ 4,464</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$ 4,222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6"/>
              <w:spacing w:after="0"/>
              <w:rPr>
                <w:sz w:val="20"/>
                <w:szCs w:val="20"/>
                <w:color w:val="auto"/>
              </w:rPr>
            </w:pPr>
            <w:r>
              <w:rPr>
                <w:rFonts w:ascii="Arial" w:cs="Arial" w:eastAsia="Arial" w:hAnsi="Arial"/>
                <w:sz w:val="18"/>
                <w:szCs w:val="18"/>
                <w:color w:val="auto"/>
                <w:w w:val="83"/>
              </w:rPr>
              <w:t>17,733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High-speed Internet</w:t>
            </w:r>
          </w:p>
        </w:tc>
        <w:tc>
          <w:tcPr>
            <w:tcW w:w="94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1,662</w:t>
            </w:r>
          </w:p>
        </w:tc>
        <w:tc>
          <w:tcPr>
            <w:tcW w:w="90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1,453</w:t>
            </w:r>
          </w:p>
        </w:tc>
        <w:tc>
          <w:tcPr>
            <w:tcW w:w="2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6"/>
              <w:spacing w:after="0"/>
              <w:rPr>
                <w:sz w:val="20"/>
                <w:szCs w:val="20"/>
                <w:color w:val="auto"/>
              </w:rPr>
            </w:pPr>
            <w:r>
              <w:rPr>
                <w:rFonts w:ascii="Arial" w:cs="Arial" w:eastAsia="Arial" w:hAnsi="Arial"/>
                <w:sz w:val="18"/>
                <w:szCs w:val="18"/>
                <w:color w:val="auto"/>
              </w:rPr>
              <w:t>6,421</w:t>
            </w:r>
          </w:p>
        </w:tc>
        <w:tc>
          <w:tcPr>
            <w:tcW w:w="26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5,444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Phone</w:t>
            </w:r>
          </w:p>
        </w:tc>
        <w:tc>
          <w:tcPr>
            <w:tcW w:w="940" w:type="dxa"/>
            <w:vAlign w:val="bottom"/>
          </w:tcPr>
          <w:p>
            <w:pPr>
              <w:jc w:val="right"/>
              <w:ind w:right="77"/>
              <w:spacing w:after="0"/>
              <w:rPr>
                <w:sz w:val="20"/>
                <w:szCs w:val="20"/>
                <w:color w:val="auto"/>
              </w:rPr>
            </w:pPr>
            <w:r>
              <w:rPr>
                <w:rFonts w:ascii="Arial" w:cs="Arial" w:eastAsia="Arial" w:hAnsi="Arial"/>
                <w:sz w:val="18"/>
                <w:szCs w:val="18"/>
                <w:color w:val="auto"/>
              </w:rPr>
              <w:t>523</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303</w:t>
            </w:r>
          </w:p>
        </w:tc>
        <w:tc>
          <w:tcPr>
            <w:tcW w:w="260" w:type="dxa"/>
            <w:vAlign w:val="bottom"/>
          </w:tcPr>
          <w:p>
            <w:pPr>
              <w:spacing w:after="0"/>
              <w:rPr>
                <w:sz w:val="18"/>
                <w:szCs w:val="18"/>
                <w:color w:val="auto"/>
              </w:rPr>
            </w:pPr>
          </w:p>
        </w:tc>
        <w:tc>
          <w:tcPr>
            <w:tcW w:w="660" w:type="dxa"/>
            <w:vAlign w:val="bottom"/>
          </w:tcPr>
          <w:p>
            <w:pPr>
              <w:jc w:val="right"/>
              <w:ind w:right="96"/>
              <w:spacing w:after="0"/>
              <w:rPr>
                <w:sz w:val="20"/>
                <w:szCs w:val="20"/>
                <w:color w:val="auto"/>
              </w:rPr>
            </w:pPr>
            <w:r>
              <w:rPr>
                <w:rFonts w:ascii="Arial" w:cs="Arial" w:eastAsia="Arial" w:hAnsi="Arial"/>
                <w:sz w:val="18"/>
                <w:szCs w:val="18"/>
                <w:color w:val="auto"/>
              </w:rPr>
              <w:t>1,770</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w:t>
            </w:r>
          </w:p>
        </w:tc>
        <w:tc>
          <w:tcPr>
            <w:tcW w:w="94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418</w:t>
            </w:r>
          </w:p>
        </w:tc>
        <w:tc>
          <w:tcPr>
            <w:tcW w:w="90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477</w:t>
            </w:r>
          </w:p>
        </w:tc>
        <w:tc>
          <w:tcPr>
            <w:tcW w:w="2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6"/>
              <w:spacing w:after="0"/>
              <w:rPr>
                <w:sz w:val="20"/>
                <w:szCs w:val="20"/>
                <w:color w:val="auto"/>
              </w:rPr>
            </w:pPr>
            <w:r>
              <w:rPr>
                <w:rFonts w:ascii="Arial" w:cs="Arial" w:eastAsia="Arial" w:hAnsi="Arial"/>
                <w:sz w:val="18"/>
                <w:szCs w:val="18"/>
                <w:color w:val="auto"/>
              </w:rPr>
              <w:t>1,539</w:t>
            </w:r>
          </w:p>
        </w:tc>
        <w:tc>
          <w:tcPr>
            <w:tcW w:w="26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Other (4)</w:t>
            </w:r>
          </w:p>
        </w:tc>
        <w:tc>
          <w:tcPr>
            <w:tcW w:w="940" w:type="dxa"/>
            <w:vAlign w:val="bottom"/>
          </w:tcPr>
          <w:p>
            <w:pPr>
              <w:jc w:val="right"/>
              <w:ind w:right="77"/>
              <w:spacing w:after="0"/>
              <w:rPr>
                <w:sz w:val="20"/>
                <w:szCs w:val="20"/>
                <w:color w:val="auto"/>
              </w:rPr>
            </w:pPr>
            <w:r>
              <w:rPr>
                <w:rFonts w:ascii="Arial" w:cs="Arial" w:eastAsia="Arial" w:hAnsi="Arial"/>
                <w:sz w:val="18"/>
                <w:szCs w:val="18"/>
                <w:color w:val="auto"/>
              </w:rPr>
              <w:t>300</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274</w:t>
            </w:r>
          </w:p>
        </w:tc>
        <w:tc>
          <w:tcPr>
            <w:tcW w:w="260" w:type="dxa"/>
            <w:vAlign w:val="bottom"/>
          </w:tcPr>
          <w:p>
            <w:pPr>
              <w:spacing w:after="0"/>
              <w:rPr>
                <w:sz w:val="18"/>
                <w:szCs w:val="18"/>
                <w:color w:val="auto"/>
              </w:rPr>
            </w:pPr>
          </w:p>
        </w:tc>
        <w:tc>
          <w:tcPr>
            <w:tcW w:w="660" w:type="dxa"/>
            <w:vAlign w:val="bottom"/>
          </w:tcPr>
          <w:p>
            <w:pPr>
              <w:jc w:val="right"/>
              <w:ind w:right="96"/>
              <w:spacing w:after="0"/>
              <w:rPr>
                <w:sz w:val="20"/>
                <w:szCs w:val="20"/>
                <w:color w:val="auto"/>
              </w:rPr>
            </w:pPr>
            <w:r>
              <w:rPr>
                <w:rFonts w:ascii="Arial" w:cs="Arial" w:eastAsia="Arial" w:hAnsi="Arial"/>
                <w:sz w:val="18"/>
                <w:szCs w:val="18"/>
                <w:color w:val="auto"/>
              </w:rPr>
              <w:t>1,143</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Franchise fees</w:t>
            </w:r>
          </w:p>
        </w:tc>
        <w:tc>
          <w:tcPr>
            <w:tcW w:w="94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211</w:t>
            </w:r>
          </w:p>
        </w:tc>
        <w:tc>
          <w:tcPr>
            <w:tcW w:w="90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198</w:t>
            </w:r>
          </w:p>
        </w:tc>
        <w:tc>
          <w:tcPr>
            <w:tcW w:w="2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6"/>
              <w:spacing w:after="0"/>
              <w:rPr>
                <w:sz w:val="20"/>
                <w:szCs w:val="20"/>
                <w:color w:val="auto"/>
              </w:rPr>
            </w:pPr>
            <w:r>
              <w:rPr>
                <w:rFonts w:ascii="Arial" w:cs="Arial" w:eastAsia="Arial" w:hAnsi="Arial"/>
                <w:sz w:val="18"/>
                <w:szCs w:val="18"/>
                <w:color w:val="auto"/>
              </w:rPr>
              <w:t>828</w:t>
            </w:r>
          </w:p>
        </w:tc>
        <w:tc>
          <w:tcPr>
            <w:tcW w:w="26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Total Revenues</w:t>
            </w:r>
          </w:p>
        </w:tc>
        <w:tc>
          <w:tcPr>
            <w:tcW w:w="940" w:type="dxa"/>
            <w:vAlign w:val="bottom"/>
          </w:tcPr>
          <w:p>
            <w:pPr>
              <w:jc w:val="right"/>
              <w:ind w:right="77"/>
              <w:spacing w:after="0"/>
              <w:rPr>
                <w:sz w:val="20"/>
                <w:szCs w:val="20"/>
                <w:color w:val="auto"/>
              </w:rPr>
            </w:pPr>
            <w:r>
              <w:rPr>
                <w:rFonts w:ascii="Arial" w:cs="Arial" w:eastAsia="Arial" w:hAnsi="Arial"/>
                <w:sz w:val="18"/>
                <w:szCs w:val="18"/>
                <w:color w:val="auto"/>
              </w:rPr>
              <w:t>$ 7,578</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$ 6,927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6"/>
              <w:spacing w:after="0"/>
              <w:rPr>
                <w:sz w:val="20"/>
                <w:szCs w:val="20"/>
                <w:color w:val="auto"/>
              </w:rPr>
            </w:pPr>
            <w:r>
              <w:rPr>
                <w:rFonts w:ascii="Arial" w:cs="Arial" w:eastAsia="Arial" w:hAnsi="Arial"/>
                <w:sz w:val="18"/>
                <w:szCs w:val="18"/>
                <w:color w:val="auto"/>
                <w:w w:val="83"/>
              </w:rPr>
              <w:t>29,434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26,482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00" w:type="dxa"/>
            <w:vAlign w:val="bottom"/>
          </w:tcPr>
          <w:p>
            <w:pPr>
              <w:spacing w:after="0"/>
              <w:rPr>
                <w:sz w:val="8"/>
                <w:szCs w:val="8"/>
                <w:color w:val="auto"/>
              </w:rPr>
            </w:pP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E5E5E5"/>
          </w:tcPr>
          <w:p>
            <w:pPr>
              <w:spacing w:after="0"/>
              <w:rPr>
                <w:sz w:val="20"/>
                <w:szCs w:val="20"/>
                <w:color w:val="auto"/>
              </w:rPr>
            </w:pPr>
            <w:r>
              <w:rPr>
                <w:rFonts w:ascii="Arial" w:cs="Arial" w:eastAsia="Arial" w:hAnsi="Arial"/>
                <w:sz w:val="18"/>
                <w:szCs w:val="18"/>
                <w:color w:val="auto"/>
              </w:rPr>
              <w:t>Programming Expense</w:t>
            </w:r>
          </w:p>
        </w:tc>
        <w:tc>
          <w:tcPr>
            <w:tcW w:w="94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96"/>
              <w:spacing w:after="0"/>
              <w:rPr>
                <w:sz w:val="20"/>
                <w:szCs w:val="20"/>
                <w:color w:val="auto"/>
              </w:rPr>
            </w:pPr>
            <w:r>
              <w:rPr>
                <w:rFonts w:ascii="Arial" w:cs="Arial" w:eastAsia="Arial" w:hAnsi="Arial"/>
                <w:sz w:val="18"/>
                <w:szCs w:val="18"/>
                <w:color w:val="auto"/>
              </w:rPr>
              <w:t>5,832</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5,443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920" w:type="dxa"/>
            <w:vAlign w:val="bottom"/>
            <w:gridSpan w:val="2"/>
          </w:tcPr>
          <w:p>
            <w:pPr>
              <w:spacing w:after="0"/>
              <w:rPr>
                <w:sz w:val="20"/>
                <w:szCs w:val="20"/>
                <w:color w:val="auto"/>
              </w:rPr>
            </w:pPr>
            <w:r>
              <w:rPr>
                <w:rFonts w:ascii="Arial" w:cs="Arial" w:eastAsia="Arial" w:hAnsi="Arial"/>
                <w:sz w:val="18"/>
                <w:szCs w:val="18"/>
                <w:color w:val="auto"/>
              </w:rPr>
              <w:t>Operating Cash Flow</w:t>
            </w:r>
          </w:p>
        </w:tc>
        <w:tc>
          <w:tcPr>
            <w:tcW w:w="940" w:type="dxa"/>
            <w:vAlign w:val="bottom"/>
          </w:tcPr>
          <w:p>
            <w:pPr>
              <w:jc w:val="right"/>
              <w:ind w:right="77"/>
              <w:spacing w:after="0"/>
              <w:rPr>
                <w:sz w:val="20"/>
                <w:szCs w:val="20"/>
                <w:color w:val="auto"/>
              </w:rPr>
            </w:pPr>
            <w:r>
              <w:rPr>
                <w:rFonts w:ascii="Arial" w:cs="Arial" w:eastAsia="Arial" w:hAnsi="Arial"/>
                <w:sz w:val="18"/>
                <w:szCs w:val="18"/>
                <w:color w:val="auto"/>
              </w:rPr>
              <w:t>$ 3,124</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$ 2,755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6"/>
              <w:spacing w:after="0"/>
              <w:rPr>
                <w:sz w:val="20"/>
                <w:szCs w:val="20"/>
                <w:color w:val="auto"/>
              </w:rPr>
            </w:pPr>
            <w:r>
              <w:rPr>
                <w:rFonts w:ascii="Arial" w:cs="Arial" w:eastAsia="Arial" w:hAnsi="Arial"/>
                <w:sz w:val="18"/>
                <w:szCs w:val="18"/>
                <w:color w:val="auto"/>
                <w:w w:val="83"/>
              </w:rPr>
              <w:t>11,976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10,555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0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w:t>
            </w:r>
          </w:p>
        </w:tc>
        <w:tc>
          <w:tcPr>
            <w:tcW w:w="94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$ 1,583</w:t>
            </w:r>
          </w:p>
        </w:tc>
        <w:tc>
          <w:tcPr>
            <w:tcW w:w="90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$ 1,353</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96"/>
              <w:spacing w:after="0"/>
              <w:rPr>
                <w:sz w:val="20"/>
                <w:szCs w:val="20"/>
                <w:color w:val="auto"/>
              </w:rPr>
            </w:pPr>
            <w:r>
              <w:rPr>
                <w:rFonts w:ascii="Arial" w:cs="Arial" w:eastAsia="Arial" w:hAnsi="Arial"/>
                <w:sz w:val="18"/>
                <w:szCs w:val="18"/>
                <w:color w:val="auto"/>
              </w:rPr>
              <w:t>6,022</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Operating Cash Flow Margin</w:t>
            </w:r>
          </w:p>
        </w:tc>
        <w:tc>
          <w:tcPr>
            <w:tcW w:w="940" w:type="dxa"/>
            <w:vAlign w:val="bottom"/>
          </w:tcPr>
          <w:p>
            <w:pPr>
              <w:jc w:val="right"/>
              <w:ind w:right="77"/>
              <w:spacing w:after="0"/>
              <w:rPr>
                <w:sz w:val="20"/>
                <w:szCs w:val="20"/>
                <w:color w:val="auto"/>
              </w:rPr>
            </w:pPr>
            <w:r>
              <w:rPr>
                <w:rFonts w:ascii="Arial" w:cs="Arial" w:eastAsia="Arial" w:hAnsi="Arial"/>
                <w:sz w:val="18"/>
                <w:szCs w:val="18"/>
                <w:color w:val="auto"/>
              </w:rPr>
              <w:t>41.2%</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39.8%</w:t>
            </w:r>
          </w:p>
        </w:tc>
        <w:tc>
          <w:tcPr>
            <w:tcW w:w="260" w:type="dxa"/>
            <w:vAlign w:val="bottom"/>
          </w:tcPr>
          <w:p>
            <w:pPr>
              <w:spacing w:after="0"/>
              <w:rPr>
                <w:sz w:val="18"/>
                <w:szCs w:val="18"/>
                <w:color w:val="auto"/>
              </w:rPr>
            </w:pPr>
          </w:p>
        </w:tc>
        <w:tc>
          <w:tcPr>
            <w:tcW w:w="660" w:type="dxa"/>
            <w:vAlign w:val="bottom"/>
          </w:tcPr>
          <w:p>
            <w:pPr>
              <w:jc w:val="right"/>
              <w:ind w:right="96"/>
              <w:spacing w:after="0"/>
              <w:rPr>
                <w:sz w:val="20"/>
                <w:szCs w:val="20"/>
                <w:color w:val="auto"/>
              </w:rPr>
            </w:pPr>
            <w:r>
              <w:rPr>
                <w:rFonts w:ascii="Arial" w:cs="Arial" w:eastAsia="Arial" w:hAnsi="Arial"/>
                <w:sz w:val="18"/>
                <w:szCs w:val="18"/>
                <w:color w:val="auto"/>
                <w:w w:val="90"/>
              </w:rPr>
              <w:t>40.7%</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0"/>
              </w:rPr>
              <w:t>39.9%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E5E5E5"/>
          </w:tcPr>
          <w:p>
            <w:pPr>
              <w:spacing w:after="0"/>
              <w:rPr>
                <w:sz w:val="20"/>
                <w:szCs w:val="20"/>
                <w:color w:val="auto"/>
              </w:rPr>
            </w:pPr>
            <w:r>
              <w:rPr>
                <w:rFonts w:ascii="Arial" w:cs="Arial" w:eastAsia="Arial" w:hAnsi="Arial"/>
                <w:sz w:val="18"/>
                <w:szCs w:val="18"/>
                <w:color w:val="auto"/>
              </w:rPr>
              <w:t>Capital Expenditures</w:t>
            </w:r>
          </w:p>
        </w:tc>
        <w:tc>
          <w:tcPr>
            <w:tcW w:w="94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$ 1,474</w:t>
            </w:r>
          </w:p>
        </w:tc>
        <w:tc>
          <w:tcPr>
            <w:tcW w:w="90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$ 1,383</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96"/>
              <w:spacing w:after="0"/>
              <w:rPr>
                <w:sz w:val="20"/>
                <w:szCs w:val="20"/>
                <w:color w:val="auto"/>
              </w:rPr>
            </w:pPr>
            <w:r>
              <w:rPr>
                <w:rFonts w:ascii="Arial" w:cs="Arial" w:eastAsia="Arial" w:hAnsi="Arial"/>
                <w:sz w:val="18"/>
                <w:szCs w:val="18"/>
                <w:color w:val="auto"/>
              </w:rPr>
              <w:t>6,004</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99"/>
              </w:rPr>
              <w:t>4Q07</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93"/>
              </w:rPr>
              <w:t>3Q07</w:t>
            </w: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9"/>
              </w:rPr>
              <w:t>4Q06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Video</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Homes Passed (000’s)</w:t>
            </w:r>
          </w:p>
        </w:tc>
        <w:tc>
          <w:tcPr>
            <w:tcW w:w="420" w:type="dxa"/>
            <w:vAlign w:val="bottom"/>
          </w:tcPr>
          <w:p>
            <w:pPr>
              <w:spacing w:after="0"/>
              <w:rPr>
                <w:sz w:val="18"/>
                <w:szCs w:val="18"/>
                <w:color w:val="auto"/>
              </w:rPr>
            </w:pPr>
          </w:p>
        </w:tc>
        <w:tc>
          <w:tcPr>
            <w:tcW w:w="820" w:type="dxa"/>
            <w:vAlign w:val="bottom"/>
          </w:tcPr>
          <w:p>
            <w:pPr>
              <w:jc w:val="right"/>
              <w:ind w:right="233"/>
              <w:spacing w:after="0"/>
              <w:rPr>
                <w:sz w:val="20"/>
                <w:szCs w:val="20"/>
                <w:color w:val="auto"/>
              </w:rPr>
            </w:pPr>
            <w:r>
              <w:rPr>
                <w:rFonts w:ascii="Arial" w:cs="Arial" w:eastAsia="Arial" w:hAnsi="Arial"/>
                <w:sz w:val="18"/>
                <w:szCs w:val="18"/>
                <w:color w:val="auto"/>
                <w:w w:val="87"/>
              </w:rPr>
              <w:t>48,500</w:t>
            </w:r>
          </w:p>
        </w:tc>
        <w:tc>
          <w:tcPr>
            <w:tcW w:w="26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w w:val="83"/>
              </w:rPr>
              <w:t>48,250</w:t>
            </w:r>
          </w:p>
        </w:tc>
        <w:tc>
          <w:tcPr>
            <w:tcW w:w="26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w w:val="87"/>
              </w:rPr>
              <w:t>47,500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E5E5E5"/>
          </w:tcPr>
          <w:p>
            <w:pPr>
              <w:spacing w:after="0"/>
              <w:rPr>
                <w:sz w:val="20"/>
                <w:szCs w:val="20"/>
                <w:color w:val="auto"/>
              </w:rPr>
            </w:pPr>
            <w:r>
              <w:rPr>
                <w:rFonts w:ascii="Arial" w:cs="Arial" w:eastAsia="Arial" w:hAnsi="Arial"/>
                <w:sz w:val="18"/>
                <w:szCs w:val="18"/>
                <w:color w:val="auto"/>
              </w:rPr>
              <w:t>Basic Subscribers (000’s)</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w w:val="87"/>
              </w:rPr>
              <w:t>24,063</w:t>
            </w:r>
          </w:p>
        </w:tc>
        <w:tc>
          <w:tcPr>
            <w:tcW w:w="2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w w:val="83"/>
              </w:rPr>
              <w:t>24,156</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7"/>
              </w:rPr>
              <w:t>24,243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Basic Penetration</w:t>
            </w:r>
          </w:p>
        </w:tc>
        <w:tc>
          <w:tcPr>
            <w:tcW w:w="420" w:type="dxa"/>
            <w:vAlign w:val="bottom"/>
          </w:tcPr>
          <w:p>
            <w:pPr>
              <w:spacing w:after="0"/>
              <w:rPr>
                <w:sz w:val="18"/>
                <w:szCs w:val="18"/>
                <w:color w:val="auto"/>
              </w:rPr>
            </w:pP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49.6%</w:t>
            </w:r>
          </w:p>
        </w:tc>
        <w:tc>
          <w:tcPr>
            <w:tcW w:w="26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50.1%</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E5E5E5"/>
          </w:tcPr>
          <w:p>
            <w:pPr>
              <w:spacing w:after="0"/>
              <w:rPr>
                <w:sz w:val="20"/>
                <w:szCs w:val="20"/>
                <w:color w:val="auto"/>
              </w:rPr>
            </w:pPr>
            <w:r>
              <w:rPr>
                <w:rFonts w:ascii="Arial" w:cs="Arial" w:eastAsia="Arial" w:hAnsi="Arial"/>
                <w:sz w:val="18"/>
                <w:szCs w:val="18"/>
                <w:color w:val="auto"/>
              </w:rPr>
              <w:t>Quarterly Net Basic Subscriber Additions (000’s)</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(94)</w:t>
            </w:r>
          </w:p>
        </w:tc>
        <w:tc>
          <w:tcPr>
            <w:tcW w:w="2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(65)</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322"/>
        </w:trPr>
        <w:tc>
          <w:tcPr>
            <w:tcW w:w="5940" w:type="dxa"/>
            <w:vAlign w:val="bottom"/>
            <w:gridSpan w:val="2"/>
          </w:tcPr>
          <w:p>
            <w:pPr>
              <w:spacing w:after="0"/>
              <w:rPr>
                <w:sz w:val="20"/>
                <w:szCs w:val="20"/>
                <w:color w:val="auto"/>
              </w:rPr>
            </w:pPr>
            <w:r>
              <w:rPr>
                <w:rFonts w:ascii="Arial" w:cs="Arial" w:eastAsia="Arial" w:hAnsi="Arial"/>
                <w:sz w:val="18"/>
                <w:szCs w:val="18"/>
                <w:color w:val="auto"/>
              </w:rPr>
              <w:t>Digital Subscribers (000’s)</w:t>
            </w:r>
          </w:p>
        </w:tc>
        <w:tc>
          <w:tcPr>
            <w:tcW w:w="420" w:type="dxa"/>
            <w:vAlign w:val="bottom"/>
          </w:tcPr>
          <w:p>
            <w:pPr>
              <w:spacing w:after="0"/>
              <w:rPr>
                <w:sz w:val="24"/>
                <w:szCs w:val="24"/>
                <w:color w:val="auto"/>
              </w:rPr>
            </w:pPr>
          </w:p>
        </w:tc>
        <w:tc>
          <w:tcPr>
            <w:tcW w:w="820" w:type="dxa"/>
            <w:vAlign w:val="bottom"/>
          </w:tcPr>
          <w:p>
            <w:pPr>
              <w:jc w:val="right"/>
              <w:ind w:right="233"/>
              <w:spacing w:after="0"/>
              <w:rPr>
                <w:sz w:val="20"/>
                <w:szCs w:val="20"/>
                <w:color w:val="auto"/>
              </w:rPr>
            </w:pPr>
            <w:r>
              <w:rPr>
                <w:rFonts w:ascii="Arial" w:cs="Arial" w:eastAsia="Arial" w:hAnsi="Arial"/>
                <w:sz w:val="18"/>
                <w:szCs w:val="18"/>
                <w:color w:val="auto"/>
                <w:w w:val="87"/>
              </w:rPr>
              <w:t>15,192</w:t>
            </w:r>
          </w:p>
        </w:tc>
        <w:tc>
          <w:tcPr>
            <w:tcW w:w="260" w:type="dxa"/>
            <w:vAlign w:val="bottom"/>
          </w:tcPr>
          <w:p>
            <w:pPr>
              <w:spacing w:after="0"/>
              <w:rPr>
                <w:sz w:val="24"/>
                <w:szCs w:val="24"/>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w w:val="83"/>
              </w:rPr>
              <w:t>14,669</w:t>
            </w:r>
          </w:p>
        </w:tc>
        <w:tc>
          <w:tcPr>
            <w:tcW w:w="260" w:type="dxa"/>
            <w:vAlign w:val="bottom"/>
          </w:tcPr>
          <w:p>
            <w:pPr>
              <w:spacing w:after="0"/>
              <w:rPr>
                <w:sz w:val="24"/>
                <w:szCs w:val="24"/>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w w:val="87"/>
              </w:rPr>
              <w:t>12,711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20" w:type="dxa"/>
            <w:vAlign w:val="bottom"/>
            <w:shd w:val="clear" w:color="auto" w:fill="E5E5E5"/>
          </w:tcPr>
          <w:p>
            <w:pPr>
              <w:spacing w:after="0"/>
              <w:rPr>
                <w:sz w:val="20"/>
                <w:szCs w:val="20"/>
                <w:color w:val="auto"/>
              </w:rPr>
            </w:pPr>
            <w:r>
              <w:rPr>
                <w:rFonts w:ascii="Arial" w:cs="Arial" w:eastAsia="Arial" w:hAnsi="Arial"/>
                <w:sz w:val="18"/>
                <w:szCs w:val="18"/>
                <w:color w:val="auto"/>
              </w:rPr>
              <w:t>Digital Penetration</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63.1%</w:t>
            </w:r>
          </w:p>
        </w:tc>
        <w:tc>
          <w:tcPr>
            <w:tcW w:w="2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60.7%</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Quarterly Net Digital Subscriber Additions (000’s)</w:t>
            </w:r>
          </w:p>
        </w:tc>
        <w:tc>
          <w:tcPr>
            <w:tcW w:w="420" w:type="dxa"/>
            <w:vAlign w:val="bottom"/>
          </w:tcPr>
          <w:p>
            <w:pPr>
              <w:spacing w:after="0"/>
              <w:rPr>
                <w:sz w:val="18"/>
                <w:szCs w:val="18"/>
                <w:color w:val="auto"/>
              </w:rPr>
            </w:pPr>
          </w:p>
        </w:tc>
        <w:tc>
          <w:tcPr>
            <w:tcW w:w="820" w:type="dxa"/>
            <w:vAlign w:val="bottom"/>
          </w:tcPr>
          <w:p>
            <w:pPr>
              <w:jc w:val="right"/>
              <w:ind w:right="233"/>
              <w:spacing w:after="0"/>
              <w:rPr>
                <w:sz w:val="20"/>
                <w:szCs w:val="20"/>
                <w:color w:val="auto"/>
              </w:rPr>
            </w:pPr>
            <w:r>
              <w:rPr>
                <w:rFonts w:ascii="Arial" w:cs="Arial" w:eastAsia="Arial" w:hAnsi="Arial"/>
                <w:sz w:val="18"/>
                <w:szCs w:val="18"/>
                <w:color w:val="auto"/>
              </w:rPr>
              <w:t>523</w:t>
            </w:r>
          </w:p>
        </w:tc>
        <w:tc>
          <w:tcPr>
            <w:tcW w:w="26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489</w:t>
            </w:r>
          </w:p>
        </w:tc>
        <w:tc>
          <w:tcPr>
            <w:tcW w:w="26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E5E5E5"/>
          </w:tcPr>
          <w:p>
            <w:pPr>
              <w:spacing w:after="0"/>
              <w:rPr>
                <w:sz w:val="20"/>
                <w:szCs w:val="20"/>
                <w:color w:val="auto"/>
              </w:rPr>
            </w:pPr>
            <w:r>
              <w:rPr>
                <w:rFonts w:ascii="Arial" w:cs="Arial" w:eastAsia="Arial" w:hAnsi="Arial"/>
                <w:sz w:val="18"/>
                <w:szCs w:val="18"/>
                <w:color w:val="auto"/>
              </w:rPr>
              <w:t>Digital Set-Top Boxes</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w w:val="87"/>
              </w:rPr>
              <w:t>24,557</w:t>
            </w:r>
          </w:p>
        </w:tc>
        <w:tc>
          <w:tcPr>
            <w:tcW w:w="2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w w:val="83"/>
              </w:rPr>
              <w:t>23,704</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7"/>
              </w:rPr>
              <w:t>19,577</w:t>
            </w:r>
          </w:p>
        </w:tc>
        <w:tc>
          <w:tcPr>
            <w:tcW w:w="0" w:type="dxa"/>
            <w:vAlign w:val="bottom"/>
          </w:tcPr>
          <w:p>
            <w:pPr>
              <w:spacing w:after="0"/>
              <w:rPr>
                <w:sz w:val="1"/>
                <w:szCs w:val="1"/>
                <w:color w:val="auto"/>
              </w:rPr>
            </w:pPr>
          </w:p>
        </w:tc>
      </w:tr>
      <w:tr>
        <w:trPr>
          <w:trHeight w:val="322"/>
        </w:trPr>
        <w:tc>
          <w:tcPr>
            <w:tcW w:w="5940" w:type="dxa"/>
            <w:vAlign w:val="bottom"/>
            <w:gridSpan w:val="2"/>
          </w:tcPr>
          <w:p>
            <w:pPr>
              <w:spacing w:after="0"/>
              <w:rPr>
                <w:sz w:val="20"/>
                <w:szCs w:val="20"/>
                <w:color w:val="auto"/>
              </w:rPr>
            </w:pPr>
            <w:r>
              <w:rPr>
                <w:rFonts w:ascii="Arial" w:cs="Arial" w:eastAsia="Arial" w:hAnsi="Arial"/>
                <w:sz w:val="18"/>
                <w:szCs w:val="18"/>
                <w:color w:val="auto"/>
              </w:rPr>
              <w:t>Monthly Average Video Revenue per Basic Subscriber</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3"/>
              <w:spacing w:after="0"/>
              <w:rPr>
                <w:sz w:val="20"/>
                <w:szCs w:val="20"/>
                <w:color w:val="auto"/>
              </w:rPr>
            </w:pPr>
            <w:r>
              <w:rPr>
                <w:rFonts w:ascii="Arial" w:cs="Arial" w:eastAsia="Arial" w:hAnsi="Arial"/>
                <w:sz w:val="18"/>
                <w:szCs w:val="18"/>
                <w:color w:val="auto"/>
              </w:rPr>
              <w:t>61.72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60.72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58.19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20" w:type="dxa"/>
            <w:vAlign w:val="bottom"/>
            <w:shd w:val="clear" w:color="auto" w:fill="E5E5E5"/>
          </w:tcPr>
          <w:p>
            <w:pPr>
              <w:spacing w:after="0"/>
              <w:rPr>
                <w:sz w:val="20"/>
                <w:szCs w:val="20"/>
                <w:color w:val="auto"/>
              </w:rPr>
            </w:pPr>
            <w:r>
              <w:rPr>
                <w:rFonts w:ascii="Arial" w:cs="Arial" w:eastAsia="Arial" w:hAnsi="Arial"/>
                <w:sz w:val="18"/>
                <w:szCs w:val="18"/>
                <w:color w:val="auto"/>
              </w:rPr>
              <w:t>Monthly Average Total Revenue per Basic Subscriber</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w w:val="87"/>
              </w:rPr>
              <w:t>104.77</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w w:val="83"/>
              </w:rPr>
              <w:t>102.24</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95.47</w:t>
            </w:r>
          </w:p>
        </w:tc>
        <w:tc>
          <w:tcPr>
            <w:tcW w:w="0" w:type="dxa"/>
            <w:vAlign w:val="bottom"/>
          </w:tcPr>
          <w:p>
            <w:pPr>
              <w:spacing w:after="0"/>
              <w:rPr>
                <w:sz w:val="1"/>
                <w:szCs w:val="1"/>
                <w:color w:val="auto"/>
              </w:rPr>
            </w:pPr>
          </w:p>
        </w:tc>
      </w:tr>
      <w:tr>
        <w:trPr>
          <w:trHeight w:val="322"/>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High-Speed Internet</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20" w:type="dxa"/>
            <w:vAlign w:val="bottom"/>
            <w:shd w:val="clear" w:color="auto" w:fill="E5E5E5"/>
          </w:tcPr>
          <w:p>
            <w:pPr>
              <w:spacing w:after="0"/>
              <w:rPr>
                <w:sz w:val="20"/>
                <w:szCs w:val="20"/>
                <w:color w:val="auto"/>
              </w:rPr>
            </w:pPr>
            <w:r>
              <w:rPr>
                <w:rFonts w:ascii="Arial" w:cs="Arial" w:eastAsia="Arial" w:hAnsi="Arial"/>
                <w:sz w:val="18"/>
                <w:szCs w:val="18"/>
                <w:color w:val="auto"/>
              </w:rPr>
              <w:t>“Available” Homes (000’s)</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w w:val="87"/>
              </w:rPr>
              <w:t>48,117</w:t>
            </w:r>
          </w:p>
        </w:tc>
        <w:tc>
          <w:tcPr>
            <w:tcW w:w="2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w w:val="83"/>
              </w:rPr>
              <w:t>47,875</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7"/>
              </w:rPr>
              <w:t>47,021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Subscribers (000’s)</w:t>
            </w:r>
          </w:p>
        </w:tc>
        <w:tc>
          <w:tcPr>
            <w:tcW w:w="420" w:type="dxa"/>
            <w:vAlign w:val="bottom"/>
          </w:tcPr>
          <w:p>
            <w:pPr>
              <w:spacing w:after="0"/>
              <w:rPr>
                <w:sz w:val="18"/>
                <w:szCs w:val="18"/>
                <w:color w:val="auto"/>
              </w:rPr>
            </w:pPr>
          </w:p>
        </w:tc>
        <w:tc>
          <w:tcPr>
            <w:tcW w:w="820" w:type="dxa"/>
            <w:vAlign w:val="bottom"/>
          </w:tcPr>
          <w:p>
            <w:pPr>
              <w:jc w:val="right"/>
              <w:ind w:right="233"/>
              <w:spacing w:after="0"/>
              <w:rPr>
                <w:sz w:val="20"/>
                <w:szCs w:val="20"/>
                <w:color w:val="auto"/>
              </w:rPr>
            </w:pPr>
            <w:r>
              <w:rPr>
                <w:rFonts w:ascii="Arial" w:cs="Arial" w:eastAsia="Arial" w:hAnsi="Arial"/>
                <w:sz w:val="18"/>
                <w:szCs w:val="18"/>
                <w:color w:val="auto"/>
                <w:w w:val="87"/>
              </w:rPr>
              <w:t>13,220</w:t>
            </w:r>
          </w:p>
        </w:tc>
        <w:tc>
          <w:tcPr>
            <w:tcW w:w="26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w w:val="83"/>
              </w:rPr>
              <w:t>12,888</w:t>
            </w:r>
          </w:p>
        </w:tc>
        <w:tc>
          <w:tcPr>
            <w:tcW w:w="26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w w:val="87"/>
              </w:rPr>
              <w:t>11,542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E5E5E5"/>
          </w:tcPr>
          <w:p>
            <w:pPr>
              <w:spacing w:after="0"/>
              <w:rPr>
                <w:sz w:val="20"/>
                <w:szCs w:val="20"/>
                <w:color w:val="auto"/>
              </w:rPr>
            </w:pPr>
            <w:r>
              <w:rPr>
                <w:rFonts w:ascii="Arial" w:cs="Arial" w:eastAsia="Arial" w:hAnsi="Arial"/>
                <w:sz w:val="18"/>
                <w:szCs w:val="18"/>
                <w:color w:val="auto"/>
              </w:rPr>
              <w:t>Penetration of “Available” Homes</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27.5%</w:t>
            </w:r>
          </w:p>
        </w:tc>
        <w:tc>
          <w:tcPr>
            <w:tcW w:w="2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26.9%</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Quarterly Net Subscriber Additions (000’s)</w:t>
            </w:r>
          </w:p>
        </w:tc>
        <w:tc>
          <w:tcPr>
            <w:tcW w:w="420" w:type="dxa"/>
            <w:vAlign w:val="bottom"/>
          </w:tcPr>
          <w:p>
            <w:pPr>
              <w:spacing w:after="0"/>
              <w:rPr>
                <w:sz w:val="18"/>
                <w:szCs w:val="18"/>
                <w:color w:val="auto"/>
              </w:rPr>
            </w:pPr>
          </w:p>
        </w:tc>
        <w:tc>
          <w:tcPr>
            <w:tcW w:w="820" w:type="dxa"/>
            <w:vAlign w:val="bottom"/>
          </w:tcPr>
          <w:p>
            <w:pPr>
              <w:jc w:val="right"/>
              <w:ind w:right="233"/>
              <w:spacing w:after="0"/>
              <w:rPr>
                <w:sz w:val="20"/>
                <w:szCs w:val="20"/>
                <w:color w:val="auto"/>
              </w:rPr>
            </w:pPr>
            <w:r>
              <w:rPr>
                <w:rFonts w:ascii="Arial" w:cs="Arial" w:eastAsia="Arial" w:hAnsi="Arial"/>
                <w:sz w:val="18"/>
                <w:szCs w:val="18"/>
                <w:color w:val="auto"/>
              </w:rPr>
              <w:t>331</w:t>
            </w:r>
          </w:p>
        </w:tc>
        <w:tc>
          <w:tcPr>
            <w:tcW w:w="26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450</w:t>
            </w:r>
          </w:p>
        </w:tc>
        <w:tc>
          <w:tcPr>
            <w:tcW w:w="26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E5E5E5"/>
          </w:tcPr>
          <w:p>
            <w:pPr>
              <w:spacing w:after="0"/>
              <w:rPr>
                <w:sz w:val="20"/>
                <w:szCs w:val="20"/>
                <w:color w:val="auto"/>
              </w:rPr>
            </w:pPr>
            <w:r>
              <w:rPr>
                <w:rFonts w:ascii="Arial" w:cs="Arial" w:eastAsia="Arial" w:hAnsi="Arial"/>
                <w:sz w:val="18"/>
                <w:szCs w:val="18"/>
                <w:color w:val="auto"/>
              </w:rPr>
              <w:t>Monthly Average Revenue per Subscriber</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42.44</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42.86</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42.89</w:t>
            </w:r>
          </w:p>
        </w:tc>
        <w:tc>
          <w:tcPr>
            <w:tcW w:w="0" w:type="dxa"/>
            <w:vAlign w:val="bottom"/>
          </w:tcPr>
          <w:p>
            <w:pPr>
              <w:spacing w:after="0"/>
              <w:rPr>
                <w:sz w:val="1"/>
                <w:szCs w:val="1"/>
                <w:color w:val="auto"/>
              </w:rPr>
            </w:pPr>
          </w:p>
        </w:tc>
      </w:tr>
      <w:tr>
        <w:trPr>
          <w:trHeight w:val="323"/>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Phone</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Comcast Digital Voice</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“Available” Homes (000’s)</w:t>
            </w:r>
          </w:p>
        </w:tc>
        <w:tc>
          <w:tcPr>
            <w:tcW w:w="420" w:type="dxa"/>
            <w:vAlign w:val="bottom"/>
          </w:tcPr>
          <w:p>
            <w:pPr>
              <w:spacing w:after="0"/>
              <w:rPr>
                <w:sz w:val="18"/>
                <w:szCs w:val="18"/>
                <w:color w:val="auto"/>
              </w:rPr>
            </w:pPr>
          </w:p>
        </w:tc>
        <w:tc>
          <w:tcPr>
            <w:tcW w:w="820" w:type="dxa"/>
            <w:vAlign w:val="bottom"/>
          </w:tcPr>
          <w:p>
            <w:pPr>
              <w:jc w:val="right"/>
              <w:ind w:right="233"/>
              <w:spacing w:after="0"/>
              <w:rPr>
                <w:sz w:val="20"/>
                <w:szCs w:val="20"/>
                <w:color w:val="auto"/>
              </w:rPr>
            </w:pPr>
            <w:r>
              <w:rPr>
                <w:rFonts w:ascii="Arial" w:cs="Arial" w:eastAsia="Arial" w:hAnsi="Arial"/>
                <w:sz w:val="18"/>
                <w:szCs w:val="18"/>
                <w:color w:val="auto"/>
                <w:w w:val="87"/>
              </w:rPr>
              <w:t>41,911</w:t>
            </w:r>
          </w:p>
        </w:tc>
        <w:tc>
          <w:tcPr>
            <w:tcW w:w="26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w w:val="83"/>
              </w:rPr>
              <w:t>40,276</w:t>
            </w:r>
          </w:p>
        </w:tc>
        <w:tc>
          <w:tcPr>
            <w:tcW w:w="26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w w:val="87"/>
              </w:rPr>
              <w:t>32,554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Subscribers (000’s)</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4,377</w:t>
            </w:r>
          </w:p>
        </w:tc>
        <w:tc>
          <w:tcPr>
            <w:tcW w:w="2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3,774</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Penetration of “Available” Homes</w:t>
            </w:r>
          </w:p>
        </w:tc>
        <w:tc>
          <w:tcPr>
            <w:tcW w:w="420" w:type="dxa"/>
            <w:vAlign w:val="bottom"/>
          </w:tcPr>
          <w:p>
            <w:pPr>
              <w:spacing w:after="0"/>
              <w:rPr>
                <w:sz w:val="18"/>
                <w:szCs w:val="18"/>
                <w:color w:val="auto"/>
              </w:rPr>
            </w:pP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Quarterly Net Subscriber Additions (000’s)</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604</w:t>
            </w:r>
          </w:p>
        </w:tc>
        <w:tc>
          <w:tcPr>
            <w:tcW w:w="2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662</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Circuit Switched Phone</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“Available” Homes (000’s)</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5,026</w:t>
            </w:r>
          </w:p>
        </w:tc>
        <w:tc>
          <w:tcPr>
            <w:tcW w:w="2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8,897</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8,866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Subscribers (000’s)</w:t>
            </w:r>
          </w:p>
        </w:tc>
        <w:tc>
          <w:tcPr>
            <w:tcW w:w="420" w:type="dxa"/>
            <w:vAlign w:val="bottom"/>
          </w:tcPr>
          <w:p>
            <w:pPr>
              <w:spacing w:after="0"/>
              <w:rPr>
                <w:sz w:val="18"/>
                <w:szCs w:val="18"/>
                <w:color w:val="auto"/>
              </w:rPr>
            </w:pPr>
          </w:p>
        </w:tc>
        <w:tc>
          <w:tcPr>
            <w:tcW w:w="820" w:type="dxa"/>
            <w:vAlign w:val="bottom"/>
          </w:tcPr>
          <w:p>
            <w:pPr>
              <w:jc w:val="right"/>
              <w:ind w:right="233"/>
              <w:spacing w:after="0"/>
              <w:rPr>
                <w:sz w:val="20"/>
                <w:szCs w:val="20"/>
                <w:color w:val="auto"/>
              </w:rPr>
            </w:pPr>
            <w:r>
              <w:rPr>
                <w:rFonts w:ascii="Arial" w:cs="Arial" w:eastAsia="Arial" w:hAnsi="Arial"/>
                <w:sz w:val="18"/>
                <w:szCs w:val="18"/>
                <w:color w:val="auto"/>
              </w:rPr>
              <w:t>176</w:t>
            </w:r>
          </w:p>
        </w:tc>
        <w:tc>
          <w:tcPr>
            <w:tcW w:w="26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304</w:t>
            </w:r>
          </w:p>
        </w:tc>
        <w:tc>
          <w:tcPr>
            <w:tcW w:w="26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Penetration of “Available” Homes</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3.5%</w:t>
            </w:r>
          </w:p>
        </w:tc>
        <w:tc>
          <w:tcPr>
            <w:tcW w:w="2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3.4%</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Quarterly Net Subscriber Additions (000’s)</w:t>
            </w:r>
          </w:p>
        </w:tc>
        <w:tc>
          <w:tcPr>
            <w:tcW w:w="420" w:type="dxa"/>
            <w:vAlign w:val="bottom"/>
          </w:tcPr>
          <w:p>
            <w:pPr>
              <w:spacing w:after="0"/>
              <w:rPr>
                <w:sz w:val="19"/>
                <w:szCs w:val="19"/>
                <w:color w:val="auto"/>
              </w:rPr>
            </w:pPr>
          </w:p>
        </w:tc>
        <w:tc>
          <w:tcPr>
            <w:tcW w:w="820" w:type="dxa"/>
            <w:vAlign w:val="bottom"/>
          </w:tcPr>
          <w:p>
            <w:pPr>
              <w:jc w:val="right"/>
              <w:ind w:right="173"/>
              <w:spacing w:after="0"/>
              <w:rPr>
                <w:sz w:val="20"/>
                <w:szCs w:val="20"/>
                <w:color w:val="auto"/>
              </w:rPr>
            </w:pPr>
            <w:r>
              <w:rPr>
                <w:rFonts w:ascii="Arial" w:cs="Arial" w:eastAsia="Arial" w:hAnsi="Arial"/>
                <w:sz w:val="18"/>
                <w:szCs w:val="18"/>
                <w:color w:val="auto"/>
              </w:rPr>
              <w:t>(128)</w:t>
            </w:r>
          </w:p>
        </w:tc>
        <w:tc>
          <w:tcPr>
            <w:tcW w:w="260" w:type="dxa"/>
            <w:vAlign w:val="bottom"/>
          </w:tcPr>
          <w:p>
            <w:pPr>
              <w:spacing w:after="0"/>
              <w:rPr>
                <w:sz w:val="19"/>
                <w:szCs w:val="19"/>
                <w:color w:val="auto"/>
              </w:rPr>
            </w:pPr>
          </w:p>
        </w:tc>
        <w:tc>
          <w:tcPr>
            <w:tcW w:w="800" w:type="dxa"/>
            <w:vAlign w:val="bottom"/>
          </w:tcPr>
          <w:p>
            <w:pPr>
              <w:jc w:val="right"/>
              <w:ind w:right="173"/>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19"/>
                <w:szCs w:val="19"/>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E5E5E5"/>
          </w:tcPr>
          <w:p>
            <w:pPr>
              <w:spacing w:after="0"/>
              <w:rPr>
                <w:sz w:val="20"/>
                <w:szCs w:val="20"/>
                <w:color w:val="auto"/>
              </w:rPr>
            </w:pPr>
            <w:r>
              <w:rPr>
                <w:rFonts w:ascii="Arial" w:cs="Arial" w:eastAsia="Arial" w:hAnsi="Arial"/>
                <w:sz w:val="18"/>
                <w:szCs w:val="18"/>
                <w:color w:val="auto"/>
              </w:rPr>
              <w:t>Monthly Average Total Phone Revenue per Subscriber</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40.41</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41.35</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43.75</w:t>
            </w:r>
          </w:p>
        </w:tc>
        <w:tc>
          <w:tcPr>
            <w:tcW w:w="0" w:type="dxa"/>
            <w:vAlign w:val="bottom"/>
          </w:tcPr>
          <w:p>
            <w:pPr>
              <w:spacing w:after="0"/>
              <w:rPr>
                <w:sz w:val="1"/>
                <w:szCs w:val="1"/>
                <w:color w:val="auto"/>
              </w:rPr>
            </w:pPr>
          </w:p>
        </w:tc>
      </w:tr>
      <w:tr>
        <w:trPr>
          <w:trHeight w:val="322"/>
        </w:trPr>
        <w:tc>
          <w:tcPr>
            <w:tcW w:w="5940" w:type="dxa"/>
            <w:vAlign w:val="bottom"/>
            <w:gridSpan w:val="2"/>
          </w:tcPr>
          <w:p>
            <w:pPr>
              <w:spacing w:after="0"/>
              <w:rPr>
                <w:sz w:val="20"/>
                <w:szCs w:val="20"/>
                <w:color w:val="auto"/>
              </w:rPr>
            </w:pPr>
            <w:r>
              <w:rPr>
                <w:rFonts w:ascii="Arial" w:cs="Arial" w:eastAsia="Arial" w:hAnsi="Arial"/>
                <w:sz w:val="18"/>
                <w:szCs w:val="18"/>
                <w:color w:val="auto"/>
              </w:rPr>
              <w:t>Total Revenue Generating Units (000’s) (5)</w:t>
            </w:r>
          </w:p>
        </w:tc>
        <w:tc>
          <w:tcPr>
            <w:tcW w:w="420" w:type="dxa"/>
            <w:vAlign w:val="bottom"/>
          </w:tcPr>
          <w:p>
            <w:pPr>
              <w:spacing w:after="0"/>
              <w:rPr>
                <w:sz w:val="24"/>
                <w:szCs w:val="24"/>
                <w:color w:val="auto"/>
              </w:rPr>
            </w:pPr>
          </w:p>
        </w:tc>
        <w:tc>
          <w:tcPr>
            <w:tcW w:w="820" w:type="dxa"/>
            <w:vAlign w:val="bottom"/>
          </w:tcPr>
          <w:p>
            <w:pPr>
              <w:jc w:val="right"/>
              <w:ind w:right="233"/>
              <w:spacing w:after="0"/>
              <w:rPr>
                <w:sz w:val="20"/>
                <w:szCs w:val="20"/>
                <w:color w:val="auto"/>
              </w:rPr>
            </w:pPr>
            <w:r>
              <w:rPr>
                <w:rFonts w:ascii="Arial" w:cs="Arial" w:eastAsia="Arial" w:hAnsi="Arial"/>
                <w:sz w:val="18"/>
                <w:szCs w:val="18"/>
                <w:color w:val="auto"/>
                <w:w w:val="87"/>
              </w:rPr>
              <w:t>57,028</w:t>
            </w:r>
          </w:p>
        </w:tc>
        <w:tc>
          <w:tcPr>
            <w:tcW w:w="260" w:type="dxa"/>
            <w:vAlign w:val="bottom"/>
          </w:tcPr>
          <w:p>
            <w:pPr>
              <w:spacing w:after="0"/>
              <w:rPr>
                <w:sz w:val="24"/>
                <w:szCs w:val="24"/>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w w:val="83"/>
              </w:rPr>
              <w:t>55,792</w:t>
            </w:r>
          </w:p>
        </w:tc>
        <w:tc>
          <w:tcPr>
            <w:tcW w:w="260" w:type="dxa"/>
            <w:vAlign w:val="bottom"/>
          </w:tcPr>
          <w:p>
            <w:pPr>
              <w:spacing w:after="0"/>
              <w:rPr>
                <w:sz w:val="24"/>
                <w:szCs w:val="24"/>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w w:val="87"/>
              </w:rPr>
              <w:t>51,015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20" w:type="dxa"/>
            <w:vAlign w:val="bottom"/>
            <w:shd w:val="clear" w:color="auto" w:fill="E5E5E5"/>
          </w:tcPr>
          <w:p>
            <w:pPr>
              <w:spacing w:after="0"/>
              <w:rPr>
                <w:sz w:val="20"/>
                <w:szCs w:val="20"/>
                <w:color w:val="auto"/>
              </w:rPr>
            </w:pPr>
            <w:r>
              <w:rPr>
                <w:rFonts w:ascii="Arial" w:cs="Arial" w:eastAsia="Arial" w:hAnsi="Arial"/>
                <w:sz w:val="18"/>
                <w:szCs w:val="18"/>
                <w:color w:val="auto"/>
              </w:rPr>
              <w:t>Total Quarterly Net Additions (000’s)</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1,236</w:t>
            </w:r>
          </w:p>
        </w:tc>
        <w:tc>
          <w:tcPr>
            <w:tcW w:w="2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1,398</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Non-GAAP and Other Financial Measures in Table 7. All percentages are calculated based on actual amounts. Minor differences may exist due to rounding.</w:t>
      </w:r>
    </w:p>
    <w:p>
      <w:pPr>
        <w:spacing w:after="0" w:line="50" w:lineRule="exact"/>
        <w:rPr>
          <w:rFonts w:ascii="Arial" w:cs="Arial" w:eastAsia="Arial" w:hAnsi="Arial"/>
          <w:sz w:val="18"/>
          <w:szCs w:val="18"/>
          <w:color w:val="auto"/>
        </w:rPr>
      </w:pPr>
    </w:p>
    <w:p>
      <w:pPr>
        <w:jc w:val="both"/>
        <w:ind w:left="460" w:hanging="452"/>
        <w:spacing w:after="0" w:line="294"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 forma financial data includes the results of the Susquehanna Communications cable systems acquired on April 30, 2006, cable systems acquired and sold in the Adelphia/Time Warner transactions on July 31, 2006, the cable systems resulting from the dissolution of the Texas/Kansas City Cable Partnership (TKCCP) on January 1, 2007, the results of SportsNet Bay Area and Sports Channel New England acquired on June 30, 2007, and the cable system acquired from Patriot Media Holdings, LLC on August 31, 2007. Pro forma results are presented as if the acquisitions and dispositions were effective on January 1, 2006. The net impact of these transactions was an increase of 2.7 million basic cable subscribers.</w:t>
      </w:r>
    </w:p>
    <w:p>
      <w:pPr>
        <w:spacing w:after="0" w:line="34" w:lineRule="exact"/>
        <w:rPr>
          <w:rFonts w:ascii="Arial" w:cs="Arial" w:eastAsia="Arial" w:hAnsi="Arial"/>
          <w:sz w:val="16"/>
          <w:szCs w:val="16"/>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Video revenues consist of our basic, expanded basic, digital, premium, pay-per-view and equipment services.</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revenues include installation revenues, guide revenues, commissions from electronic retailing, other product offerings, commercial data services and revenues of our digital media center and regional sports programming networks.</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sum of basic and digital video, high-speed Internet and net phone subscribers, excluding additional outlets. Subscriptions to DVR and/or HDTV services do not result in additional RGUs.</w:t>
      </w:r>
    </w:p>
    <w:p>
      <w:pPr>
        <w:sectPr>
          <w:pgSz w:w="11900" w:h="16838" w:orient="portrait"/>
          <w:cols w:equalWidth="0" w:num="1">
            <w:col w:w="11420"/>
          </w:cols>
          <w:pgMar w:left="240" w:top="823" w:right="239" w:bottom="0" w:gutter="0" w:footer="0" w:header="0"/>
        </w:sectPr>
      </w:pPr>
    </w:p>
    <w:bookmarkStart w:id="14" w:name="page15"/>
    <w:bookmarkEnd w:id="14"/>
    <w:p>
      <w:pPr>
        <w:jc w:val="center"/>
        <w:ind w:right="-2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019"/>
          </w:cols>
          <w:pgMar w:left="1440" w:top="143"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3073400</wp:posOffset>
            </wp:positionH>
            <wp:positionV relativeFrom="page">
              <wp:posOffset>183515</wp:posOffset>
            </wp:positionV>
            <wp:extent cx="1423670" cy="3600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423670" cy="360045"/>
                    </a:xfrm>
                    <a:prstGeom prst="rect">
                      <a:avLst/>
                    </a:prstGeom>
                    <a:noFill/>
                  </pic:spPr>
                </pic:pic>
              </a:graphicData>
            </a:graphic>
          </wp:anchor>
        </w:drawing>
        <w:t>TABLE 7</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and Other Financial Measures</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Cash Flow is the primary basis used to measure the operational strength and performance of our businesses. Free Cash Flow and Unlevered Free Cash Flow are additional performance measures used as indicators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14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Operating Cash Flow is defined as operating income before depreciation and amortization, excluding impairment charges related to fixed and intangible assets and gains or losses on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performance measure in our annual incentive compensation programs. We believe that Operating Cash Flow is also useful to investors as it is one of the bases for comparing our operating performance with other companies in our industries, although our measure of Operating Cash Flow may not be directly comparable to similar measures used by other companies.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Operating Cash Flow is the measure of our segment profit or loss, we reconcile it to operating income, the most directly comparable financial measure calculated and presented in accordance with generally accepted accounting principles in the United States (GAAP), in the business segment footnote of our quarterly and annual financial statements. Therefore, we believe our measure of Operating Cash Flow for our business segments is not a “non-GAAP financial measure” as contemplated by Regulation G adopted by the Securities and Exchange Commission. Consolidated Operating Cash Flow is a non-GAAP financial measure.</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Free Cash Flow, which is a non-GAAP financial measure, is defined as “Net Cash Provided by Operating Activities” (as stated in our Consolidated Statement of Cash Flows) reduced by capital expenditures and cash paid for intangible assets; increased by any payments related to certain nonoperating items, net of estimated tax benefits (such as income taxes on investment sales, and nonrecurring payments related to income tax and litigation contingencies of acquired companies) and decreased by any proceeds from the sale of trading securities. Unlevered Free Cash Flow is Free Cash Flow before cash paid interest. We believe that Free Cash Flow and Unlevered Free Cash Flow are also useful to investors as the basis for comparing our performance and coverage ratios with other companies in our industries, although our measure of Free Cash Flow and Unlevered Free Cash Flow may not be comparable to similar measures used by other companies.</w:t>
      </w:r>
    </w:p>
    <w:p>
      <w:pPr>
        <w:spacing w:after="0" w:line="14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prior year. Our pro forma data is only adjusted for the timing of acquisitions or dispositions and does not include adjustments for costs related to integration activities, cost savings or synergies that have been or may be achieved by the combined businesses. We believe our pro forma data is not a non-GAAP financial measure as contemplated by Regulation G.</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certain circumstances we also present data, as adjusted, in order to enhance comparability between periods.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Cash Flow, Free Cash Flow and Unlevered Free Cash Flow should not be considered as substitutes for operating income (loss), net income (loss), net cash provided by operating activities or other measures of performance or liquidity reported in accordance with GAAP. Additionally, in the opinion of management, our pro forma data is not necessarily indicative of future results or what results would have been had the acquired businesses been operated by us after the assumed earlier date.</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provide reconciliations of Consolidated Operating Cash Flow in Table 1, Free Cash Flow and Unlevered Free Cash Flow in Table 4, Pro Forma in Table 7-A and Adjusted Net Income in Table 7-B.</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23" w:right="239" w:bottom="1440" w:gutter="0" w:footer="0" w:header="0"/>
        </w:sectPr>
      </w:pPr>
    </w:p>
    <w:bookmarkStart w:id="16" w:name="page17"/>
    <w:bookmarkEnd w:id="16"/>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3073400</wp:posOffset>
            </wp:positionH>
            <wp:positionV relativeFrom="page">
              <wp:posOffset>183515</wp:posOffset>
            </wp:positionV>
            <wp:extent cx="1423670" cy="3600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423670" cy="3600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TABLE 7-A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GAAP to Pro Forma (1) Financial Data by Business Segment</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653"/>
              <w:spacing w:after="0"/>
              <w:rPr>
                <w:sz w:val="20"/>
                <w:szCs w:val="20"/>
                <w:color w:val="auto"/>
              </w:rPr>
            </w:pPr>
            <w:r>
              <w:rPr>
                <w:rFonts w:ascii="Arial" w:cs="Arial" w:eastAsia="Arial" w:hAnsi="Arial"/>
                <w:sz w:val="14"/>
                <w:szCs w:val="14"/>
                <w:b w:val="1"/>
                <w:bCs w:val="1"/>
                <w:color w:val="auto"/>
                <w:w w:val="93"/>
              </w:rPr>
              <w:t>GAAP</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w w:val="89"/>
              </w:rPr>
              <w:t>Cable</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center"/>
              <w:ind w:right="173"/>
              <w:spacing w:after="0" w:line="129" w:lineRule="exact"/>
              <w:rPr>
                <w:sz w:val="20"/>
                <w:szCs w:val="20"/>
                <w:color w:val="auto"/>
              </w:rPr>
            </w:pPr>
            <w:r>
              <w:rPr>
                <w:rFonts w:ascii="Arial" w:cs="Arial" w:eastAsia="Arial" w:hAnsi="Arial"/>
                <w:sz w:val="14"/>
                <w:szCs w:val="14"/>
                <w:b w:val="1"/>
                <w:bCs w:val="1"/>
                <w:color w:val="auto"/>
                <w:w w:val="90"/>
              </w:rPr>
              <w:t>Corporate,</w:t>
            </w:r>
          </w:p>
        </w:tc>
        <w:tc>
          <w:tcPr>
            <w:tcW w:w="14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173"/>
              <w:spacing w:after="0" w:line="149" w:lineRule="exact"/>
              <w:rPr>
                <w:sz w:val="20"/>
                <w:szCs w:val="20"/>
                <w:color w:val="auto"/>
              </w:rPr>
            </w:pPr>
            <w:r>
              <w:rPr>
                <w:rFonts w:ascii="Arial" w:cs="Arial" w:eastAsia="Arial" w:hAnsi="Arial"/>
                <w:sz w:val="14"/>
                <w:szCs w:val="14"/>
                <w:b w:val="1"/>
                <w:bCs w:val="1"/>
                <w:color w:val="auto"/>
                <w:w w:val="90"/>
              </w:rPr>
              <w:t>Other and</w:t>
            </w:r>
          </w:p>
        </w:tc>
        <w:tc>
          <w:tcPr>
            <w:tcW w:w="14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b w:val="1"/>
                <w:bCs w:val="1"/>
                <w:color w:val="auto"/>
                <w:w w:val="97"/>
              </w:rPr>
              <w:t>Pro Forma</w:t>
            </w:r>
          </w:p>
        </w:tc>
        <w:tc>
          <w:tcPr>
            <w:tcW w:w="100" w:type="dxa"/>
            <w:vAlign w:val="bottom"/>
          </w:tcPr>
          <w:p>
            <w:pPr>
              <w:spacing w:after="0"/>
              <w:rPr>
                <w:sz w:val="12"/>
                <w:szCs w:val="12"/>
                <w:color w:val="auto"/>
              </w:rPr>
            </w:pPr>
          </w:p>
        </w:tc>
        <w:tc>
          <w:tcPr>
            <w:tcW w:w="780" w:type="dxa"/>
            <w:vAlign w:val="bottom"/>
            <w:tcBorders>
              <w:right w:val="single" w:sz="8" w:color="auto"/>
            </w:tcBorders>
          </w:tcPr>
          <w:p>
            <w:pPr>
              <w:jc w:val="right"/>
              <w:ind w:right="53"/>
              <w:spacing w:after="0" w:line="149" w:lineRule="exact"/>
              <w:rPr>
                <w:sz w:val="20"/>
                <w:szCs w:val="20"/>
                <w:color w:val="auto"/>
              </w:rPr>
            </w:pPr>
            <w:r>
              <w:rPr>
                <w:rFonts w:ascii="Arial" w:cs="Arial" w:eastAsia="Arial" w:hAnsi="Arial"/>
                <w:sz w:val="14"/>
                <w:szCs w:val="14"/>
                <w:b w:val="1"/>
                <w:bCs w:val="1"/>
                <w:color w:val="auto"/>
                <w:w w:val="88"/>
              </w:rPr>
              <w:t>Pro Forma</w:t>
            </w:r>
          </w:p>
        </w:tc>
        <w:tc>
          <w:tcPr>
            <w:tcW w:w="280" w:type="dxa"/>
            <w:vAlign w:val="bottom"/>
          </w:tcPr>
          <w:p>
            <w:pPr>
              <w:spacing w:after="0"/>
              <w:rPr>
                <w:sz w:val="12"/>
                <w:szCs w:val="12"/>
                <w:color w:val="auto"/>
              </w:rPr>
            </w:pPr>
          </w:p>
        </w:tc>
        <w:tc>
          <w:tcPr>
            <w:tcW w:w="1060" w:type="dxa"/>
            <w:vAlign w:val="bottom"/>
          </w:tcPr>
          <w:p>
            <w:pPr>
              <w:jc w:val="right"/>
              <w:ind w:right="293"/>
              <w:spacing w:after="0" w:line="149" w:lineRule="exact"/>
              <w:rPr>
                <w:sz w:val="20"/>
                <w:szCs w:val="20"/>
                <w:color w:val="auto"/>
              </w:rPr>
            </w:pPr>
            <w:r>
              <w:rPr>
                <w:rFonts w:ascii="Arial" w:cs="Arial" w:eastAsia="Arial" w:hAnsi="Arial"/>
                <w:sz w:val="14"/>
                <w:szCs w:val="14"/>
                <w:b w:val="1"/>
                <w:bCs w:val="1"/>
                <w:color w:val="auto"/>
                <w:w w:val="94"/>
              </w:rPr>
              <w:t>Pro Forma</w:t>
            </w:r>
          </w:p>
        </w:tc>
        <w:tc>
          <w:tcPr>
            <w:tcW w:w="140" w:type="dxa"/>
            <w:vAlign w:val="bottom"/>
          </w:tcPr>
          <w:p>
            <w:pPr>
              <w:spacing w:after="0"/>
              <w:rPr>
                <w:sz w:val="12"/>
                <w:szCs w:val="12"/>
                <w:color w:val="auto"/>
              </w:rPr>
            </w:pPr>
          </w:p>
        </w:tc>
        <w:tc>
          <w:tcPr>
            <w:tcW w:w="760" w:type="dxa"/>
            <w:vAlign w:val="bottom"/>
          </w:tcPr>
          <w:p>
            <w:pPr>
              <w:jc w:val="right"/>
              <w:ind w:right="293"/>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2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7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Cable (2)</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Programming</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Eliminations (2)</w:t>
            </w:r>
          </w:p>
        </w:tc>
        <w:tc>
          <w:tcPr>
            <w:tcW w:w="140" w:type="dxa"/>
            <w:vAlign w:val="bottom"/>
          </w:tcPr>
          <w:p>
            <w:pPr>
              <w:spacing w:after="0"/>
              <w:rPr>
                <w:sz w:val="15"/>
                <w:szCs w:val="15"/>
                <w:color w:val="auto"/>
              </w:rPr>
            </w:pPr>
          </w:p>
        </w:tc>
        <w:tc>
          <w:tcPr>
            <w:tcW w:w="780" w:type="dxa"/>
            <w:vAlign w:val="bottom"/>
            <w:tcBorders>
              <w:right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w w:val="94"/>
              </w:rPr>
              <w:t>Adjustments (1) (3)</w:t>
            </w:r>
          </w:p>
        </w:tc>
        <w:tc>
          <w:tcPr>
            <w:tcW w:w="100" w:type="dxa"/>
            <w:vAlign w:val="bottom"/>
          </w:tcPr>
          <w:p>
            <w:pPr>
              <w:spacing w:after="0"/>
              <w:rPr>
                <w:sz w:val="15"/>
                <w:szCs w:val="15"/>
                <w:color w:val="auto"/>
              </w:rPr>
            </w:pPr>
          </w:p>
        </w:tc>
        <w:tc>
          <w:tcPr>
            <w:tcW w:w="780" w:type="dxa"/>
            <w:vAlign w:val="bottom"/>
            <w:tcBorders>
              <w:right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Cable</w:t>
            </w:r>
          </w:p>
        </w:tc>
        <w:tc>
          <w:tcPr>
            <w:tcW w:w="1340" w:type="dxa"/>
            <w:vAlign w:val="bottom"/>
            <w:gridSpan w:val="2"/>
          </w:tcPr>
          <w:p>
            <w:pPr>
              <w:jc w:val="right"/>
              <w:ind w:right="53"/>
              <w:spacing w:after="0"/>
              <w:rPr>
                <w:sz w:val="20"/>
                <w:szCs w:val="20"/>
                <w:color w:val="auto"/>
              </w:rPr>
            </w:pPr>
            <w:r>
              <w:rPr>
                <w:rFonts w:ascii="Arial" w:cs="Arial" w:eastAsia="Arial" w:hAnsi="Arial"/>
                <w:sz w:val="14"/>
                <w:szCs w:val="14"/>
                <w:b w:val="1"/>
                <w:bCs w:val="1"/>
                <w:color w:val="auto"/>
                <w:w w:val="93"/>
              </w:rPr>
              <w:t>Adjustments (1) (4)</w:t>
            </w: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2"/>
              </w:rPr>
              <w:t>Three Months Ended December 31, 2007</w:t>
            </w:r>
          </w:p>
        </w:tc>
        <w:tc>
          <w:tcPr>
            <w:tcW w:w="18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14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right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1040" w:type="dxa"/>
            <w:vAlign w:val="bottom"/>
            <w:tcBorders>
              <w:top w:val="single" w:sz="8" w:color="auto"/>
            </w:tcBorders>
            <w:shd w:val="clear" w:color="auto" w:fill="E5E5E5"/>
          </w:tcPr>
          <w:p>
            <w:pPr>
              <w:spacing w:after="0"/>
              <w:rPr>
                <w:sz w:val="18"/>
                <w:szCs w:val="18"/>
                <w:color w:val="auto"/>
              </w:rPr>
            </w:pPr>
          </w:p>
        </w:tc>
        <w:tc>
          <w:tcPr>
            <w:tcW w:w="10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right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1060" w:type="dxa"/>
            <w:vAlign w:val="bottom"/>
            <w:tcBorders>
              <w:top w:val="single" w:sz="8" w:color="auto"/>
            </w:tcBorders>
            <w:shd w:val="clear" w:color="auto" w:fill="E5E5E5"/>
          </w:tcPr>
          <w:p>
            <w:pPr>
              <w:spacing w:after="0"/>
              <w:rPr>
                <w:sz w:val="18"/>
                <w:szCs w:val="18"/>
                <w:color w:val="auto"/>
              </w:rPr>
            </w:pPr>
          </w:p>
        </w:tc>
        <w:tc>
          <w:tcPr>
            <w:tcW w:w="14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7,577</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348</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89</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193"/>
              <w:spacing w:after="0"/>
              <w:rPr>
                <w:sz w:val="20"/>
                <w:szCs w:val="20"/>
                <w:color w:val="auto"/>
              </w:rPr>
            </w:pPr>
            <w:r>
              <w:rPr>
                <w:rFonts w:ascii="Arial" w:cs="Arial" w:eastAsia="Arial" w:hAnsi="Arial"/>
                <w:sz w:val="18"/>
                <w:szCs w:val="18"/>
                <w:color w:val="auto"/>
              </w:rPr>
              <w:t>8,014</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auto"/>
            </w:tcBorders>
          </w:tcPr>
          <w:p>
            <w:pPr>
              <w:jc w:val="right"/>
              <w:ind w:right="213"/>
              <w:spacing w:after="0"/>
              <w:rPr>
                <w:sz w:val="20"/>
                <w:szCs w:val="20"/>
                <w:color w:val="auto"/>
              </w:rPr>
            </w:pPr>
            <w:r>
              <w:rPr>
                <w:rFonts w:ascii="Arial" w:cs="Arial" w:eastAsia="Arial" w:hAnsi="Arial"/>
                <w:sz w:val="18"/>
                <w:szCs w:val="18"/>
                <w:color w:val="auto"/>
              </w:rPr>
              <w:t>7,578</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0</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73"/>
              <w:spacing w:after="0"/>
              <w:rPr>
                <w:sz w:val="20"/>
                <w:szCs w:val="20"/>
                <w:color w:val="auto"/>
              </w:rPr>
            </w:pPr>
            <w:r>
              <w:rPr>
                <w:rFonts w:ascii="Arial" w:cs="Arial" w:eastAsia="Arial" w:hAnsi="Arial"/>
                <w:sz w:val="18"/>
                <w:szCs w:val="18"/>
                <w:color w:val="auto"/>
              </w:rPr>
              <w:t>8,014</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shd w:val="clear" w:color="auto" w:fill="E5E5E5"/>
          </w:tcPr>
          <w:p>
            <w:pPr>
              <w:spacing w:after="0"/>
              <w:rPr>
                <w:sz w:val="20"/>
                <w:szCs w:val="20"/>
                <w:color w:val="auto"/>
              </w:rPr>
            </w:pPr>
            <w:r>
              <w:rPr>
                <w:rFonts w:ascii="Arial" w:cs="Arial" w:eastAsia="Arial" w:hAnsi="Arial"/>
                <w:sz w:val="18"/>
                <w:szCs w:val="18"/>
                <w:color w:val="auto"/>
              </w:rPr>
              <w:t>Operating Expenses (excluding</w:t>
            </w:r>
          </w:p>
        </w:tc>
        <w:tc>
          <w:tcPr>
            <w:tcW w:w="180" w:type="dxa"/>
            <w:vAlign w:val="bottom"/>
            <w:shd w:val="clear" w:color="auto" w:fill="E5E5E5"/>
          </w:tcPr>
          <w:p>
            <w:pPr>
              <w:spacing w:after="0"/>
              <w:rPr>
                <w:sz w:val="18"/>
                <w:szCs w:val="18"/>
                <w:color w:val="auto"/>
              </w:rPr>
            </w:pPr>
          </w:p>
        </w:tc>
        <w:tc>
          <w:tcPr>
            <w:tcW w:w="600" w:type="dxa"/>
            <w:vAlign w:val="bottom"/>
            <w:vMerge w:val="restart"/>
            <w:shd w:val="clear" w:color="auto" w:fill="E5E5E5"/>
          </w:tcPr>
          <w:p>
            <w:pPr>
              <w:jc w:val="right"/>
              <w:ind w:right="12"/>
              <w:spacing w:after="0"/>
              <w:rPr>
                <w:sz w:val="20"/>
                <w:szCs w:val="20"/>
                <w:color w:val="auto"/>
              </w:rPr>
            </w:pPr>
            <w:r>
              <w:rPr>
                <w:rFonts w:ascii="Arial" w:cs="Arial" w:eastAsia="Arial" w:hAnsi="Arial"/>
                <w:sz w:val="18"/>
                <w:szCs w:val="18"/>
                <w:color w:val="auto"/>
              </w:rPr>
              <w:t>4,454</w:t>
            </w:r>
          </w:p>
        </w:tc>
        <w:tc>
          <w:tcPr>
            <w:tcW w:w="340" w:type="dxa"/>
            <w:vAlign w:val="bottom"/>
            <w:shd w:val="clear" w:color="auto" w:fill="E5E5E5"/>
          </w:tcPr>
          <w:p>
            <w:pPr>
              <w:spacing w:after="0"/>
              <w:rPr>
                <w:sz w:val="18"/>
                <w:szCs w:val="18"/>
                <w:color w:val="auto"/>
              </w:rPr>
            </w:pPr>
          </w:p>
        </w:tc>
        <w:tc>
          <w:tcPr>
            <w:tcW w:w="60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299</w:t>
            </w:r>
          </w:p>
        </w:tc>
        <w:tc>
          <w:tcPr>
            <w:tcW w:w="240" w:type="dxa"/>
            <w:vAlign w:val="bottom"/>
            <w:shd w:val="clear" w:color="auto" w:fill="E5E5E5"/>
          </w:tcPr>
          <w:p>
            <w:pPr>
              <w:spacing w:after="0"/>
              <w:rPr>
                <w:sz w:val="18"/>
                <w:szCs w:val="18"/>
                <w:color w:val="auto"/>
              </w:rPr>
            </w:pPr>
          </w:p>
        </w:tc>
        <w:tc>
          <w:tcPr>
            <w:tcW w:w="900" w:type="dxa"/>
            <w:vAlign w:val="bottom"/>
            <w:vMerge w:val="restart"/>
            <w:shd w:val="clear" w:color="auto" w:fill="E5E5E5"/>
          </w:tcPr>
          <w:p>
            <w:pPr>
              <w:jc w:val="right"/>
              <w:ind w:right="33"/>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E5E5E5"/>
          </w:tcPr>
          <w:p>
            <w:pPr>
              <w:spacing w:after="0"/>
              <w:rPr>
                <w:sz w:val="18"/>
                <w:szCs w:val="18"/>
                <w:color w:val="auto"/>
              </w:rPr>
            </w:pPr>
          </w:p>
        </w:tc>
        <w:tc>
          <w:tcPr>
            <w:tcW w:w="780" w:type="dxa"/>
            <w:vAlign w:val="bottom"/>
            <w:tcBorders>
              <w:right w:val="single" w:sz="8" w:color="auto"/>
            </w:tcBorders>
            <w:vMerge w:val="restart"/>
            <w:shd w:val="clear" w:color="auto" w:fill="E5E5E5"/>
          </w:tcPr>
          <w:p>
            <w:pPr>
              <w:jc w:val="right"/>
              <w:ind w:right="193"/>
              <w:spacing w:after="0"/>
              <w:rPr>
                <w:sz w:val="20"/>
                <w:szCs w:val="20"/>
                <w:color w:val="auto"/>
              </w:rPr>
            </w:pPr>
            <w:r>
              <w:rPr>
                <w:rFonts w:ascii="Arial" w:cs="Arial" w:eastAsia="Arial" w:hAnsi="Arial"/>
                <w:sz w:val="18"/>
                <w:szCs w:val="18"/>
                <w:color w:val="auto"/>
              </w:rPr>
              <w:t>4,932</w:t>
            </w:r>
          </w:p>
        </w:tc>
        <w:tc>
          <w:tcPr>
            <w:tcW w:w="260" w:type="dxa"/>
            <w:vAlign w:val="bottom"/>
            <w:shd w:val="clear" w:color="auto" w:fill="E5E5E5"/>
          </w:tcPr>
          <w:p>
            <w:pPr>
              <w:spacing w:after="0"/>
              <w:rPr>
                <w:sz w:val="18"/>
                <w:szCs w:val="18"/>
                <w:color w:val="auto"/>
              </w:rPr>
            </w:pPr>
          </w:p>
        </w:tc>
        <w:tc>
          <w:tcPr>
            <w:tcW w:w="1040" w:type="dxa"/>
            <w:vAlign w:val="bottom"/>
            <w:vMerge w:val="restart"/>
            <w:shd w:val="clear" w:color="auto" w:fill="E5E5E5"/>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8"/>
                <w:szCs w:val="18"/>
                <w:color w:val="auto"/>
              </w:rPr>
            </w:pPr>
          </w:p>
        </w:tc>
        <w:tc>
          <w:tcPr>
            <w:tcW w:w="780" w:type="dxa"/>
            <w:vAlign w:val="bottom"/>
            <w:tcBorders>
              <w:right w:val="single" w:sz="8" w:color="auto"/>
            </w:tcBorders>
            <w:vMerge w:val="restart"/>
            <w:shd w:val="clear" w:color="auto" w:fill="E5E5E5"/>
          </w:tcPr>
          <w:p>
            <w:pPr>
              <w:jc w:val="right"/>
              <w:ind w:right="213"/>
              <w:spacing w:after="0"/>
              <w:rPr>
                <w:sz w:val="20"/>
                <w:szCs w:val="20"/>
                <w:color w:val="auto"/>
              </w:rPr>
            </w:pPr>
            <w:r>
              <w:rPr>
                <w:rFonts w:ascii="Arial" w:cs="Arial" w:eastAsia="Arial" w:hAnsi="Arial"/>
                <w:sz w:val="18"/>
                <w:szCs w:val="18"/>
                <w:color w:val="auto"/>
              </w:rPr>
              <w:t>4,454</w:t>
            </w:r>
          </w:p>
        </w:tc>
        <w:tc>
          <w:tcPr>
            <w:tcW w:w="280" w:type="dxa"/>
            <w:vAlign w:val="bottom"/>
            <w:shd w:val="clear" w:color="auto" w:fill="E5E5E5"/>
          </w:tcPr>
          <w:p>
            <w:pPr>
              <w:spacing w:after="0"/>
              <w:rPr>
                <w:sz w:val="18"/>
                <w:szCs w:val="18"/>
                <w:color w:val="auto"/>
              </w:rPr>
            </w:pPr>
          </w:p>
        </w:tc>
        <w:tc>
          <w:tcPr>
            <w:tcW w:w="1060" w:type="dxa"/>
            <w:vAlign w:val="bottom"/>
            <w:vMerge w:val="restart"/>
            <w:shd w:val="clear" w:color="auto" w:fill="E5E5E5"/>
          </w:tcPr>
          <w:p>
            <w:pPr>
              <w:jc w:val="right"/>
              <w:ind w:right="53"/>
              <w:spacing w:after="0"/>
              <w:rPr>
                <w:sz w:val="20"/>
                <w:szCs w:val="20"/>
                <w:color w:val="auto"/>
              </w:rPr>
            </w:pPr>
            <w:r>
              <w:rPr>
                <w:rFonts w:ascii="Arial" w:cs="Arial" w:eastAsia="Arial" w:hAnsi="Arial"/>
                <w:sz w:val="18"/>
                <w:szCs w:val="18"/>
                <w:color w:val="auto"/>
              </w:rPr>
              <w:t>1</w:t>
            </w:r>
          </w:p>
        </w:tc>
        <w:tc>
          <w:tcPr>
            <w:tcW w:w="140" w:type="dxa"/>
            <w:vAlign w:val="bottom"/>
            <w:shd w:val="clear" w:color="auto" w:fill="E5E5E5"/>
          </w:tcPr>
          <w:p>
            <w:pPr>
              <w:spacing w:after="0"/>
              <w:rPr>
                <w:sz w:val="18"/>
                <w:szCs w:val="18"/>
                <w:color w:val="auto"/>
              </w:rPr>
            </w:pPr>
          </w:p>
        </w:tc>
        <w:tc>
          <w:tcPr>
            <w:tcW w:w="760" w:type="dxa"/>
            <w:vAlign w:val="bottom"/>
            <w:vMerge w:val="restart"/>
            <w:shd w:val="clear" w:color="auto" w:fill="E5E5E5"/>
          </w:tcPr>
          <w:p>
            <w:pPr>
              <w:jc w:val="right"/>
              <w:ind w:right="173"/>
              <w:spacing w:after="0"/>
              <w:rPr>
                <w:sz w:val="20"/>
                <w:szCs w:val="20"/>
                <w:color w:val="auto"/>
              </w:rPr>
            </w:pPr>
            <w:r>
              <w:rPr>
                <w:rFonts w:ascii="Arial" w:cs="Arial" w:eastAsia="Arial" w:hAnsi="Arial"/>
                <w:sz w:val="18"/>
                <w:szCs w:val="18"/>
                <w:color w:val="auto"/>
              </w:rPr>
              <w:t>4,933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20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vMerge w:val="continue"/>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vMerge w:val="continue"/>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vMerge w:val="continue"/>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right w:val="single" w:sz="8" w:color="auto"/>
            </w:tcBorders>
            <w:vMerge w:val="continue"/>
            <w:shd w:val="clear" w:color="auto" w:fill="E5E5E5"/>
          </w:tcPr>
          <w:p>
            <w:pPr>
              <w:spacing w:after="0"/>
              <w:rPr>
                <w:sz w:val="18"/>
                <w:szCs w:val="18"/>
                <w:color w:val="auto"/>
              </w:rPr>
            </w:pPr>
          </w:p>
        </w:tc>
        <w:tc>
          <w:tcPr>
            <w:tcW w:w="260" w:type="dxa"/>
            <w:vAlign w:val="bottom"/>
            <w:tcBorders>
              <w:bottom w:val="single" w:sz="8" w:color="auto"/>
            </w:tcBorders>
            <w:shd w:val="clear" w:color="auto" w:fill="E5E5E5"/>
          </w:tcPr>
          <w:p>
            <w:pPr>
              <w:spacing w:after="0"/>
              <w:rPr>
                <w:sz w:val="18"/>
                <w:szCs w:val="18"/>
                <w:color w:val="auto"/>
              </w:rPr>
            </w:pPr>
          </w:p>
        </w:tc>
        <w:tc>
          <w:tcPr>
            <w:tcW w:w="1040" w:type="dxa"/>
            <w:vAlign w:val="bottom"/>
            <w:tcBorders>
              <w:bottom w:val="single" w:sz="8" w:color="auto"/>
            </w:tcBorders>
            <w:vMerge w:val="continue"/>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right w:val="single" w:sz="8" w:color="auto"/>
            </w:tcBorders>
            <w:vMerge w:val="continue"/>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vMerge w:val="continue"/>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vMerge w:val="continue"/>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Operating Cash Flow</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3,123</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ind w:left="100"/>
              <w:spacing w:after="0"/>
              <w:rPr>
                <w:sz w:val="20"/>
                <w:szCs w:val="20"/>
                <w:color w:val="auto"/>
              </w:rPr>
            </w:pPr>
            <w:r>
              <w:rPr>
                <w:rFonts w:ascii="Arial" w:cs="Arial" w:eastAsia="Arial" w:hAnsi="Arial"/>
                <w:sz w:val="18"/>
                <w:szCs w:val="18"/>
                <w:color w:val="auto"/>
                <w:w w:val="74"/>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193"/>
              <w:spacing w:after="0"/>
              <w:rPr>
                <w:sz w:val="20"/>
                <w:szCs w:val="20"/>
                <w:color w:val="auto"/>
              </w:rPr>
            </w:pPr>
            <w:r>
              <w:rPr>
                <w:rFonts w:ascii="Arial" w:cs="Arial" w:eastAsia="Arial" w:hAnsi="Arial"/>
                <w:sz w:val="18"/>
                <w:szCs w:val="18"/>
                <w:color w:val="auto"/>
              </w:rPr>
              <w:t>3,082</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auto"/>
            </w:tcBorders>
          </w:tcPr>
          <w:p>
            <w:pPr>
              <w:jc w:val="right"/>
              <w:ind w:right="213"/>
              <w:spacing w:after="0"/>
              <w:rPr>
                <w:sz w:val="20"/>
                <w:szCs w:val="20"/>
                <w:color w:val="auto"/>
              </w:rPr>
            </w:pPr>
            <w:r>
              <w:rPr>
                <w:rFonts w:ascii="Arial" w:cs="Arial" w:eastAsia="Arial" w:hAnsi="Arial"/>
                <w:sz w:val="18"/>
                <w:szCs w:val="18"/>
                <w:color w:val="auto"/>
              </w:rPr>
              <w:t>3,124</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73"/>
              <w:spacing w:after="0"/>
              <w:rPr>
                <w:sz w:val="20"/>
                <w:szCs w:val="20"/>
                <w:color w:val="auto"/>
              </w:rPr>
            </w:pPr>
            <w:r>
              <w:rPr>
                <w:rFonts w:ascii="Arial" w:cs="Arial" w:eastAsia="Arial" w:hAnsi="Arial"/>
                <w:sz w:val="18"/>
                <w:szCs w:val="18"/>
                <w:color w:val="auto"/>
              </w:rPr>
              <w:t>3,081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1,540</w:t>
            </w:r>
          </w:p>
        </w:tc>
        <w:tc>
          <w:tcPr>
            <w:tcW w:w="3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84</w:t>
            </w:r>
          </w:p>
        </w:tc>
        <w:tc>
          <w:tcPr>
            <w:tcW w:w="24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right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1,624</w:t>
            </w:r>
          </w:p>
        </w:tc>
        <w:tc>
          <w:tcPr>
            <w:tcW w:w="260" w:type="dxa"/>
            <w:vAlign w:val="bottom"/>
            <w:tcBorders>
              <w:bottom w:val="single" w:sz="8" w:color="auto"/>
            </w:tcBorders>
            <w:shd w:val="clear" w:color="auto" w:fill="E5E5E5"/>
          </w:tcPr>
          <w:p>
            <w:pPr>
              <w:spacing w:after="0"/>
              <w:rPr>
                <w:sz w:val="18"/>
                <w:szCs w:val="18"/>
                <w:color w:val="auto"/>
              </w:rPr>
            </w:pPr>
          </w:p>
        </w:tc>
        <w:tc>
          <w:tcPr>
            <w:tcW w:w="10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right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1,541</w:t>
            </w:r>
          </w:p>
        </w:tc>
        <w:tc>
          <w:tcPr>
            <w:tcW w:w="28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1,583</w:t>
            </w: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193"/>
              <w:spacing w:after="0"/>
              <w:rPr>
                <w:sz w:val="20"/>
                <w:szCs w:val="20"/>
                <w:color w:val="auto"/>
              </w:rPr>
            </w:pPr>
            <w:r>
              <w:rPr>
                <w:rFonts w:ascii="Arial" w:cs="Arial" w:eastAsia="Arial" w:hAnsi="Arial"/>
                <w:sz w:val="18"/>
                <w:szCs w:val="18"/>
                <w:color w:val="auto"/>
              </w:rPr>
              <w:t>1,458</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right w:val="single" w:sz="8" w:color="auto"/>
            </w:tcBorders>
          </w:tcPr>
          <w:p>
            <w:pPr>
              <w:jc w:val="right"/>
              <w:ind w:right="213"/>
              <w:spacing w:after="0"/>
              <w:rPr>
                <w:sz w:val="20"/>
                <w:szCs w:val="20"/>
                <w:color w:val="auto"/>
              </w:rPr>
            </w:pPr>
            <w:r>
              <w:rPr>
                <w:rFonts w:ascii="Arial" w:cs="Arial" w:eastAsia="Arial" w:hAnsi="Arial"/>
                <w:sz w:val="18"/>
                <w:szCs w:val="18"/>
                <w:color w:val="auto"/>
              </w:rPr>
              <w:t>1,583</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2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1,472</w:t>
            </w:r>
          </w:p>
        </w:tc>
        <w:tc>
          <w:tcPr>
            <w:tcW w:w="34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89</w:t>
            </w: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1,574</w:t>
            </w:r>
          </w:p>
        </w:tc>
        <w:tc>
          <w:tcPr>
            <w:tcW w:w="26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right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1,474</w:t>
            </w:r>
          </w:p>
        </w:tc>
        <w:tc>
          <w:tcPr>
            <w:tcW w:w="2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457"/>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w w:val="92"/>
              </w:rPr>
              <w:t>Three Months Ended December 31, 2006</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6,895</w:t>
            </w:r>
          </w:p>
        </w:tc>
        <w:tc>
          <w:tcPr>
            <w:tcW w:w="34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283</w:t>
            </w:r>
          </w:p>
        </w:tc>
        <w:tc>
          <w:tcPr>
            <w:tcW w:w="240" w:type="dxa"/>
            <w:vAlign w:val="bottom"/>
            <w:shd w:val="clear" w:color="auto" w:fill="E5E5E5"/>
          </w:tcPr>
          <w:p>
            <w:pPr>
              <w:ind w:left="100"/>
              <w:spacing w:after="0"/>
              <w:rPr>
                <w:sz w:val="20"/>
                <w:szCs w:val="20"/>
                <w:color w:val="auto"/>
              </w:rPr>
            </w:pPr>
            <w:r>
              <w:rPr>
                <w:rFonts w:ascii="Arial" w:cs="Arial" w:eastAsia="Arial" w:hAnsi="Arial"/>
                <w:sz w:val="18"/>
                <w:szCs w:val="18"/>
                <w:color w:val="auto"/>
                <w:w w:val="74"/>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7,031</w:t>
            </w:r>
          </w:p>
        </w:tc>
        <w:tc>
          <w:tcPr>
            <w:tcW w:w="26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51</w:t>
            </w:r>
          </w:p>
        </w:tc>
        <w:tc>
          <w:tcPr>
            <w:tcW w:w="10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6,946</w:t>
            </w:r>
          </w:p>
        </w:tc>
        <w:tc>
          <w:tcPr>
            <w:tcW w:w="28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287</w:t>
            </w:r>
          </w:p>
        </w:tc>
        <w:tc>
          <w:tcPr>
            <w:tcW w:w="140" w:type="dxa"/>
            <w:vAlign w:val="bottom"/>
            <w:shd w:val="clear" w:color="auto" w:fill="E5E5E5"/>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7,318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Segment reclassifications (5)</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jc w:val="right"/>
              <w:ind w:right="29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jc w:val="right"/>
              <w:ind w:right="213"/>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6,876</w:t>
            </w:r>
          </w:p>
        </w:tc>
        <w:tc>
          <w:tcPr>
            <w:tcW w:w="34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283</w:t>
            </w:r>
          </w:p>
        </w:tc>
        <w:tc>
          <w:tcPr>
            <w:tcW w:w="240" w:type="dxa"/>
            <w:vAlign w:val="bottom"/>
            <w:shd w:val="clear" w:color="auto" w:fill="E5E5E5"/>
          </w:tcPr>
          <w:p>
            <w:pPr>
              <w:ind w:left="100"/>
              <w:spacing w:after="0"/>
              <w:rPr>
                <w:sz w:val="20"/>
                <w:szCs w:val="20"/>
                <w:color w:val="auto"/>
              </w:rPr>
            </w:pPr>
            <w:r>
              <w:rPr>
                <w:rFonts w:ascii="Arial" w:cs="Arial" w:eastAsia="Arial" w:hAnsi="Arial"/>
                <w:sz w:val="18"/>
                <w:szCs w:val="18"/>
                <w:color w:val="auto"/>
                <w:w w:val="74"/>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7,031</w:t>
            </w:r>
          </w:p>
        </w:tc>
        <w:tc>
          <w:tcPr>
            <w:tcW w:w="26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51</w:t>
            </w:r>
          </w:p>
        </w:tc>
        <w:tc>
          <w:tcPr>
            <w:tcW w:w="10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6,927</w:t>
            </w:r>
          </w:p>
        </w:tc>
        <w:tc>
          <w:tcPr>
            <w:tcW w:w="28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287</w:t>
            </w:r>
          </w:p>
        </w:tc>
        <w:tc>
          <w:tcPr>
            <w:tcW w:w="140" w:type="dxa"/>
            <w:vAlign w:val="bottom"/>
            <w:shd w:val="clear" w:color="auto" w:fill="E5E5E5"/>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7,318</w:t>
            </w:r>
          </w:p>
        </w:tc>
        <w:tc>
          <w:tcPr>
            <w:tcW w:w="0" w:type="dxa"/>
            <w:vAlign w:val="bottom"/>
          </w:tcPr>
          <w:p>
            <w:pPr>
              <w:spacing w:after="0"/>
              <w:rPr>
                <w:sz w:val="1"/>
                <w:szCs w:val="1"/>
                <w:color w:val="auto"/>
              </w:rPr>
            </w:pPr>
          </w:p>
        </w:tc>
      </w:tr>
      <w:tr>
        <w:trPr>
          <w:trHeight w:val="451"/>
        </w:trPr>
        <w:tc>
          <w:tcPr>
            <w:tcW w:w="3220" w:type="dxa"/>
            <w:vAlign w:val="bottom"/>
            <w:gridSpan w:val="2"/>
          </w:tcPr>
          <w:p>
            <w:pPr>
              <w:spacing w:after="0"/>
              <w:rPr>
                <w:sz w:val="20"/>
                <w:szCs w:val="20"/>
                <w:color w:val="auto"/>
              </w:rPr>
            </w:pPr>
            <w:r>
              <w:rPr>
                <w:rFonts w:ascii="Arial" w:cs="Arial" w:eastAsia="Arial" w:hAnsi="Arial"/>
                <w:sz w:val="18"/>
                <w:szCs w:val="18"/>
                <w:color w:val="auto"/>
              </w:rPr>
              <w:t>Operating Expenses (excluding</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4,146</w:t>
            </w: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240</w:t>
            </w:r>
          </w:p>
        </w:tc>
        <w:tc>
          <w:tcPr>
            <w:tcW w:w="24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9"/>
                <w:szCs w:val="19"/>
                <w:color w:val="auto"/>
              </w:rPr>
            </w:pPr>
          </w:p>
        </w:tc>
        <w:tc>
          <w:tcPr>
            <w:tcW w:w="780" w:type="dxa"/>
            <w:vAlign w:val="bottom"/>
            <w:tcBorders>
              <w:right w:val="single" w:sz="8" w:color="auto"/>
            </w:tcBorders>
          </w:tcPr>
          <w:p>
            <w:pPr>
              <w:jc w:val="right"/>
              <w:ind w:right="193"/>
              <w:spacing w:after="0"/>
              <w:rPr>
                <w:sz w:val="20"/>
                <w:szCs w:val="20"/>
                <w:color w:val="auto"/>
              </w:rPr>
            </w:pPr>
            <w:r>
              <w:rPr>
                <w:rFonts w:ascii="Arial" w:cs="Arial" w:eastAsia="Arial" w:hAnsi="Arial"/>
                <w:sz w:val="18"/>
                <w:szCs w:val="18"/>
                <w:color w:val="auto"/>
              </w:rPr>
              <w:t>4,437</w:t>
            </w:r>
          </w:p>
        </w:tc>
        <w:tc>
          <w:tcPr>
            <w:tcW w:w="26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780" w:type="dxa"/>
            <w:vAlign w:val="bottom"/>
            <w:tcBorders>
              <w:right w:val="single" w:sz="8" w:color="auto"/>
            </w:tcBorders>
          </w:tcPr>
          <w:p>
            <w:pPr>
              <w:jc w:val="right"/>
              <w:ind w:right="213"/>
              <w:spacing w:after="0"/>
              <w:rPr>
                <w:sz w:val="20"/>
                <w:szCs w:val="20"/>
                <w:color w:val="auto"/>
              </w:rPr>
            </w:pPr>
            <w:r>
              <w:rPr>
                <w:rFonts w:ascii="Arial" w:cs="Arial" w:eastAsia="Arial" w:hAnsi="Arial"/>
                <w:sz w:val="18"/>
                <w:szCs w:val="18"/>
                <w:color w:val="auto"/>
              </w:rPr>
              <w:t>4,179</w:t>
            </w:r>
          </w:p>
        </w:tc>
        <w:tc>
          <w:tcPr>
            <w:tcW w:w="28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9"/>
                <w:szCs w:val="19"/>
                <w:color w:val="auto"/>
              </w:rPr>
            </w:pPr>
          </w:p>
        </w:tc>
        <w:tc>
          <w:tcPr>
            <w:tcW w:w="760" w:type="dxa"/>
            <w:vAlign w:val="bottom"/>
          </w:tcPr>
          <w:p>
            <w:pPr>
              <w:jc w:val="right"/>
              <w:ind w:right="173"/>
              <w:spacing w:after="0"/>
              <w:rPr>
                <w:sz w:val="20"/>
                <w:szCs w:val="20"/>
                <w:color w:val="auto"/>
              </w:rPr>
            </w:pPr>
            <w:r>
              <w:rPr>
                <w:rFonts w:ascii="Arial" w:cs="Arial" w:eastAsia="Arial" w:hAnsi="Arial"/>
                <w:sz w:val="18"/>
                <w:szCs w:val="18"/>
                <w:color w:val="auto"/>
              </w:rPr>
              <w:t>4,616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Segment reclassifications (5)</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w:t>
            </w:r>
          </w:p>
        </w:tc>
        <w:tc>
          <w:tcPr>
            <w:tcW w:w="3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right w:val="single" w:sz="8" w:color="auto"/>
            </w:tcBorders>
            <w:shd w:val="clear" w:color="auto" w:fill="E5E5E5"/>
          </w:tcPr>
          <w:p>
            <w:pPr>
              <w:jc w:val="right"/>
              <w:ind w:right="29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1040" w:type="dxa"/>
            <w:vAlign w:val="bottom"/>
            <w:tcBorders>
              <w:bottom w:val="single" w:sz="8" w:color="auto"/>
            </w:tcBorders>
            <w:shd w:val="clear" w:color="auto" w:fill="E5E5E5"/>
          </w:tcPr>
          <w:p>
            <w:pPr>
              <w:ind w:left="6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right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Operating Cash Flow</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2,737</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ind w:left="100"/>
              <w:spacing w:after="0"/>
              <w:rPr>
                <w:sz w:val="20"/>
                <w:szCs w:val="20"/>
                <w:color w:val="auto"/>
              </w:rPr>
            </w:pPr>
            <w:r>
              <w:rPr>
                <w:rFonts w:ascii="Arial" w:cs="Arial" w:eastAsia="Arial" w:hAnsi="Arial"/>
                <w:sz w:val="18"/>
                <w:szCs w:val="18"/>
                <w:color w:val="auto"/>
                <w:w w:val="74"/>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186)</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193"/>
              <w:spacing w:after="0"/>
              <w:rPr>
                <w:sz w:val="20"/>
                <w:szCs w:val="20"/>
                <w:color w:val="auto"/>
              </w:rPr>
            </w:pPr>
            <w:r>
              <w:rPr>
                <w:rFonts w:ascii="Arial" w:cs="Arial" w:eastAsia="Arial" w:hAnsi="Arial"/>
                <w:sz w:val="18"/>
                <w:szCs w:val="18"/>
                <w:color w:val="auto"/>
              </w:rPr>
              <w:t>2,594</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auto"/>
            </w:tcBorders>
          </w:tcPr>
          <w:p>
            <w:pPr>
              <w:jc w:val="right"/>
              <w:ind w:right="213"/>
              <w:spacing w:after="0"/>
              <w:rPr>
                <w:sz w:val="20"/>
                <w:szCs w:val="20"/>
                <w:color w:val="auto"/>
              </w:rPr>
            </w:pPr>
            <w:r>
              <w:rPr>
                <w:rFonts w:ascii="Arial" w:cs="Arial" w:eastAsia="Arial" w:hAnsi="Arial"/>
                <w:sz w:val="18"/>
                <w:szCs w:val="18"/>
                <w:color w:val="auto"/>
              </w:rPr>
              <w:t>2,755</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108</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73"/>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1,388</w:t>
            </w:r>
          </w:p>
        </w:tc>
        <w:tc>
          <w:tcPr>
            <w:tcW w:w="3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44</w:t>
            </w:r>
          </w:p>
        </w:tc>
        <w:tc>
          <w:tcPr>
            <w:tcW w:w="24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(56)</w:t>
            </w:r>
          </w:p>
        </w:tc>
        <w:tc>
          <w:tcPr>
            <w:tcW w:w="1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right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1,376</w:t>
            </w:r>
          </w:p>
        </w:tc>
        <w:tc>
          <w:tcPr>
            <w:tcW w:w="260" w:type="dxa"/>
            <w:vAlign w:val="bottom"/>
            <w:tcBorders>
              <w:bottom w:val="single" w:sz="8" w:color="auto"/>
            </w:tcBorders>
            <w:shd w:val="clear" w:color="auto" w:fill="E5E5E5"/>
          </w:tcPr>
          <w:p>
            <w:pPr>
              <w:spacing w:after="0"/>
              <w:rPr>
                <w:sz w:val="18"/>
                <w:szCs w:val="18"/>
                <w:color w:val="auto"/>
              </w:rPr>
            </w:pPr>
          </w:p>
        </w:tc>
        <w:tc>
          <w:tcPr>
            <w:tcW w:w="10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right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1,402</w:t>
            </w:r>
          </w:p>
        </w:tc>
        <w:tc>
          <w:tcPr>
            <w:tcW w:w="28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81</w:t>
            </w:r>
          </w:p>
        </w:tc>
        <w:tc>
          <w:tcPr>
            <w:tcW w:w="1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1,349</w:t>
            </w: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193"/>
              <w:spacing w:after="0"/>
              <w:rPr>
                <w:sz w:val="20"/>
                <w:szCs w:val="20"/>
                <w:color w:val="auto"/>
              </w:rPr>
            </w:pPr>
            <w:r>
              <w:rPr>
                <w:rFonts w:ascii="Arial" w:cs="Arial" w:eastAsia="Arial" w:hAnsi="Arial"/>
                <w:sz w:val="18"/>
                <w:szCs w:val="18"/>
                <w:color w:val="auto"/>
              </w:rPr>
              <w:t>1,218</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right w:val="single" w:sz="8" w:color="auto"/>
            </w:tcBorders>
          </w:tcPr>
          <w:p>
            <w:pPr>
              <w:jc w:val="right"/>
              <w:ind w:right="213"/>
              <w:spacing w:after="0"/>
              <w:rPr>
                <w:sz w:val="20"/>
                <w:szCs w:val="20"/>
                <w:color w:val="auto"/>
              </w:rPr>
            </w:pPr>
            <w:r>
              <w:rPr>
                <w:rFonts w:ascii="Arial" w:cs="Arial" w:eastAsia="Arial" w:hAnsi="Arial"/>
                <w:sz w:val="18"/>
                <w:szCs w:val="18"/>
                <w:color w:val="auto"/>
              </w:rPr>
              <w:t>1,353</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2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1,331</w:t>
            </w:r>
          </w:p>
        </w:tc>
        <w:tc>
          <w:tcPr>
            <w:tcW w:w="34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1,344</w:t>
            </w:r>
          </w:p>
        </w:tc>
        <w:tc>
          <w:tcPr>
            <w:tcW w:w="26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right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1,383</w:t>
            </w:r>
          </w:p>
        </w:tc>
        <w:tc>
          <w:tcPr>
            <w:tcW w:w="2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53</w:t>
            </w:r>
          </w:p>
        </w:tc>
        <w:tc>
          <w:tcPr>
            <w:tcW w:w="14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457"/>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w w:val="89"/>
              </w:rPr>
              <w:t>Twelve Months Ended December 31, 2007</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87"/>
              </w:rPr>
              <w:t>29,305</w:t>
            </w:r>
          </w:p>
        </w:tc>
        <w:tc>
          <w:tcPr>
            <w:tcW w:w="34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1,314</w:t>
            </w:r>
          </w:p>
        </w:tc>
        <w:tc>
          <w:tcPr>
            <w:tcW w:w="24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w w:val="87"/>
              </w:rPr>
              <w:t>30,895</w:t>
            </w:r>
          </w:p>
        </w:tc>
        <w:tc>
          <w:tcPr>
            <w:tcW w:w="26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w w:val="83"/>
              </w:rPr>
              <w:t>29,434</w:t>
            </w:r>
          </w:p>
        </w:tc>
        <w:tc>
          <w:tcPr>
            <w:tcW w:w="28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E5E5E5"/>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w w:val="87"/>
              </w:rPr>
              <w:t>31,023</w:t>
            </w:r>
          </w:p>
        </w:tc>
        <w:tc>
          <w:tcPr>
            <w:tcW w:w="0" w:type="dxa"/>
            <w:vAlign w:val="bottom"/>
          </w:tcPr>
          <w:p>
            <w:pPr>
              <w:spacing w:after="0"/>
              <w:rPr>
                <w:sz w:val="1"/>
                <w:szCs w:val="1"/>
                <w:color w:val="auto"/>
              </w:rPr>
            </w:pPr>
          </w:p>
        </w:tc>
      </w:tr>
      <w:tr>
        <w:trPr>
          <w:trHeight w:val="451"/>
        </w:trPr>
        <w:tc>
          <w:tcPr>
            <w:tcW w:w="3220" w:type="dxa"/>
            <w:vAlign w:val="bottom"/>
            <w:gridSpan w:val="2"/>
          </w:tcPr>
          <w:p>
            <w:pPr>
              <w:spacing w:after="0"/>
              <w:rPr>
                <w:sz w:val="20"/>
                <w:szCs w:val="20"/>
                <w:color w:val="auto"/>
              </w:rPr>
            </w:pPr>
            <w:r>
              <w:rPr>
                <w:rFonts w:ascii="Arial" w:cs="Arial" w:eastAsia="Arial" w:hAnsi="Arial"/>
                <w:sz w:val="18"/>
                <w:szCs w:val="18"/>
                <w:color w:val="auto"/>
              </w:rPr>
              <w:t>Operating Expenses (excluding</w:t>
            </w:r>
          </w:p>
        </w:tc>
        <w:tc>
          <w:tcPr>
            <w:tcW w:w="180" w:type="dxa"/>
            <w:vAlign w:val="bottom"/>
          </w:tcPr>
          <w:p>
            <w:pPr>
              <w:spacing w:after="0"/>
              <w:rPr>
                <w:sz w:val="24"/>
                <w:szCs w:val="24"/>
                <w:color w:val="auto"/>
              </w:rPr>
            </w:pPr>
          </w:p>
        </w:tc>
        <w:tc>
          <w:tcPr>
            <w:tcW w:w="600" w:type="dxa"/>
            <w:vAlign w:val="bottom"/>
            <w:vMerge w:val="restart"/>
          </w:tcPr>
          <w:p>
            <w:pPr>
              <w:jc w:val="right"/>
              <w:ind w:right="12"/>
              <w:spacing w:after="0"/>
              <w:rPr>
                <w:sz w:val="20"/>
                <w:szCs w:val="20"/>
                <w:color w:val="auto"/>
              </w:rPr>
            </w:pPr>
            <w:r>
              <w:rPr>
                <w:rFonts w:ascii="Arial" w:cs="Arial" w:eastAsia="Arial" w:hAnsi="Arial"/>
                <w:sz w:val="18"/>
                <w:szCs w:val="18"/>
                <w:color w:val="auto"/>
                <w:w w:val="87"/>
              </w:rPr>
              <w:t>17,383</w:t>
            </w:r>
          </w:p>
        </w:tc>
        <w:tc>
          <w:tcPr>
            <w:tcW w:w="340" w:type="dxa"/>
            <w:vAlign w:val="bottom"/>
          </w:tcPr>
          <w:p>
            <w:pPr>
              <w:spacing w:after="0"/>
              <w:rPr>
                <w:sz w:val="24"/>
                <w:szCs w:val="24"/>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1,028</w:t>
            </w:r>
          </w:p>
        </w:tc>
        <w:tc>
          <w:tcPr>
            <w:tcW w:w="240" w:type="dxa"/>
            <w:vAlign w:val="bottom"/>
          </w:tcPr>
          <w:p>
            <w:pPr>
              <w:spacing w:after="0"/>
              <w:rPr>
                <w:sz w:val="24"/>
                <w:szCs w:val="24"/>
                <w:color w:val="auto"/>
              </w:rPr>
            </w:pPr>
          </w:p>
        </w:tc>
        <w:tc>
          <w:tcPr>
            <w:tcW w:w="900" w:type="dxa"/>
            <w:vAlign w:val="bottom"/>
            <w:vMerge w:val="restart"/>
          </w:tcPr>
          <w:p>
            <w:pPr>
              <w:jc w:val="right"/>
              <w:ind w:right="33"/>
              <w:spacing w:after="0"/>
              <w:rPr>
                <w:sz w:val="20"/>
                <w:szCs w:val="20"/>
                <w:color w:val="auto"/>
              </w:rPr>
            </w:pPr>
            <w:r>
              <w:rPr>
                <w:rFonts w:ascii="Arial" w:cs="Arial" w:eastAsia="Arial" w:hAnsi="Arial"/>
                <w:sz w:val="18"/>
                <w:szCs w:val="18"/>
                <w:color w:val="auto"/>
              </w:rPr>
              <w:t>698</w:t>
            </w:r>
          </w:p>
        </w:tc>
        <w:tc>
          <w:tcPr>
            <w:tcW w:w="140" w:type="dxa"/>
            <w:vAlign w:val="bottom"/>
          </w:tcPr>
          <w:p>
            <w:pPr>
              <w:spacing w:after="0"/>
              <w:rPr>
                <w:sz w:val="24"/>
                <w:szCs w:val="24"/>
                <w:color w:val="auto"/>
              </w:rPr>
            </w:pPr>
          </w:p>
        </w:tc>
        <w:tc>
          <w:tcPr>
            <w:tcW w:w="780" w:type="dxa"/>
            <w:vAlign w:val="bottom"/>
            <w:tcBorders>
              <w:right w:val="single" w:sz="8" w:color="auto"/>
            </w:tcBorders>
            <w:vMerge w:val="restart"/>
          </w:tcPr>
          <w:p>
            <w:pPr>
              <w:jc w:val="right"/>
              <w:ind w:right="193"/>
              <w:spacing w:after="0"/>
              <w:rPr>
                <w:sz w:val="20"/>
                <w:szCs w:val="20"/>
                <w:color w:val="auto"/>
              </w:rPr>
            </w:pPr>
            <w:r>
              <w:rPr>
                <w:rFonts w:ascii="Arial" w:cs="Arial" w:eastAsia="Arial" w:hAnsi="Arial"/>
                <w:sz w:val="18"/>
                <w:szCs w:val="18"/>
                <w:color w:val="auto"/>
                <w:w w:val="87"/>
              </w:rPr>
              <w:t>19,109</w:t>
            </w:r>
          </w:p>
        </w:tc>
        <w:tc>
          <w:tcPr>
            <w:tcW w:w="260" w:type="dxa"/>
            <w:vAlign w:val="bottom"/>
          </w:tcPr>
          <w:p>
            <w:pPr>
              <w:spacing w:after="0"/>
              <w:rPr>
                <w:sz w:val="24"/>
                <w:szCs w:val="24"/>
                <w:color w:val="auto"/>
              </w:rPr>
            </w:pPr>
          </w:p>
        </w:tc>
        <w:tc>
          <w:tcPr>
            <w:tcW w:w="1040" w:type="dxa"/>
            <w:vAlign w:val="bottom"/>
            <w:vMerge w:val="restart"/>
          </w:tcPr>
          <w:p>
            <w:pPr>
              <w:jc w:val="right"/>
              <w:ind w:right="13"/>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4"/>
                <w:szCs w:val="24"/>
                <w:color w:val="auto"/>
              </w:rPr>
            </w:pPr>
          </w:p>
        </w:tc>
        <w:tc>
          <w:tcPr>
            <w:tcW w:w="780" w:type="dxa"/>
            <w:vAlign w:val="bottom"/>
            <w:tcBorders>
              <w:right w:val="single" w:sz="8" w:color="auto"/>
            </w:tcBorders>
            <w:vMerge w:val="restart"/>
          </w:tcPr>
          <w:p>
            <w:pPr>
              <w:jc w:val="right"/>
              <w:ind w:right="213"/>
              <w:spacing w:after="0"/>
              <w:rPr>
                <w:sz w:val="20"/>
                <w:szCs w:val="20"/>
                <w:color w:val="auto"/>
              </w:rPr>
            </w:pPr>
            <w:r>
              <w:rPr>
                <w:rFonts w:ascii="Arial" w:cs="Arial" w:eastAsia="Arial" w:hAnsi="Arial"/>
                <w:sz w:val="18"/>
                <w:szCs w:val="18"/>
                <w:color w:val="auto"/>
                <w:w w:val="83"/>
              </w:rPr>
              <w:t>17,458</w:t>
            </w:r>
          </w:p>
        </w:tc>
        <w:tc>
          <w:tcPr>
            <w:tcW w:w="280" w:type="dxa"/>
            <w:vAlign w:val="bottom"/>
          </w:tcPr>
          <w:p>
            <w:pPr>
              <w:spacing w:after="0"/>
              <w:rPr>
                <w:sz w:val="24"/>
                <w:szCs w:val="24"/>
                <w:color w:val="auto"/>
              </w:rPr>
            </w:pPr>
          </w:p>
        </w:tc>
        <w:tc>
          <w:tcPr>
            <w:tcW w:w="1060" w:type="dxa"/>
            <w:vAlign w:val="bottom"/>
            <w:vMerge w:val="restart"/>
          </w:tcPr>
          <w:p>
            <w:pPr>
              <w:jc w:val="right"/>
              <w:ind w:right="53"/>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24"/>
                <w:szCs w:val="24"/>
                <w:color w:val="auto"/>
              </w:rPr>
            </w:pPr>
          </w:p>
        </w:tc>
        <w:tc>
          <w:tcPr>
            <w:tcW w:w="760" w:type="dxa"/>
            <w:vAlign w:val="bottom"/>
            <w:vMerge w:val="restart"/>
          </w:tcPr>
          <w:p>
            <w:pPr>
              <w:jc w:val="right"/>
              <w:ind w:right="173"/>
              <w:spacing w:after="0"/>
              <w:rPr>
                <w:sz w:val="20"/>
                <w:szCs w:val="20"/>
                <w:color w:val="auto"/>
              </w:rPr>
            </w:pPr>
            <w:r>
              <w:rPr>
                <w:rFonts w:ascii="Arial" w:cs="Arial" w:eastAsia="Arial" w:hAnsi="Arial"/>
                <w:sz w:val="18"/>
                <w:szCs w:val="18"/>
                <w:color w:val="auto"/>
                <w:w w:val="87"/>
              </w:rPr>
              <w:t>19,184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87"/>
              </w:rPr>
              <w:t>11,922</w:t>
            </w:r>
          </w:p>
        </w:tc>
        <w:tc>
          <w:tcPr>
            <w:tcW w:w="34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286</w:t>
            </w:r>
          </w:p>
        </w:tc>
        <w:tc>
          <w:tcPr>
            <w:tcW w:w="240" w:type="dxa"/>
            <w:vAlign w:val="bottom"/>
            <w:shd w:val="clear" w:color="auto" w:fill="E5E5E5"/>
          </w:tcPr>
          <w:p>
            <w:pPr>
              <w:ind w:left="100"/>
              <w:spacing w:after="0"/>
              <w:rPr>
                <w:sz w:val="20"/>
                <w:szCs w:val="20"/>
                <w:color w:val="auto"/>
              </w:rPr>
            </w:pPr>
            <w:r>
              <w:rPr>
                <w:rFonts w:ascii="Arial" w:cs="Arial" w:eastAsia="Arial" w:hAnsi="Arial"/>
                <w:sz w:val="18"/>
                <w:szCs w:val="18"/>
                <w:color w:val="auto"/>
                <w:w w:val="74"/>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422)</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w w:val="87"/>
              </w:rPr>
              <w:t>11,786</w:t>
            </w:r>
          </w:p>
        </w:tc>
        <w:tc>
          <w:tcPr>
            <w:tcW w:w="26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54</w:t>
            </w:r>
          </w:p>
        </w:tc>
        <w:tc>
          <w:tcPr>
            <w:tcW w:w="10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w w:val="83"/>
              </w:rPr>
              <w:t>11,976</w:t>
            </w:r>
          </w:p>
        </w:tc>
        <w:tc>
          <w:tcPr>
            <w:tcW w:w="28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53</w:t>
            </w:r>
          </w:p>
        </w:tc>
        <w:tc>
          <w:tcPr>
            <w:tcW w:w="140" w:type="dxa"/>
            <w:vAlign w:val="bottom"/>
            <w:shd w:val="clear" w:color="auto" w:fill="E5E5E5"/>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w w:val="87"/>
              </w:rPr>
              <w:t>11,839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5,924</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61</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jc w:val="right"/>
              <w:ind w:right="193"/>
              <w:spacing w:after="0"/>
              <w:rPr>
                <w:sz w:val="20"/>
                <w:szCs w:val="20"/>
                <w:color w:val="auto"/>
              </w:rPr>
            </w:pPr>
            <w:r>
              <w:rPr>
                <w:rFonts w:ascii="Arial" w:cs="Arial" w:eastAsia="Arial" w:hAnsi="Arial"/>
                <w:sz w:val="18"/>
                <w:szCs w:val="18"/>
                <w:color w:val="auto"/>
              </w:rPr>
              <w:t>6,208</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jc w:val="right"/>
              <w:ind w:right="213"/>
              <w:spacing w:after="0"/>
              <w:rPr>
                <w:sz w:val="20"/>
                <w:szCs w:val="20"/>
                <w:color w:val="auto"/>
              </w:rPr>
            </w:pPr>
            <w:r>
              <w:rPr>
                <w:rFonts w:ascii="Arial" w:cs="Arial" w:eastAsia="Arial" w:hAnsi="Arial"/>
                <w:sz w:val="18"/>
                <w:szCs w:val="18"/>
                <w:color w:val="auto"/>
              </w:rPr>
              <w:t>5,954</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6,236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5,998</w:t>
            </w:r>
          </w:p>
        </w:tc>
        <w:tc>
          <w:tcPr>
            <w:tcW w:w="34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63</w:t>
            </w:r>
          </w:p>
        </w:tc>
        <w:tc>
          <w:tcPr>
            <w:tcW w:w="24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w w:val="74"/>
              </w:rPr>
              <w:t>($</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483)</w:t>
            </w: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5,578</w:t>
            </w:r>
          </w:p>
        </w:tc>
        <w:tc>
          <w:tcPr>
            <w:tcW w:w="26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right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6,022</w:t>
            </w:r>
          </w:p>
        </w:tc>
        <w:tc>
          <w:tcPr>
            <w:tcW w:w="2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5,603</w:t>
            </w:r>
          </w:p>
        </w:tc>
        <w:tc>
          <w:tcPr>
            <w:tcW w:w="0" w:type="dxa"/>
            <w:vAlign w:val="bottom"/>
          </w:tcPr>
          <w:p>
            <w:pPr>
              <w:spacing w:after="0"/>
              <w:rPr>
                <w:sz w:val="1"/>
                <w:szCs w:val="1"/>
                <w:color w:val="auto"/>
              </w:rPr>
            </w:pPr>
          </w:p>
        </w:tc>
      </w:tr>
      <w:tr>
        <w:trPr>
          <w:trHeight w:val="466"/>
        </w:trPr>
        <w:tc>
          <w:tcPr>
            <w:tcW w:w="322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5,993</w:t>
            </w: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193"/>
              <w:spacing w:after="0"/>
              <w:rPr>
                <w:sz w:val="20"/>
                <w:szCs w:val="20"/>
                <w:color w:val="auto"/>
              </w:rPr>
            </w:pPr>
            <w:r>
              <w:rPr>
                <w:rFonts w:ascii="Arial" w:cs="Arial" w:eastAsia="Arial" w:hAnsi="Arial"/>
                <w:sz w:val="18"/>
                <w:szCs w:val="18"/>
                <w:color w:val="auto"/>
              </w:rPr>
              <w:t>6,158</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right w:val="single" w:sz="8" w:color="auto"/>
            </w:tcBorders>
          </w:tcPr>
          <w:p>
            <w:pPr>
              <w:jc w:val="right"/>
              <w:ind w:right="213"/>
              <w:spacing w:after="0"/>
              <w:rPr>
                <w:sz w:val="20"/>
                <w:szCs w:val="20"/>
                <w:color w:val="auto"/>
              </w:rPr>
            </w:pPr>
            <w:r>
              <w:rPr>
                <w:rFonts w:ascii="Arial" w:cs="Arial" w:eastAsia="Arial" w:hAnsi="Arial"/>
                <w:sz w:val="18"/>
                <w:szCs w:val="18"/>
                <w:color w:val="auto"/>
              </w:rPr>
              <w:t>6,004</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6,169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w w:val="89"/>
              </w:rPr>
              <w:t>Twelve Months Ended December 31, 2006</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780" w:type="dxa"/>
            <w:vAlign w:val="bottom"/>
            <w:tcBorders>
              <w:right w:val="single" w:sz="8" w:color="auto"/>
            </w:tcBorders>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80" w:type="dxa"/>
            <w:vAlign w:val="bottom"/>
            <w:tcBorders>
              <w:right w:val="single" w:sz="8" w:color="auto"/>
            </w:tcBorders>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24,100</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1,053</w:t>
            </w:r>
          </w:p>
        </w:tc>
        <w:tc>
          <w:tcPr>
            <w:tcW w:w="240" w:type="dxa"/>
            <w:vAlign w:val="bottom"/>
          </w:tcPr>
          <w:p>
            <w:pPr>
              <w:ind w:left="100"/>
              <w:spacing w:after="0"/>
              <w:rPr>
                <w:sz w:val="20"/>
                <w:szCs w:val="20"/>
                <w:color w:val="auto"/>
              </w:rPr>
            </w:pPr>
            <w:r>
              <w:rPr>
                <w:rFonts w:ascii="Arial" w:cs="Arial" w:eastAsia="Arial" w:hAnsi="Arial"/>
                <w:sz w:val="18"/>
                <w:szCs w:val="18"/>
                <w:color w:val="auto"/>
                <w:w w:val="74"/>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193"/>
              <w:spacing w:after="0"/>
              <w:rPr>
                <w:sz w:val="20"/>
                <w:szCs w:val="20"/>
                <w:color w:val="auto"/>
              </w:rPr>
            </w:pPr>
            <w:r>
              <w:rPr>
                <w:rFonts w:ascii="Arial" w:cs="Arial" w:eastAsia="Arial" w:hAnsi="Arial"/>
                <w:sz w:val="18"/>
                <w:szCs w:val="18"/>
                <w:color w:val="auto"/>
                <w:w w:val="87"/>
              </w:rPr>
              <w:t>24,966</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2,440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auto"/>
            </w:tcBorders>
          </w:tcPr>
          <w:p>
            <w:pPr>
              <w:jc w:val="right"/>
              <w:ind w:right="213"/>
              <w:spacing w:after="0"/>
              <w:rPr>
                <w:sz w:val="20"/>
                <w:szCs w:val="20"/>
                <w:color w:val="auto"/>
              </w:rPr>
            </w:pPr>
            <w:r>
              <w:rPr>
                <w:rFonts w:ascii="Arial" w:cs="Arial" w:eastAsia="Arial" w:hAnsi="Arial"/>
                <w:sz w:val="18"/>
                <w:szCs w:val="18"/>
                <w:color w:val="auto"/>
                <w:w w:val="83"/>
              </w:rPr>
              <w:t>26,540</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2,829</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73"/>
              <w:spacing w:after="0"/>
              <w:rPr>
                <w:sz w:val="20"/>
                <w:szCs w:val="20"/>
                <w:color w:val="auto"/>
              </w:rPr>
            </w:pPr>
            <w:r>
              <w:rPr>
                <w:rFonts w:ascii="Arial" w:cs="Arial" w:eastAsia="Arial" w:hAnsi="Arial"/>
                <w:sz w:val="18"/>
                <w:szCs w:val="18"/>
                <w:color w:val="auto"/>
                <w:w w:val="87"/>
              </w:rPr>
              <w:t>27,795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Segment reclassifications (5)</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(58)</w:t>
            </w:r>
          </w:p>
        </w:tc>
        <w:tc>
          <w:tcPr>
            <w:tcW w:w="3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57</w:t>
            </w:r>
          </w:p>
        </w:tc>
        <w:tc>
          <w:tcPr>
            <w:tcW w:w="1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right w:val="single" w:sz="8" w:color="auto"/>
            </w:tcBorders>
            <w:shd w:val="clear" w:color="auto" w:fill="E5E5E5"/>
          </w:tcPr>
          <w:p>
            <w:pPr>
              <w:jc w:val="right"/>
              <w:ind w:right="29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1040" w:type="dxa"/>
            <w:vAlign w:val="bottom"/>
            <w:tcBorders>
              <w:bottom w:val="single" w:sz="8" w:color="auto"/>
            </w:tcBorders>
            <w:shd w:val="clear" w:color="auto" w:fill="E5E5E5"/>
          </w:tcPr>
          <w:p>
            <w:pPr>
              <w:ind w:left="6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right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(58)</w:t>
            </w:r>
          </w:p>
        </w:tc>
        <w:tc>
          <w:tcPr>
            <w:tcW w:w="28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24,042</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1,054</w:t>
            </w:r>
          </w:p>
        </w:tc>
        <w:tc>
          <w:tcPr>
            <w:tcW w:w="240" w:type="dxa"/>
            <w:vAlign w:val="bottom"/>
          </w:tcPr>
          <w:p>
            <w:pPr>
              <w:ind w:left="100"/>
              <w:spacing w:after="0"/>
              <w:rPr>
                <w:sz w:val="20"/>
                <w:szCs w:val="20"/>
                <w:color w:val="auto"/>
              </w:rPr>
            </w:pPr>
            <w:r>
              <w:rPr>
                <w:rFonts w:ascii="Arial" w:cs="Arial" w:eastAsia="Arial" w:hAnsi="Arial"/>
                <w:sz w:val="18"/>
                <w:szCs w:val="18"/>
                <w:color w:val="auto"/>
                <w:w w:val="74"/>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193"/>
              <w:spacing w:after="0"/>
              <w:rPr>
                <w:sz w:val="20"/>
                <w:szCs w:val="20"/>
                <w:color w:val="auto"/>
              </w:rPr>
            </w:pPr>
            <w:r>
              <w:rPr>
                <w:rFonts w:ascii="Arial" w:cs="Arial" w:eastAsia="Arial" w:hAnsi="Arial"/>
                <w:sz w:val="18"/>
                <w:szCs w:val="18"/>
                <w:color w:val="auto"/>
                <w:w w:val="87"/>
              </w:rPr>
              <w:t>24,966</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2,440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auto"/>
            </w:tcBorders>
          </w:tcPr>
          <w:p>
            <w:pPr>
              <w:jc w:val="right"/>
              <w:ind w:right="213"/>
              <w:spacing w:after="0"/>
              <w:rPr>
                <w:sz w:val="20"/>
                <w:szCs w:val="20"/>
                <w:color w:val="auto"/>
              </w:rPr>
            </w:pPr>
            <w:r>
              <w:rPr>
                <w:rFonts w:ascii="Arial" w:cs="Arial" w:eastAsia="Arial" w:hAnsi="Arial"/>
                <w:sz w:val="18"/>
                <w:szCs w:val="18"/>
                <w:color w:val="auto"/>
                <w:w w:val="83"/>
              </w:rPr>
              <w:t>26,482</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2,829</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73"/>
              <w:spacing w:after="0"/>
              <w:rPr>
                <w:sz w:val="20"/>
                <w:szCs w:val="20"/>
                <w:color w:val="auto"/>
              </w:rPr>
            </w:pPr>
            <w:r>
              <w:rPr>
                <w:rFonts w:ascii="Arial" w:cs="Arial" w:eastAsia="Arial" w:hAnsi="Arial"/>
                <w:sz w:val="18"/>
                <w:szCs w:val="18"/>
                <w:color w:val="auto"/>
                <w:w w:val="87"/>
              </w:rPr>
              <w:t>27,795</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shd w:val="clear" w:color="auto" w:fill="E5E5E5"/>
          </w:tcPr>
          <w:p>
            <w:pPr>
              <w:spacing w:after="0"/>
              <w:rPr>
                <w:sz w:val="20"/>
                <w:szCs w:val="20"/>
                <w:color w:val="auto"/>
              </w:rPr>
            </w:pPr>
            <w:r>
              <w:rPr>
                <w:rFonts w:ascii="Arial" w:cs="Arial" w:eastAsia="Arial" w:hAnsi="Arial"/>
                <w:sz w:val="18"/>
                <w:szCs w:val="18"/>
                <w:color w:val="auto"/>
              </w:rPr>
              <w:t>Operating Expenses (excluding</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780" w:type="dxa"/>
            <w:vAlign w:val="bottom"/>
            <w:tcBorders>
              <w:right w:val="single" w:sz="8" w:color="auto"/>
            </w:tcBorders>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80" w:type="dxa"/>
            <w:vAlign w:val="bottom"/>
            <w:tcBorders>
              <w:right w:val="single" w:sz="8" w:color="auto"/>
            </w:tcBorders>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E5E5E5"/>
          </w:tcPr>
          <w:p>
            <w:pPr>
              <w:spacing w:after="0"/>
              <w:rPr>
                <w:sz w:val="19"/>
                <w:szCs w:val="19"/>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87"/>
              </w:rPr>
              <w:t>14,396</w:t>
            </w:r>
          </w:p>
        </w:tc>
        <w:tc>
          <w:tcPr>
            <w:tcW w:w="340" w:type="dxa"/>
            <w:vAlign w:val="bottom"/>
            <w:shd w:val="clear" w:color="auto" w:fill="E5E5E5"/>
          </w:tcPr>
          <w:p>
            <w:pPr>
              <w:spacing w:after="0"/>
              <w:rPr>
                <w:sz w:val="19"/>
                <w:szCs w:val="19"/>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812</w:t>
            </w:r>
          </w:p>
        </w:tc>
        <w:tc>
          <w:tcPr>
            <w:tcW w:w="240" w:type="dxa"/>
            <w:vAlign w:val="bottom"/>
            <w:shd w:val="clear" w:color="auto" w:fill="E5E5E5"/>
          </w:tcPr>
          <w:p>
            <w:pPr>
              <w:spacing w:after="0"/>
              <w:rPr>
                <w:sz w:val="19"/>
                <w:szCs w:val="19"/>
                <w:color w:val="auto"/>
              </w:rPr>
            </w:pPr>
          </w:p>
        </w:tc>
        <w:tc>
          <w:tcPr>
            <w:tcW w:w="9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E5E5E5"/>
          </w:tcPr>
          <w:p>
            <w:pPr>
              <w:spacing w:after="0"/>
              <w:rPr>
                <w:sz w:val="19"/>
                <w:szCs w:val="19"/>
                <w:color w:val="auto"/>
              </w:rPr>
            </w:pPr>
          </w:p>
        </w:tc>
        <w:tc>
          <w:tcPr>
            <w:tcW w:w="780" w:type="dxa"/>
            <w:vAlign w:val="bottom"/>
            <w:tcBorders>
              <w:right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w w:val="87"/>
              </w:rPr>
              <w:t>15,524</w:t>
            </w:r>
          </w:p>
        </w:tc>
        <w:tc>
          <w:tcPr>
            <w:tcW w:w="260" w:type="dxa"/>
            <w:vAlign w:val="bottom"/>
            <w:shd w:val="clear" w:color="auto" w:fill="E5E5E5"/>
          </w:tcPr>
          <w:p>
            <w:pPr>
              <w:spacing w:after="0"/>
              <w:rPr>
                <w:sz w:val="19"/>
                <w:szCs w:val="19"/>
                <w:color w:val="auto"/>
              </w:rPr>
            </w:pPr>
          </w:p>
        </w:tc>
        <w:tc>
          <w:tcPr>
            <w:tcW w:w="10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1,552</w:t>
            </w:r>
          </w:p>
        </w:tc>
        <w:tc>
          <w:tcPr>
            <w:tcW w:w="100" w:type="dxa"/>
            <w:vAlign w:val="bottom"/>
            <w:shd w:val="clear" w:color="auto" w:fill="E5E5E5"/>
          </w:tcPr>
          <w:p>
            <w:pPr>
              <w:spacing w:after="0"/>
              <w:rPr>
                <w:sz w:val="19"/>
                <w:szCs w:val="19"/>
                <w:color w:val="auto"/>
              </w:rPr>
            </w:pPr>
          </w:p>
        </w:tc>
        <w:tc>
          <w:tcPr>
            <w:tcW w:w="780" w:type="dxa"/>
            <w:vAlign w:val="bottom"/>
            <w:tcBorders>
              <w:right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w w:val="83"/>
              </w:rPr>
              <w:t>15,948</w:t>
            </w:r>
          </w:p>
        </w:tc>
        <w:tc>
          <w:tcPr>
            <w:tcW w:w="280" w:type="dxa"/>
            <w:vAlign w:val="bottom"/>
            <w:shd w:val="clear" w:color="auto" w:fill="E5E5E5"/>
          </w:tcPr>
          <w:p>
            <w:pPr>
              <w:spacing w:after="0"/>
              <w:rPr>
                <w:sz w:val="19"/>
                <w:szCs w:val="19"/>
                <w:color w:val="auto"/>
              </w:rPr>
            </w:pPr>
          </w:p>
        </w:tc>
        <w:tc>
          <w:tcPr>
            <w:tcW w:w="10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1,799</w:t>
            </w:r>
          </w:p>
        </w:tc>
        <w:tc>
          <w:tcPr>
            <w:tcW w:w="14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w w:val="87"/>
              </w:rPr>
              <w:t>17,323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Segment reclassifications (5)</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jc w:val="right"/>
              <w:ind w:right="29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jc w:val="right"/>
              <w:ind w:right="213"/>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9,667</w:t>
            </w:r>
          </w:p>
        </w:tc>
        <w:tc>
          <w:tcPr>
            <w:tcW w:w="34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239</w:t>
            </w:r>
          </w:p>
        </w:tc>
        <w:tc>
          <w:tcPr>
            <w:tcW w:w="240" w:type="dxa"/>
            <w:vAlign w:val="bottom"/>
            <w:shd w:val="clear" w:color="auto" w:fill="E5E5E5"/>
          </w:tcPr>
          <w:p>
            <w:pPr>
              <w:ind w:left="100"/>
              <w:spacing w:after="0"/>
              <w:rPr>
                <w:sz w:val="20"/>
                <w:szCs w:val="20"/>
                <w:color w:val="auto"/>
              </w:rPr>
            </w:pPr>
            <w:r>
              <w:rPr>
                <w:rFonts w:ascii="Arial" w:cs="Arial" w:eastAsia="Arial" w:hAnsi="Arial"/>
                <w:sz w:val="18"/>
                <w:szCs w:val="18"/>
                <w:color w:val="auto"/>
                <w:w w:val="74"/>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464)</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9,442</w:t>
            </w:r>
          </w:p>
        </w:tc>
        <w:tc>
          <w:tcPr>
            <w:tcW w:w="26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w w:val="83"/>
              </w:rPr>
              <w:t>10,555</w:t>
            </w:r>
          </w:p>
        </w:tc>
        <w:tc>
          <w:tcPr>
            <w:tcW w:w="28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1,030</w:t>
            </w:r>
          </w:p>
        </w:tc>
        <w:tc>
          <w:tcPr>
            <w:tcW w:w="140" w:type="dxa"/>
            <w:vAlign w:val="bottom"/>
            <w:shd w:val="clear" w:color="auto" w:fill="E5E5E5"/>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w w:val="87"/>
              </w:rPr>
              <w:t>10,472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4,657</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jc w:val="right"/>
              <w:ind w:right="193"/>
              <w:spacing w:after="0"/>
              <w:rPr>
                <w:sz w:val="20"/>
                <w:szCs w:val="20"/>
                <w:color w:val="auto"/>
              </w:rPr>
            </w:pPr>
            <w:r>
              <w:rPr>
                <w:rFonts w:ascii="Arial" w:cs="Arial" w:eastAsia="Arial" w:hAnsi="Arial"/>
                <w:sz w:val="18"/>
                <w:szCs w:val="18"/>
                <w:color w:val="auto"/>
              </w:rPr>
              <w:t>4,823</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jc w:val="right"/>
              <w:ind w:right="213"/>
              <w:spacing w:after="0"/>
              <w:rPr>
                <w:sz w:val="20"/>
                <w:szCs w:val="20"/>
                <w:color w:val="auto"/>
              </w:rPr>
            </w:pPr>
            <w:r>
              <w:rPr>
                <w:rFonts w:ascii="Arial" w:cs="Arial" w:eastAsia="Arial" w:hAnsi="Arial"/>
                <w:sz w:val="18"/>
                <w:szCs w:val="18"/>
                <w:color w:val="auto"/>
              </w:rPr>
              <w:t>5,309</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721</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5,544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5,010</w:t>
            </w:r>
          </w:p>
        </w:tc>
        <w:tc>
          <w:tcPr>
            <w:tcW w:w="34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72</w:t>
            </w:r>
          </w:p>
        </w:tc>
        <w:tc>
          <w:tcPr>
            <w:tcW w:w="24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w w:val="74"/>
              </w:rPr>
              <w:t>($</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463)</w:t>
            </w: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4,619</w:t>
            </w:r>
          </w:p>
        </w:tc>
        <w:tc>
          <w:tcPr>
            <w:tcW w:w="26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right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5,246</w:t>
            </w:r>
          </w:p>
        </w:tc>
        <w:tc>
          <w:tcPr>
            <w:tcW w:w="2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309</w:t>
            </w:r>
          </w:p>
        </w:tc>
        <w:tc>
          <w:tcPr>
            <w:tcW w:w="14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4,928</w:t>
            </w:r>
          </w:p>
        </w:tc>
        <w:tc>
          <w:tcPr>
            <w:tcW w:w="0" w:type="dxa"/>
            <w:vAlign w:val="bottom"/>
          </w:tcPr>
          <w:p>
            <w:pPr>
              <w:spacing w:after="0"/>
              <w:rPr>
                <w:sz w:val="1"/>
                <w:szCs w:val="1"/>
                <w:color w:val="auto"/>
              </w:rPr>
            </w:pPr>
          </w:p>
        </w:tc>
      </w:tr>
      <w:tr>
        <w:trPr>
          <w:trHeight w:val="466"/>
        </w:trPr>
        <w:tc>
          <w:tcPr>
            <w:tcW w:w="322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4,244</w:t>
            </w: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193"/>
              <w:spacing w:after="0"/>
              <w:rPr>
                <w:sz w:val="20"/>
                <w:szCs w:val="20"/>
                <w:color w:val="auto"/>
              </w:rPr>
            </w:pPr>
            <w:r>
              <w:rPr>
                <w:rFonts w:ascii="Arial" w:cs="Arial" w:eastAsia="Arial" w:hAnsi="Arial"/>
                <w:sz w:val="18"/>
                <w:szCs w:val="18"/>
                <w:color w:val="auto"/>
              </w:rPr>
              <w:t>4,395</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right w:val="single" w:sz="8" w:color="auto"/>
            </w:tcBorders>
          </w:tcPr>
          <w:p>
            <w:pPr>
              <w:jc w:val="right"/>
              <w:ind w:right="213"/>
              <w:spacing w:after="0"/>
              <w:rPr>
                <w:sz w:val="20"/>
                <w:szCs w:val="20"/>
                <w:color w:val="auto"/>
              </w:rPr>
            </w:pPr>
            <w:r>
              <w:rPr>
                <w:rFonts w:ascii="Arial" w:cs="Arial" w:eastAsia="Arial" w:hAnsi="Arial"/>
                <w:sz w:val="18"/>
                <w:szCs w:val="18"/>
                <w:color w:val="auto"/>
              </w:rPr>
              <w:t>4,655</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307</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4,702</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46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 forma data is adjusted only for timing of acquisitions or dispositions and does not include adjustments for costs related to integration activities, cost savings or synergies that have been or may be achieved by the combined businesses. Pro forma results are presented as if the acquisitions and dispositions were effective on January 1, 2006. Minor differences may exist due to rounding.</w:t>
      </w:r>
    </w:p>
    <w:p>
      <w:pPr>
        <w:spacing w:after="0" w:line="59"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From August 1, 2006 to December 31, 2006, the cable segment includes the operating results of the cable systems serving Houston, TX as a result of the dissolution of our cable partnership with Time Warner. This adjustment is reversed in the Corporate, Other and Eliminations column to reconcile to our consolidated amounts.</w:t>
      </w:r>
    </w:p>
    <w:p>
      <w:pPr>
        <w:spacing w:after="0" w:line="59"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Cable Pro Forma adjustments for 2006 include cable systems serving Houston, TX prior to August 1, 2006, Adelphia/Time Warner transactions and the Susquehanna Communications acquisition. Cable Pro Forma adjustments for 2007 and 2006 include the cable system acquired from Patriot Media and the SportsNet Bay Area/Sports Channel New England acquisitions.</w:t>
      </w:r>
    </w:p>
    <w:p>
      <w:pPr>
        <w:spacing w:after="0" w:line="59"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Pro Forma adjustments for 2006 include cable systems serving Houston, TX, Adelphia/Time Warner transactions and the Susquehanna Communications acquisition. Total Pro Forma adjustments for 2007 and 2006 include the cable system acquired from Patriot Media and the SportsNet Bay Area/Sports Channel New England acquisitions.</w:t>
      </w:r>
    </w:p>
    <w:p>
      <w:pPr>
        <w:sectPr>
          <w:pgSz w:w="11900" w:h="16884" w:orient="portrait"/>
          <w:cols w:equalWidth="0" w:num="1">
            <w:col w:w="11420"/>
          </w:cols>
          <w:pgMar w:left="240" w:top="823" w:right="239" w:bottom="0" w:gutter="0" w:footer="0" w:header="0"/>
        </w:sectPr>
      </w:pPr>
    </w:p>
    <w:bookmarkStart w:id="17" w:name="page18"/>
    <w:bookmarkEnd w:id="17"/>
    <w:p>
      <w:pPr>
        <w:ind w:left="452" w:hanging="452"/>
        <w:spacing w:after="0"/>
        <w:tabs>
          <w:tab w:leader="none" w:pos="452" w:val="left"/>
        </w:tabs>
        <w:numPr>
          <w:ilvl w:val="0"/>
          <w:numId w:val="12"/>
        </w:numPr>
        <w:rPr>
          <w:rFonts w:ascii="Arial" w:cs="Arial" w:eastAsia="Arial" w:hAnsi="Arial"/>
          <w:sz w:val="15"/>
          <w:szCs w:val="15"/>
          <w:color w:val="auto"/>
        </w:rPr>
      </w:pPr>
      <w:r>
        <w:rPr>
          <w:rFonts w:ascii="Arial" w:cs="Arial" w:eastAsia="Arial" w:hAnsi="Arial"/>
          <w:sz w:val="15"/>
          <w:szCs w:val="15"/>
          <w:color w:val="auto"/>
        </w:rPr>
        <w:t>To be consistent with our management reporting, reclassifications were made to Cable, Programming, Corporate and Other.</w:t>
      </w:r>
    </w:p>
    <w:p>
      <w:pPr>
        <w:sectPr>
          <w:pgSz w:w="11900" w:h="16838" w:orient="portrait"/>
          <w:cols w:equalWidth="0" w:num="1">
            <w:col w:w="10211"/>
          </w:cols>
          <w:pgMar w:left="248" w:top="212" w:right="1440" w:bottom="1440" w:gutter="0" w:footer="0" w:header="0"/>
        </w:sectPr>
      </w:pPr>
    </w:p>
    <w:p>
      <w:pPr>
        <w:spacing w:after="0" w:line="204" w:lineRule="exact"/>
        <w:rPr>
          <w:sz w:val="20"/>
          <w:szCs w:val="20"/>
          <w:color w:val="auto"/>
        </w:rPr>
      </w:pPr>
    </w:p>
    <w:p>
      <w:pPr>
        <w:ind w:left="5612"/>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211"/>
          </w:cols>
          <w:pgMar w:left="248" w:top="212" w:right="1440"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3073400</wp:posOffset>
            </wp:positionH>
            <wp:positionV relativeFrom="page">
              <wp:posOffset>183515</wp:posOffset>
            </wp:positionV>
            <wp:extent cx="1423670" cy="3600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423670" cy="360045"/>
                    </a:xfrm>
                    <a:prstGeom prst="rect">
                      <a:avLst/>
                    </a:prstGeom>
                    <a:noFill/>
                  </pic:spPr>
                </pic:pic>
              </a:graphicData>
            </a:graphic>
          </wp:anchor>
        </w:drawing>
        <w:t>TABLE 7-B</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Net Income to Adjusted Net Income</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Three Months Ended</w:t>
            </w:r>
          </w:p>
        </w:tc>
        <w:tc>
          <w:tcPr>
            <w:tcW w:w="700" w:type="dxa"/>
            <w:vAlign w:val="bottom"/>
            <w:tcBorders>
              <w:right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left="160"/>
              <w:spacing w:after="0"/>
              <w:rPr>
                <w:sz w:val="20"/>
                <w:szCs w:val="20"/>
                <w:color w:val="auto"/>
              </w:rPr>
            </w:pPr>
            <w:r>
              <w:rPr>
                <w:rFonts w:ascii="Arial" w:cs="Arial" w:eastAsia="Arial" w:hAnsi="Arial"/>
                <w:sz w:val="14"/>
                <w:szCs w:val="14"/>
                <w:b w:val="1"/>
                <w:bCs w:val="1"/>
                <w:color w:val="auto"/>
                <w:w w:val="85"/>
              </w:rPr>
              <w:t>December 31,</w:t>
            </w: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200" w:type="dxa"/>
            <w:vAlign w:val="bottom"/>
            <w:gridSpan w:val="2"/>
          </w:tcPr>
          <w:p>
            <w:pPr>
              <w:jc w:val="center"/>
              <w:ind w:left="120"/>
              <w:spacing w:after="0" w:line="130" w:lineRule="exact"/>
              <w:rPr>
                <w:sz w:val="20"/>
                <w:szCs w:val="20"/>
                <w:color w:val="auto"/>
              </w:rPr>
            </w:pPr>
            <w:r>
              <w:rPr>
                <w:rFonts w:ascii="Arial" w:cs="Arial" w:eastAsia="Arial" w:hAnsi="Arial"/>
                <w:sz w:val="14"/>
                <w:szCs w:val="14"/>
                <w:b w:val="1"/>
                <w:bCs w:val="1"/>
                <w:color w:val="auto"/>
                <w:w w:val="84"/>
              </w:rPr>
              <w:t>2007 vs. 2006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12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360" w:type="dxa"/>
            <w:vAlign w:val="bottom"/>
          </w:tcPr>
          <w:p>
            <w:pPr>
              <w:spacing w:after="0"/>
              <w:rPr>
                <w:sz w:val="14"/>
                <w:szCs w:val="14"/>
                <w:color w:val="auto"/>
              </w:rPr>
            </w:pPr>
          </w:p>
        </w:tc>
        <w:tc>
          <w:tcPr>
            <w:tcW w:w="560" w:type="dxa"/>
            <w:vAlign w:val="bottom"/>
          </w:tcPr>
          <w:p>
            <w:pPr>
              <w:ind w:left="300"/>
              <w:spacing w:after="0"/>
              <w:rPr>
                <w:sz w:val="20"/>
                <w:szCs w:val="20"/>
                <w:color w:val="auto"/>
              </w:rPr>
            </w:pPr>
            <w:r>
              <w:rPr>
                <w:rFonts w:ascii="Arial" w:cs="Arial" w:eastAsia="Arial" w:hAnsi="Arial"/>
                <w:sz w:val="14"/>
                <w:szCs w:val="14"/>
                <w:b w:val="1"/>
                <w:bCs w:val="1"/>
                <w:color w:val="auto"/>
                <w:w w:val="76"/>
              </w:rPr>
              <w:t>2007</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Borders>
              <w:right w:val="single" w:sz="8" w:color="auto"/>
            </w:tcBorders>
            <w:gridSpan w:val="2"/>
          </w:tcPr>
          <w:p>
            <w:pPr>
              <w:jc w:val="center"/>
              <w:ind w:right="476"/>
              <w:spacing w:after="0"/>
              <w:rPr>
                <w:sz w:val="20"/>
                <w:szCs w:val="20"/>
                <w:color w:val="auto"/>
              </w:rPr>
            </w:pPr>
            <w:r>
              <w:rPr>
                <w:rFonts w:ascii="Arial" w:cs="Arial" w:eastAsia="Arial" w:hAnsi="Arial"/>
                <w:sz w:val="14"/>
                <w:szCs w:val="14"/>
                <w:b w:val="1"/>
                <w:bCs w:val="1"/>
                <w:color w:val="auto"/>
                <w:w w:val="89"/>
              </w:rPr>
              <w:t>2006</w:t>
            </w:r>
          </w:p>
        </w:tc>
        <w:tc>
          <w:tcPr>
            <w:tcW w:w="1220" w:type="dxa"/>
            <w:vAlign w:val="bottom"/>
            <w:gridSpan w:val="3"/>
          </w:tcPr>
          <w:p>
            <w:pPr>
              <w:jc w:val="center"/>
              <w:ind w:left="120"/>
              <w:spacing w:after="0"/>
              <w:rPr>
                <w:sz w:val="20"/>
                <w:szCs w:val="20"/>
                <w:color w:val="auto"/>
              </w:rPr>
            </w:pPr>
            <w:r>
              <w:rPr>
                <w:rFonts w:ascii="Arial" w:cs="Arial" w:eastAsia="Arial" w:hAnsi="Arial"/>
                <w:sz w:val="14"/>
                <w:szCs w:val="14"/>
                <w:b w:val="1"/>
                <w:bCs w:val="1"/>
                <w:color w:val="auto"/>
                <w:w w:val="93"/>
              </w:rPr>
              <w:t>Growth (%)</w:t>
            </w:r>
          </w:p>
        </w:tc>
        <w:tc>
          <w:tcPr>
            <w:tcW w:w="0" w:type="dxa"/>
            <w:vAlign w:val="bottom"/>
          </w:tcPr>
          <w:p>
            <w:pPr>
              <w:spacing w:after="0"/>
              <w:rPr>
                <w:sz w:val="1"/>
                <w:szCs w:val="1"/>
                <w:color w:val="auto"/>
              </w:rPr>
            </w:pPr>
          </w:p>
        </w:tc>
      </w:tr>
      <w:tr>
        <w:trPr>
          <w:trHeight w:val="142"/>
        </w:trPr>
        <w:tc>
          <w:tcPr>
            <w:tcW w:w="7120" w:type="dxa"/>
            <w:vAlign w:val="bottom"/>
            <w:gridSpan w:val="2"/>
            <w:vMerge w:val="continue"/>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5"/>
              </w:rPr>
              <w:t>EPS (1)</w:t>
            </w:r>
          </w:p>
        </w:tc>
        <w:tc>
          <w:tcPr>
            <w:tcW w:w="2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EPS (1)</w:t>
            </w:r>
          </w:p>
        </w:tc>
        <w:tc>
          <w:tcPr>
            <w:tcW w:w="640" w:type="dxa"/>
            <w:vAlign w:val="bottom"/>
            <w:tcBorders>
              <w:top w:val="single" w:sz="8" w:color="auto"/>
            </w:tcBorders>
          </w:tcPr>
          <w:p>
            <w:pPr>
              <w:jc w:val="center"/>
              <w:ind w:left="40"/>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EPS (1)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rPr>
              <w:t>602</w:t>
            </w:r>
          </w:p>
        </w:tc>
        <w:tc>
          <w:tcPr>
            <w:tcW w:w="560" w:type="dxa"/>
            <w:vAlign w:val="bottom"/>
            <w:tcBorders>
              <w:top w:val="single" w:sz="8" w:color="auto"/>
            </w:tcBorders>
            <w:shd w:val="clear" w:color="auto" w:fill="E5E5E5"/>
          </w:tcPr>
          <w:p>
            <w:pPr>
              <w:jc w:val="right"/>
              <w:ind w:right="40"/>
              <w:spacing w:after="0"/>
              <w:rPr>
                <w:sz w:val="20"/>
                <w:szCs w:val="20"/>
                <w:color w:val="auto"/>
              </w:rPr>
            </w:pPr>
            <w:r>
              <w:rPr>
                <w:rFonts w:ascii="Arial" w:cs="Arial" w:eastAsia="Arial" w:hAnsi="Arial"/>
                <w:sz w:val="18"/>
                <w:szCs w:val="18"/>
                <w:b w:val="1"/>
                <w:bCs w:val="1"/>
                <w:color w:val="auto"/>
                <w:w w:val="83"/>
              </w:rPr>
              <w:t>$ 0.20</w:t>
            </w:r>
          </w:p>
        </w:tc>
        <w:tc>
          <w:tcPr>
            <w:tcW w:w="260" w:type="dxa"/>
            <w:vAlign w:val="bottom"/>
            <w:tcBorders>
              <w:top w:val="single" w:sz="8" w:color="auto"/>
            </w:tcBorders>
            <w:shd w:val="clear" w:color="auto" w:fill="E5E5E5"/>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390</w:t>
            </w:r>
          </w:p>
        </w:tc>
        <w:tc>
          <w:tcPr>
            <w:tcW w:w="260" w:type="dxa"/>
            <w:vAlign w:val="bottom"/>
            <w:tcBorders>
              <w:top w:val="single" w:sz="8" w:color="auto"/>
            </w:tcBorders>
            <w:shd w:val="clear" w:color="auto" w:fill="E5E5E5"/>
          </w:tcPr>
          <w:p>
            <w:pPr>
              <w:jc w:val="center"/>
              <w:ind w:left="59"/>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right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rPr>
              <w:t>0.13</w:t>
            </w:r>
          </w:p>
        </w:tc>
        <w:tc>
          <w:tcPr>
            <w:tcW w:w="640" w:type="dxa"/>
            <w:vAlign w:val="bottom"/>
            <w:tcBorders>
              <w:top w:val="single" w:sz="8" w:color="auto"/>
            </w:tcBorders>
            <w:shd w:val="clear" w:color="auto" w:fill="E5E5E5"/>
          </w:tcPr>
          <w:p>
            <w:pPr>
              <w:jc w:val="center"/>
              <w:ind w:left="40"/>
              <w:spacing w:after="0"/>
              <w:rPr>
                <w:sz w:val="20"/>
                <w:szCs w:val="20"/>
                <w:color w:val="auto"/>
              </w:rPr>
            </w:pPr>
            <w:r>
              <w:rPr>
                <w:rFonts w:ascii="Arial" w:cs="Arial" w:eastAsia="Arial" w:hAnsi="Arial"/>
                <w:sz w:val="18"/>
                <w:szCs w:val="18"/>
                <w:color w:val="auto"/>
                <w:w w:val="88"/>
              </w:rPr>
              <w:t>54%</w:t>
            </w:r>
          </w:p>
        </w:tc>
        <w:tc>
          <w:tcPr>
            <w:tcW w:w="5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7120" w:type="dxa"/>
            <w:vAlign w:val="bottom"/>
            <w:gridSpan w:val="2"/>
          </w:tcPr>
          <w:p>
            <w:pPr>
              <w:spacing w:after="0"/>
              <w:rPr>
                <w:sz w:val="20"/>
                <w:szCs w:val="20"/>
                <w:color w:val="auto"/>
              </w:rPr>
            </w:pPr>
            <w:r>
              <w:rPr>
                <w:rFonts w:ascii="Arial" w:cs="Arial" w:eastAsia="Arial" w:hAnsi="Arial"/>
                <w:sz w:val="18"/>
                <w:szCs w:val="18"/>
                <w:color w:val="auto"/>
              </w:rPr>
              <w:t>Adjustments:</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Adjustment to gain on discontinued operations, net of tax (2)</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ind w:left="8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E5E5E5"/>
          </w:tcPr>
          <w:p>
            <w:pPr>
              <w:spacing w:after="0"/>
              <w:rPr>
                <w:sz w:val="18"/>
                <w:szCs w:val="18"/>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(39)</w:t>
            </w:r>
          </w:p>
        </w:tc>
        <w:tc>
          <w:tcPr>
            <w:tcW w:w="260" w:type="dxa"/>
            <w:vAlign w:val="bottom"/>
            <w:shd w:val="clear" w:color="auto" w:fill="E5E5E5"/>
          </w:tcPr>
          <w:p>
            <w:pPr>
              <w:spacing w:after="0"/>
              <w:rPr>
                <w:sz w:val="18"/>
                <w:szCs w:val="18"/>
                <w:color w:val="auto"/>
              </w:rPr>
            </w:pPr>
          </w:p>
        </w:tc>
        <w:tc>
          <w:tcPr>
            <w:tcW w:w="700" w:type="dxa"/>
            <w:vAlign w:val="bottom"/>
            <w:tcBorders>
              <w:right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w w:val="84"/>
              </w:rPr>
              <w:t>(0.01)</w:t>
            </w:r>
          </w:p>
        </w:tc>
        <w:tc>
          <w:tcPr>
            <w:tcW w:w="640" w:type="dxa"/>
            <w:vAlign w:val="bottom"/>
            <w:shd w:val="clear" w:color="auto" w:fill="E5E5E5"/>
          </w:tcPr>
          <w:p>
            <w:pPr>
              <w:jc w:val="right"/>
              <w:ind w:right="20"/>
              <w:spacing w:after="0"/>
              <w:rPr>
                <w:sz w:val="20"/>
                <w:szCs w:val="20"/>
                <w:color w:val="auto"/>
              </w:rPr>
            </w:pPr>
            <w:r>
              <w:rPr>
                <w:rFonts w:ascii="Arial" w:cs="Arial" w:eastAsia="Arial" w:hAnsi="Arial"/>
                <w:sz w:val="18"/>
                <w:szCs w:val="18"/>
                <w:color w:val="auto"/>
              </w:rPr>
              <w:t>NM</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Adjustment to gain on Adelphia/Time Warner transactions, net of tax (2)</w:t>
            </w: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(30)</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jc w:val="right"/>
              <w:ind w:right="196"/>
              <w:spacing w:after="0"/>
              <w:rPr>
                <w:sz w:val="20"/>
                <w:szCs w:val="20"/>
                <w:color w:val="auto"/>
              </w:rPr>
            </w:pPr>
            <w:r>
              <w:rPr>
                <w:rFonts w:ascii="Arial" w:cs="Arial" w:eastAsia="Arial" w:hAnsi="Arial"/>
                <w:sz w:val="18"/>
                <w:szCs w:val="18"/>
                <w:color w:val="auto"/>
                <w:w w:val="84"/>
              </w:rPr>
              <w:t>(0.01)</w:t>
            </w: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NM</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E5E5E5"/>
          </w:tcPr>
          <w:p>
            <w:pPr>
              <w:spacing w:after="0"/>
              <w:rPr>
                <w:sz w:val="20"/>
                <w:szCs w:val="20"/>
                <w:color w:val="auto"/>
              </w:rPr>
            </w:pPr>
            <w:r>
              <w:rPr>
                <w:rFonts w:ascii="Arial" w:cs="Arial" w:eastAsia="Arial" w:hAnsi="Arial"/>
                <w:sz w:val="18"/>
                <w:szCs w:val="18"/>
                <w:color w:val="auto"/>
              </w:rPr>
              <w:t>Adjusted Net Income</w:t>
            </w:r>
          </w:p>
        </w:tc>
        <w:tc>
          <w:tcPr>
            <w:tcW w:w="360" w:type="dxa"/>
            <w:vAlign w:val="bottom"/>
            <w:shd w:val="clear" w:color="auto" w:fill="E5E5E5"/>
          </w:tcPr>
          <w:p>
            <w:pPr>
              <w:ind w:left="20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E5E5E5"/>
          </w:tcPr>
          <w:p>
            <w:pPr>
              <w:ind w:left="80"/>
              <w:spacing w:after="0"/>
              <w:rPr>
                <w:sz w:val="20"/>
                <w:szCs w:val="20"/>
                <w:color w:val="auto"/>
              </w:rPr>
            </w:pPr>
            <w:r>
              <w:rPr>
                <w:rFonts w:ascii="Arial" w:cs="Arial" w:eastAsia="Arial" w:hAnsi="Arial"/>
                <w:sz w:val="18"/>
                <w:szCs w:val="18"/>
                <w:b w:val="1"/>
                <w:bCs w:val="1"/>
                <w:color w:val="auto"/>
              </w:rPr>
              <w:t>602</w:t>
            </w:r>
          </w:p>
        </w:tc>
        <w:tc>
          <w:tcPr>
            <w:tcW w:w="560" w:type="dxa"/>
            <w:vAlign w:val="bottom"/>
            <w:shd w:val="clear" w:color="auto" w:fill="E5E5E5"/>
          </w:tcPr>
          <w:p>
            <w:pPr>
              <w:jc w:val="right"/>
              <w:ind w:right="40"/>
              <w:spacing w:after="0"/>
              <w:rPr>
                <w:sz w:val="20"/>
                <w:szCs w:val="20"/>
                <w:color w:val="auto"/>
              </w:rPr>
            </w:pPr>
            <w:r>
              <w:rPr>
                <w:rFonts w:ascii="Arial" w:cs="Arial" w:eastAsia="Arial" w:hAnsi="Arial"/>
                <w:sz w:val="18"/>
                <w:szCs w:val="18"/>
                <w:b w:val="1"/>
                <w:bCs w:val="1"/>
                <w:color w:val="auto"/>
                <w:w w:val="83"/>
              </w:rPr>
              <w:t>$ 0.20</w:t>
            </w:r>
          </w:p>
        </w:tc>
        <w:tc>
          <w:tcPr>
            <w:tcW w:w="26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459</w:t>
            </w:r>
          </w:p>
        </w:tc>
        <w:tc>
          <w:tcPr>
            <w:tcW w:w="260" w:type="dxa"/>
            <w:vAlign w:val="bottom"/>
            <w:shd w:val="clear" w:color="auto" w:fill="E5E5E5"/>
          </w:tcPr>
          <w:p>
            <w:pPr>
              <w:jc w:val="center"/>
              <w:ind w:left="59"/>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rPr>
              <w:t>0.15</w:t>
            </w:r>
          </w:p>
        </w:tc>
        <w:tc>
          <w:tcPr>
            <w:tcW w:w="640" w:type="dxa"/>
            <w:vAlign w:val="bottom"/>
            <w:shd w:val="clear" w:color="auto" w:fill="E5E5E5"/>
          </w:tcPr>
          <w:p>
            <w:pPr>
              <w:jc w:val="center"/>
              <w:ind w:left="40"/>
              <w:spacing w:after="0"/>
              <w:rPr>
                <w:sz w:val="20"/>
                <w:szCs w:val="20"/>
                <w:color w:val="auto"/>
              </w:rPr>
            </w:pPr>
            <w:r>
              <w:rPr>
                <w:rFonts w:ascii="Arial" w:cs="Arial" w:eastAsia="Arial" w:hAnsi="Arial"/>
                <w:sz w:val="18"/>
                <w:szCs w:val="18"/>
                <w:color w:val="auto"/>
                <w:w w:val="88"/>
              </w:rPr>
              <w:t>32%</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8"/>
              </w:rPr>
              <w:t>Twelve Months Ended</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80" w:type="dxa"/>
            <w:vAlign w:val="bottom"/>
            <w:gridSpan w:val="4"/>
            <w:vMerge w:val="continue"/>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left="160"/>
              <w:spacing w:after="0"/>
              <w:rPr>
                <w:sz w:val="20"/>
                <w:szCs w:val="20"/>
                <w:color w:val="auto"/>
              </w:rPr>
            </w:pPr>
            <w:r>
              <w:rPr>
                <w:rFonts w:ascii="Arial" w:cs="Arial" w:eastAsia="Arial" w:hAnsi="Arial"/>
                <w:sz w:val="14"/>
                <w:szCs w:val="14"/>
                <w:b w:val="1"/>
                <w:bCs w:val="1"/>
                <w:color w:val="auto"/>
                <w:w w:val="85"/>
              </w:rPr>
              <w:t>December 31,</w:t>
            </w: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200" w:type="dxa"/>
            <w:vAlign w:val="bottom"/>
            <w:gridSpan w:val="2"/>
          </w:tcPr>
          <w:p>
            <w:pPr>
              <w:jc w:val="center"/>
              <w:ind w:left="120"/>
              <w:spacing w:after="0" w:line="130" w:lineRule="exact"/>
              <w:rPr>
                <w:sz w:val="20"/>
                <w:szCs w:val="20"/>
                <w:color w:val="auto"/>
              </w:rPr>
            </w:pPr>
            <w:r>
              <w:rPr>
                <w:rFonts w:ascii="Arial" w:cs="Arial" w:eastAsia="Arial" w:hAnsi="Arial"/>
                <w:sz w:val="14"/>
                <w:szCs w:val="14"/>
                <w:b w:val="1"/>
                <w:bCs w:val="1"/>
                <w:color w:val="auto"/>
                <w:w w:val="84"/>
              </w:rPr>
              <w:t>2007 vs. 2006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12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360" w:type="dxa"/>
            <w:vAlign w:val="bottom"/>
          </w:tcPr>
          <w:p>
            <w:pPr>
              <w:spacing w:after="0"/>
              <w:rPr>
                <w:sz w:val="14"/>
                <w:szCs w:val="14"/>
                <w:color w:val="auto"/>
              </w:rPr>
            </w:pPr>
          </w:p>
        </w:tc>
        <w:tc>
          <w:tcPr>
            <w:tcW w:w="560" w:type="dxa"/>
            <w:vAlign w:val="bottom"/>
          </w:tcPr>
          <w:p>
            <w:pPr>
              <w:ind w:left="300"/>
              <w:spacing w:after="0"/>
              <w:rPr>
                <w:sz w:val="20"/>
                <w:szCs w:val="20"/>
                <w:color w:val="auto"/>
              </w:rPr>
            </w:pPr>
            <w:r>
              <w:rPr>
                <w:rFonts w:ascii="Arial" w:cs="Arial" w:eastAsia="Arial" w:hAnsi="Arial"/>
                <w:sz w:val="14"/>
                <w:szCs w:val="14"/>
                <w:b w:val="1"/>
                <w:bCs w:val="1"/>
                <w:color w:val="auto"/>
                <w:w w:val="76"/>
              </w:rPr>
              <w:t>2007</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Borders>
              <w:right w:val="single" w:sz="8" w:color="auto"/>
            </w:tcBorders>
            <w:gridSpan w:val="2"/>
          </w:tcPr>
          <w:p>
            <w:pPr>
              <w:jc w:val="center"/>
              <w:ind w:right="476"/>
              <w:spacing w:after="0"/>
              <w:rPr>
                <w:sz w:val="20"/>
                <w:szCs w:val="20"/>
                <w:color w:val="auto"/>
              </w:rPr>
            </w:pPr>
            <w:r>
              <w:rPr>
                <w:rFonts w:ascii="Arial" w:cs="Arial" w:eastAsia="Arial" w:hAnsi="Arial"/>
                <w:sz w:val="14"/>
                <w:szCs w:val="14"/>
                <w:b w:val="1"/>
                <w:bCs w:val="1"/>
                <w:color w:val="auto"/>
                <w:w w:val="89"/>
              </w:rPr>
              <w:t>2006</w:t>
            </w:r>
          </w:p>
        </w:tc>
        <w:tc>
          <w:tcPr>
            <w:tcW w:w="1220" w:type="dxa"/>
            <w:vAlign w:val="bottom"/>
            <w:gridSpan w:val="3"/>
          </w:tcPr>
          <w:p>
            <w:pPr>
              <w:jc w:val="center"/>
              <w:ind w:left="120"/>
              <w:spacing w:after="0"/>
              <w:rPr>
                <w:sz w:val="20"/>
                <w:szCs w:val="20"/>
                <w:color w:val="auto"/>
              </w:rPr>
            </w:pPr>
            <w:r>
              <w:rPr>
                <w:rFonts w:ascii="Arial" w:cs="Arial" w:eastAsia="Arial" w:hAnsi="Arial"/>
                <w:sz w:val="14"/>
                <w:szCs w:val="14"/>
                <w:b w:val="1"/>
                <w:bCs w:val="1"/>
                <w:color w:val="auto"/>
                <w:w w:val="93"/>
              </w:rPr>
              <w:t>Growth (%)</w:t>
            </w:r>
          </w:p>
        </w:tc>
        <w:tc>
          <w:tcPr>
            <w:tcW w:w="0" w:type="dxa"/>
            <w:vAlign w:val="bottom"/>
          </w:tcPr>
          <w:p>
            <w:pPr>
              <w:spacing w:after="0"/>
              <w:rPr>
                <w:sz w:val="1"/>
                <w:szCs w:val="1"/>
                <w:color w:val="auto"/>
              </w:rPr>
            </w:pPr>
          </w:p>
        </w:tc>
      </w:tr>
      <w:tr>
        <w:trPr>
          <w:trHeight w:val="142"/>
        </w:trPr>
        <w:tc>
          <w:tcPr>
            <w:tcW w:w="7120" w:type="dxa"/>
            <w:vAlign w:val="bottom"/>
            <w:gridSpan w:val="2"/>
            <w:vMerge w:val="continue"/>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5"/>
              </w:rPr>
              <w:t>EPS (1)</w:t>
            </w:r>
          </w:p>
        </w:tc>
        <w:tc>
          <w:tcPr>
            <w:tcW w:w="2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EPS (1)</w:t>
            </w:r>
          </w:p>
        </w:tc>
        <w:tc>
          <w:tcPr>
            <w:tcW w:w="640" w:type="dxa"/>
            <w:vAlign w:val="bottom"/>
            <w:tcBorders>
              <w:top w:val="single" w:sz="8" w:color="auto"/>
            </w:tcBorders>
          </w:tcPr>
          <w:p>
            <w:pPr>
              <w:jc w:val="center"/>
              <w:ind w:left="40"/>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EPS (1)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w:t>
            </w:r>
          </w:p>
        </w:tc>
        <w:tc>
          <w:tcPr>
            <w:tcW w:w="920" w:type="dxa"/>
            <w:vAlign w:val="bottom"/>
            <w:tcBorders>
              <w:top w:val="single" w:sz="8" w:color="auto"/>
            </w:tcBorders>
            <w:gridSpan w:val="2"/>
            <w:shd w:val="clear" w:color="auto" w:fill="E5E5E5"/>
          </w:tcPr>
          <w:p>
            <w:pPr>
              <w:ind w:left="200"/>
              <w:spacing w:after="0"/>
              <w:rPr>
                <w:sz w:val="20"/>
                <w:szCs w:val="20"/>
                <w:color w:val="auto"/>
              </w:rPr>
            </w:pPr>
            <w:r>
              <w:rPr>
                <w:rFonts w:ascii="Arial" w:cs="Arial" w:eastAsia="Arial" w:hAnsi="Arial"/>
                <w:sz w:val="18"/>
                <w:szCs w:val="18"/>
                <w:b w:val="1"/>
                <w:bCs w:val="1"/>
                <w:color w:val="auto"/>
              </w:rPr>
              <w:t>$2,587</w:t>
            </w:r>
          </w:p>
        </w:tc>
        <w:tc>
          <w:tcPr>
            <w:tcW w:w="560" w:type="dxa"/>
            <w:vAlign w:val="bottom"/>
            <w:tcBorders>
              <w:top w:val="single" w:sz="8" w:color="auto"/>
            </w:tcBorders>
            <w:shd w:val="clear" w:color="auto" w:fill="E5E5E5"/>
          </w:tcPr>
          <w:p>
            <w:pPr>
              <w:jc w:val="right"/>
              <w:ind w:right="40"/>
              <w:spacing w:after="0"/>
              <w:rPr>
                <w:sz w:val="20"/>
                <w:szCs w:val="20"/>
                <w:color w:val="auto"/>
              </w:rPr>
            </w:pPr>
            <w:r>
              <w:rPr>
                <w:rFonts w:ascii="Arial" w:cs="Arial" w:eastAsia="Arial" w:hAnsi="Arial"/>
                <w:sz w:val="18"/>
                <w:szCs w:val="18"/>
                <w:b w:val="1"/>
                <w:bCs w:val="1"/>
                <w:color w:val="auto"/>
                <w:w w:val="83"/>
              </w:rPr>
              <w:t>$ 0.83</w:t>
            </w:r>
          </w:p>
        </w:tc>
        <w:tc>
          <w:tcPr>
            <w:tcW w:w="660" w:type="dxa"/>
            <w:vAlign w:val="bottom"/>
            <w:tcBorders>
              <w:top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$2,533</w:t>
            </w:r>
          </w:p>
        </w:tc>
        <w:tc>
          <w:tcPr>
            <w:tcW w:w="260" w:type="dxa"/>
            <w:vAlign w:val="bottom"/>
            <w:tcBorders>
              <w:top w:val="single" w:sz="8" w:color="auto"/>
            </w:tcBorders>
            <w:shd w:val="clear" w:color="auto" w:fill="E5E5E5"/>
          </w:tcPr>
          <w:p>
            <w:pPr>
              <w:jc w:val="center"/>
              <w:ind w:left="59"/>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right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rPr>
              <w:t>0.79</w:t>
            </w:r>
          </w:p>
        </w:tc>
        <w:tc>
          <w:tcPr>
            <w:tcW w:w="640" w:type="dxa"/>
            <w:vAlign w:val="bottom"/>
            <w:tcBorders>
              <w:top w:val="single" w:sz="8" w:color="auto"/>
            </w:tcBorders>
            <w:shd w:val="clear" w:color="auto" w:fill="E5E5E5"/>
          </w:tcPr>
          <w:p>
            <w:pPr>
              <w:jc w:val="right"/>
              <w:ind w:right="20"/>
              <w:spacing w:after="0"/>
              <w:rPr>
                <w:sz w:val="20"/>
                <w:szCs w:val="20"/>
                <w:color w:val="auto"/>
              </w:rPr>
            </w:pPr>
            <w:r>
              <w:rPr>
                <w:rFonts w:ascii="Arial" w:cs="Arial" w:eastAsia="Arial" w:hAnsi="Arial"/>
                <w:sz w:val="18"/>
                <w:szCs w:val="18"/>
                <w:color w:val="auto"/>
              </w:rPr>
              <w:t>2%</w:t>
            </w:r>
          </w:p>
        </w:tc>
        <w:tc>
          <w:tcPr>
            <w:tcW w:w="5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7120" w:type="dxa"/>
            <w:vAlign w:val="bottom"/>
            <w:gridSpan w:val="2"/>
          </w:tcPr>
          <w:p>
            <w:pPr>
              <w:spacing w:after="0"/>
              <w:rPr>
                <w:sz w:val="20"/>
                <w:szCs w:val="20"/>
                <w:color w:val="auto"/>
              </w:rPr>
            </w:pPr>
            <w:r>
              <w:rPr>
                <w:rFonts w:ascii="Arial" w:cs="Arial" w:eastAsia="Arial" w:hAnsi="Arial"/>
                <w:sz w:val="18"/>
                <w:szCs w:val="18"/>
                <w:color w:val="auto"/>
              </w:rPr>
              <w:t>Adjustments:</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Gain on discontinued operations, net of tax (2)</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ind w:left="8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E5E5E5"/>
          </w:tcPr>
          <w:p>
            <w:pPr>
              <w:spacing w:after="0"/>
              <w:rPr>
                <w:sz w:val="18"/>
                <w:szCs w:val="18"/>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195</w:t>
            </w:r>
          </w:p>
        </w:tc>
        <w:tc>
          <w:tcPr>
            <w:tcW w:w="260" w:type="dxa"/>
            <w:vAlign w:val="bottom"/>
            <w:shd w:val="clear" w:color="auto" w:fill="E5E5E5"/>
          </w:tcPr>
          <w:p>
            <w:pPr>
              <w:spacing w:after="0"/>
              <w:rPr>
                <w:sz w:val="18"/>
                <w:szCs w:val="18"/>
                <w:color w:val="auto"/>
              </w:rPr>
            </w:pPr>
          </w:p>
        </w:tc>
        <w:tc>
          <w:tcPr>
            <w:tcW w:w="700" w:type="dxa"/>
            <w:vAlign w:val="bottom"/>
            <w:tcBorders>
              <w:right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rPr>
              <w:t>0.06</w:t>
            </w:r>
          </w:p>
        </w:tc>
        <w:tc>
          <w:tcPr>
            <w:tcW w:w="640" w:type="dxa"/>
            <w:vAlign w:val="bottom"/>
            <w:shd w:val="clear" w:color="auto" w:fill="E5E5E5"/>
          </w:tcPr>
          <w:p>
            <w:pPr>
              <w:jc w:val="right"/>
              <w:ind w:right="20"/>
              <w:spacing w:after="0"/>
              <w:rPr>
                <w:sz w:val="20"/>
                <w:szCs w:val="20"/>
                <w:color w:val="auto"/>
              </w:rPr>
            </w:pPr>
            <w:r>
              <w:rPr>
                <w:rFonts w:ascii="Arial" w:cs="Arial" w:eastAsia="Arial" w:hAnsi="Arial"/>
                <w:sz w:val="18"/>
                <w:szCs w:val="18"/>
                <w:color w:val="auto"/>
              </w:rPr>
              <w:t>NM</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Gain on Adelphia/Time Warner transactions, net of tax (2)</w:t>
            </w:r>
          </w:p>
        </w:tc>
        <w:tc>
          <w:tcPr>
            <w:tcW w:w="36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1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405</w:t>
            </w:r>
          </w:p>
        </w:tc>
        <w:tc>
          <w:tcPr>
            <w:tcW w:w="260" w:type="dxa"/>
            <w:vAlign w:val="bottom"/>
          </w:tcPr>
          <w:p>
            <w:pPr>
              <w:spacing w:after="0"/>
              <w:rPr>
                <w:sz w:val="18"/>
                <w:szCs w:val="18"/>
                <w:color w:val="auto"/>
              </w:rPr>
            </w:pPr>
          </w:p>
        </w:tc>
        <w:tc>
          <w:tcPr>
            <w:tcW w:w="700" w:type="dxa"/>
            <w:vAlign w:val="bottom"/>
            <w:tcBorders>
              <w:right w:val="single" w:sz="8" w:color="auto"/>
            </w:tcBorders>
          </w:tcPr>
          <w:p>
            <w:pPr>
              <w:jc w:val="right"/>
              <w:ind w:right="196"/>
              <w:spacing w:after="0"/>
              <w:rPr>
                <w:sz w:val="20"/>
                <w:szCs w:val="20"/>
                <w:color w:val="auto"/>
              </w:rPr>
            </w:pPr>
            <w:r>
              <w:rPr>
                <w:rFonts w:ascii="Arial" w:cs="Arial" w:eastAsia="Arial" w:hAnsi="Arial"/>
                <w:sz w:val="18"/>
                <w:szCs w:val="18"/>
                <w:color w:val="auto"/>
              </w:rPr>
              <w:t>0.13</w:t>
            </w:r>
          </w:p>
        </w:tc>
        <w:tc>
          <w:tcPr>
            <w:tcW w:w="640" w:type="dxa"/>
            <w:vAlign w:val="bottom"/>
          </w:tcPr>
          <w:p>
            <w:pPr>
              <w:jc w:val="right"/>
              <w:ind w:right="20"/>
              <w:spacing w:after="0"/>
              <w:rPr>
                <w:sz w:val="20"/>
                <w:szCs w:val="20"/>
                <w:color w:val="auto"/>
              </w:rPr>
            </w:pPr>
            <w:r>
              <w:rPr>
                <w:rFonts w:ascii="Arial" w:cs="Arial" w:eastAsia="Arial" w:hAnsi="Arial"/>
                <w:sz w:val="18"/>
                <w:szCs w:val="18"/>
                <w:color w:val="auto"/>
              </w:rPr>
              <w:t>NM</w:t>
            </w:r>
          </w:p>
        </w:tc>
        <w:tc>
          <w:tcPr>
            <w:tcW w:w="560" w:type="dxa"/>
            <w:vAlign w:val="bottom"/>
          </w:tcPr>
          <w:p>
            <w:pPr>
              <w:jc w:val="right"/>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w w:val="94"/>
              </w:rPr>
              <w:t>Gain related to the dissolution of the Texas/Kansas City Cable Partnership, net of tax (3)</w:t>
            </w:r>
          </w:p>
        </w:tc>
        <w:tc>
          <w:tcPr>
            <w:tcW w:w="3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rPr>
              <w:t>300</w:t>
            </w:r>
          </w:p>
        </w:tc>
        <w:tc>
          <w:tcPr>
            <w:tcW w:w="560" w:type="dxa"/>
            <w:vAlign w:val="bottom"/>
            <w:tcBorders>
              <w:bottom w:val="single" w:sz="8" w:color="auto"/>
            </w:tcBorders>
            <w:shd w:val="clear" w:color="auto" w:fill="E5E5E5"/>
          </w:tcPr>
          <w:p>
            <w:pPr>
              <w:jc w:val="right"/>
              <w:ind w:right="40"/>
              <w:spacing w:after="0"/>
              <w:rPr>
                <w:sz w:val="20"/>
                <w:szCs w:val="20"/>
                <w:color w:val="auto"/>
              </w:rPr>
            </w:pPr>
            <w:r>
              <w:rPr>
                <w:rFonts w:ascii="Arial" w:cs="Arial" w:eastAsia="Arial" w:hAnsi="Arial"/>
                <w:sz w:val="18"/>
                <w:szCs w:val="18"/>
                <w:b w:val="1"/>
                <w:bCs w:val="1"/>
                <w:color w:val="auto"/>
              </w:rPr>
              <w:t>0.09</w:t>
            </w:r>
          </w:p>
        </w:tc>
        <w:tc>
          <w:tcPr>
            <w:tcW w:w="26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right w:val="single" w:sz="8" w:color="auto"/>
            </w:tcBorders>
            <w:shd w:val="clear" w:color="auto" w:fill="E5E5E5"/>
          </w:tcPr>
          <w:p>
            <w:pPr>
              <w:jc w:val="right"/>
              <w:ind w:right="27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E5E5E5"/>
          </w:tcPr>
          <w:p>
            <w:pPr>
              <w:jc w:val="right"/>
              <w:ind w:right="20"/>
              <w:spacing w:after="0"/>
              <w:rPr>
                <w:sz w:val="20"/>
                <w:szCs w:val="20"/>
                <w:color w:val="auto"/>
              </w:rPr>
            </w:pPr>
            <w:r>
              <w:rPr>
                <w:rFonts w:ascii="Arial" w:cs="Arial" w:eastAsia="Arial" w:hAnsi="Arial"/>
                <w:sz w:val="18"/>
                <w:szCs w:val="18"/>
                <w:color w:val="auto"/>
              </w:rPr>
              <w:t>NM</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7120" w:type="dxa"/>
            <w:vAlign w:val="bottom"/>
            <w:gridSpan w:val="2"/>
          </w:tcPr>
          <w:p>
            <w:pPr>
              <w:spacing w:after="0"/>
              <w:rPr>
                <w:sz w:val="20"/>
                <w:szCs w:val="20"/>
                <w:color w:val="auto"/>
              </w:rPr>
            </w:pPr>
            <w:r>
              <w:rPr>
                <w:rFonts w:ascii="Arial" w:cs="Arial" w:eastAsia="Arial" w:hAnsi="Arial"/>
                <w:sz w:val="18"/>
                <w:szCs w:val="18"/>
                <w:color w:val="auto"/>
              </w:rPr>
              <w:t>Adjusted Net Income</w:t>
            </w:r>
          </w:p>
        </w:tc>
        <w:tc>
          <w:tcPr>
            <w:tcW w:w="920" w:type="dxa"/>
            <w:vAlign w:val="bottom"/>
            <w:gridSpan w:val="2"/>
          </w:tcPr>
          <w:p>
            <w:pPr>
              <w:ind w:left="200"/>
              <w:spacing w:after="0"/>
              <w:rPr>
                <w:sz w:val="20"/>
                <w:szCs w:val="20"/>
                <w:color w:val="auto"/>
              </w:rPr>
            </w:pPr>
            <w:r>
              <w:rPr>
                <w:rFonts w:ascii="Arial" w:cs="Arial" w:eastAsia="Arial" w:hAnsi="Arial"/>
                <w:sz w:val="18"/>
                <w:szCs w:val="18"/>
                <w:b w:val="1"/>
                <w:bCs w:val="1"/>
                <w:color w:val="auto"/>
              </w:rPr>
              <w:t>$2,287</w:t>
            </w:r>
          </w:p>
        </w:tc>
        <w:tc>
          <w:tcPr>
            <w:tcW w:w="560" w:type="dxa"/>
            <w:vAlign w:val="bottom"/>
          </w:tcPr>
          <w:p>
            <w:pPr>
              <w:jc w:val="right"/>
              <w:ind w:right="40"/>
              <w:spacing w:after="0"/>
              <w:rPr>
                <w:sz w:val="20"/>
                <w:szCs w:val="20"/>
                <w:color w:val="auto"/>
              </w:rPr>
            </w:pPr>
            <w:r>
              <w:rPr>
                <w:rFonts w:ascii="Arial" w:cs="Arial" w:eastAsia="Arial" w:hAnsi="Arial"/>
                <w:sz w:val="18"/>
                <w:szCs w:val="18"/>
                <w:b w:val="1"/>
                <w:bCs w:val="1"/>
                <w:color w:val="auto"/>
                <w:w w:val="83"/>
              </w:rPr>
              <w:t>$ 0.74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$1,933</w:t>
            </w:r>
          </w:p>
        </w:tc>
        <w:tc>
          <w:tcPr>
            <w:tcW w:w="260" w:type="dxa"/>
            <w:vAlign w:val="bottom"/>
          </w:tcPr>
          <w:p>
            <w:pPr>
              <w:jc w:val="center"/>
              <w:ind w:left="59"/>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auto"/>
            </w:tcBorders>
          </w:tcPr>
          <w:p>
            <w:pPr>
              <w:jc w:val="right"/>
              <w:ind w:right="196"/>
              <w:spacing w:after="0"/>
              <w:rPr>
                <w:sz w:val="20"/>
                <w:szCs w:val="20"/>
                <w:color w:val="auto"/>
              </w:rPr>
            </w:pPr>
            <w:r>
              <w:rPr>
                <w:rFonts w:ascii="Arial" w:cs="Arial" w:eastAsia="Arial" w:hAnsi="Arial"/>
                <w:sz w:val="18"/>
                <w:szCs w:val="18"/>
                <w:color w:val="auto"/>
              </w:rPr>
              <w:t>0.60</w:t>
            </w:r>
          </w:p>
        </w:tc>
        <w:tc>
          <w:tcPr>
            <w:tcW w:w="640" w:type="dxa"/>
            <w:vAlign w:val="bottom"/>
          </w:tcPr>
          <w:p>
            <w:pPr>
              <w:jc w:val="center"/>
              <w:ind w:left="40"/>
              <w:spacing w:after="0"/>
              <w:rPr>
                <w:sz w:val="20"/>
                <w:szCs w:val="20"/>
                <w:color w:val="auto"/>
              </w:rPr>
            </w:pPr>
            <w:r>
              <w:rPr>
                <w:rFonts w:ascii="Arial" w:cs="Arial" w:eastAsia="Arial" w:hAnsi="Arial"/>
                <w:sz w:val="18"/>
                <w:szCs w:val="18"/>
                <w:color w:val="auto"/>
                <w:w w:val="88"/>
              </w:rPr>
              <w:t>18%</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39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diluted average number of common shares for the respective periods as presented in Table 1.</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2006 Net Income included a one-time gain, net of tax, on discontinued operations and a one-time investment gain, net of tax, related to the Adelphia/Time Warner transactions.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2007 Net Income includes a one-time gain, net of tax, related to the dissolution of the Texas/Kansas City Cable Partnership.</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sectPr>
      <w:pgSz w:w="11900" w:h="16838" w:orient="portrait"/>
      <w:cols w:equalWidth="0" w:num="1">
        <w:col w:w="11420"/>
      </w:cols>
      <w:pgMar w:left="240" w:top="8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5"/>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5"/>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2019-12-15T05:11:14Z</dcterms:created>
  <dcterms:modified xsi:type="dcterms:W3CDTF">2019-12-15T05:11:14Z</dcterms:modified>
</cp:coreProperties>
</file>