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ectPr>
          <w:pgSz w:w="11900" w:h="16838" w:orient="portrait"/>
          <w:cols w:equalWidth="0" w:num="1">
            <w:col w:w="11240"/>
          </w:cols>
          <w:pgMar w:left="320" w:top="300" w:right="339" w:bottom="546" w:gutter="0" w:footer="0" w:header="0"/>
        </w:sectPr>
      </w:pPr>
    </w:p>
    <w:p>
      <w:pPr>
        <w:spacing w:after="0" w:line="203" w:lineRule="exact"/>
        <w:rPr>
          <w:sz w:val="24"/>
          <w:szCs w:val="24"/>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001-32871</w:t>
      </w:r>
    </w:p>
    <w:p>
      <w:pPr>
        <w:spacing w:after="0" w:line="31" w:lineRule="exact"/>
        <w:rPr>
          <w:sz w:val="24"/>
          <w:szCs w:val="24"/>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2">
            <w:col w:w="7360" w:space="720"/>
            <w:col w:w="3160"/>
          </w:cols>
          <w:pgMar w:left="320" w:top="300" w:right="339" w:bottom="546" w:gutter="0" w:footer="0" w:header="0"/>
          <w:type w:val="continuous"/>
        </w:sectPr>
      </w:pPr>
    </w:p>
    <w:p>
      <w:pPr>
        <w:spacing w:after="0" w:line="3"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9"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19103-2838</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4"/>
          <w:szCs w:val="24"/>
          <w:color w:val="auto"/>
        </w:rPr>
      </w:pPr>
    </w:p>
    <w:p>
      <w:pPr>
        <w:sectPr>
          <w:pgSz w:w="11900" w:h="16838" w:orient="portrait"/>
          <w:cols w:equalWidth="0" w:num="2">
            <w:col w:w="8240" w:space="720"/>
            <w:col w:w="2280"/>
          </w:cols>
          <w:pgMar w:left="320" w:top="300" w:right="339" w:bottom="546"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CMCS26</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CMCS29A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00" w:right="339" w:bottom="546" w:gutter="0" w:footer="0" w:header="0"/>
          <w:type w:val="continuous"/>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62626"/>
        </w:rPr>
        <w:t>On December 28, 2022, Comcast Corporation (the “Company”) entered into a new employment agreement (the “Agreement”) with Michael J. Cavanagh in connection with his recent appointment as President of the Company. The Agreement secures Mr. Cavanagh’s employment through December 31, 2027, at an annual base salary of $2.5 million effective March 1, 2023. In connection with entering into the Agreement, Mr. Cavanagh received the grant of a special performance-based option to purchase 2,000,000 shares of the Company’s Class A common stock (the “Performance Award”) with an aggregate grant date fair value equal to $14.8 million.</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262626"/>
        </w:rPr>
        <w:t>The Performance Award will vest and become exercisable upon satisfaction of both a performance-based and time-based component. The performance-based component of the Performance Award will vest on the attainment of specified metrics relating to average annual growth in Free Cash Flow (“FCF”) per share over the five-year performance period. At target performance (which equals average annual growth of 8%), 100% of the award would vest. At threshold performance (which equals average annual growth of 6%), 50% of the award would vest and at maximum performance (which equals average annual growth of at least 12%), 200% of the award would vest (with straight line interpolation if results are between the FCF goals). If the average annual growth in FCF is less than 6%, then the award will not vest and will be forfeited. The time-based component will vest in full on February 1, 2028, subject to Mr. Cavanagh’s continued employment through such date. The Performance Award also contains a restriction on the sale of any shares issued upon exercise until after the expiration date of the Performance Award (i.e., after the 10th anniversary of the grant date).</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62626"/>
        </w:rPr>
        <w:t>Further, the Performance Award provides that if Mr. Cavanagh either resigns from the Company for Good Reason or his employment is terminated by the Company without Cause (as such terms are defined in the Agreement), then the Performance Award will vest on a pro-rata basis based on actual performance and become exercisable pursuant to the terms of the Performance Award. In the event of Mr. Cavanagh’s termination of employment due to death or disability, the Performance Award will vest in full based on target performance (in the case of death) or actual performance (in the case of disability) and be exercisable by Mr. Cavanagh or his estate, as applicable, pursuant to the terms of the Performance Award.</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62626"/>
        </w:rPr>
        <w:t>The Performance Award is designed to ensure leadership continuity over the longer term, enhance retention in response to increasing competition for high-performing talent and incent Company financial performance by aligning compensation with rigorous performance targets that drive long-term shareholder value creation. The Company believes that FCF per share is an important metric which measures, among other things, cash remaining after capital investments that allows us to repay indebtedness, make strategic investments and return capital to shareholders.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62626"/>
        </w:rPr>
        <w:t>The foregoing description of the Agreement and the Performance Award is a summary and is qualified in its entirety by reference to the full text of the form of performance-based stock option award agreement and the Agreement, both of which will be filed as an exhibit to the Company’s Annual Report on Form 10-K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2022</w:t>
            </w: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860" w:type="dxa"/>
            <w:vAlign w:val="bottom"/>
          </w:tcPr>
          <w:p>
            <w:pPr>
              <w:spacing w:after="0"/>
              <w:rPr>
                <w:sz w:val="16"/>
                <w:szCs w:val="16"/>
                <w:color w:val="auto"/>
              </w:rPr>
            </w:pPr>
          </w:p>
        </w:tc>
        <w:tc>
          <w:tcPr>
            <w:tcW w:w="26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860" w:type="dxa"/>
            <w:vAlign w:val="bottom"/>
          </w:tcPr>
          <w:p>
            <w:pPr>
              <w:spacing w:after="0"/>
              <w:rPr>
                <w:sz w:val="18"/>
                <w:szCs w:val="18"/>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38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40"/>
        </w:trPr>
        <w:tc>
          <w:tcPr>
            <w:tcW w:w="38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2022-12-30T16:23:14Z</dcterms:created>
  <dcterms:modified xsi:type="dcterms:W3CDTF">2022-12-30T16:23:14Z</dcterms:modified>
</cp:coreProperties>
</file>