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2"/>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10"/>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GE CAPITAL EQUITY INVESTMENTS</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VALUEVISION MEDIA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VVTV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78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78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top w:val="single" w:sz="8" w:color="0000EE"/>
            </w:tcBorders>
            <w:vMerge w:val="restart"/>
          </w:tcPr>
          <w:p>
            <w:pPr>
              <w:spacing w:after="0" w:line="209"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INC</w:t>
              </w:r>
            </w:hyperlink>
          </w:p>
        </w:tc>
        <w:tc>
          <w:tcPr>
            <w:tcW w:w="26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0000EE"/>
            </w:tcBorders>
            <w:vMerge w:val="continue"/>
          </w:tcPr>
          <w:p>
            <w:pPr>
              <w:spacing w:after="0"/>
              <w:rPr>
                <w:sz w:val="14"/>
                <w:szCs w:val="14"/>
                <w:color w:val="auto"/>
              </w:rPr>
            </w:pPr>
          </w:p>
        </w:tc>
        <w:tc>
          <w:tcPr>
            <w:tcW w:w="26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2C2C2C"/>
            </w:tcBorders>
          </w:tcPr>
          <w:p>
            <w:pPr>
              <w:spacing w:after="0" w:line="20" w:lineRule="exact"/>
              <w:rPr>
                <w:sz w:val="1"/>
                <w:szCs w:val="1"/>
                <w:color w:val="auto"/>
              </w:rPr>
            </w:pPr>
          </w:p>
        </w:tc>
        <w:tc>
          <w:tcPr>
            <w:tcW w:w="120" w:type="dxa"/>
            <w:vAlign w:val="bottom"/>
            <w:tcBorders>
              <w:top w:val="single" w:sz="8" w:color="2C2C2C"/>
            </w:tcBorders>
          </w:tcPr>
          <w:p>
            <w:pPr>
              <w:spacing w:after="0" w:line="20" w:lineRule="exact"/>
              <w:rPr>
                <w:sz w:val="1"/>
                <w:szCs w:val="1"/>
                <w:color w:val="auto"/>
              </w:rPr>
            </w:pPr>
          </w:p>
        </w:tc>
        <w:tc>
          <w:tcPr>
            <w:tcW w:w="260" w:type="dxa"/>
            <w:vAlign w:val="bottom"/>
            <w:tcBorders>
              <w:top w:val="single" w:sz="8" w:color="2C2C2C"/>
            </w:tcBorders>
          </w:tcPr>
          <w:p>
            <w:pPr>
              <w:spacing w:after="0" w:line="20" w:lineRule="exact"/>
              <w:rPr>
                <w:sz w:val="1"/>
                <w:szCs w:val="1"/>
                <w:color w:val="auto"/>
              </w:rPr>
            </w:pPr>
          </w:p>
        </w:tc>
        <w:tc>
          <w:tcPr>
            <w:tcW w:w="100" w:type="dxa"/>
            <w:vAlign w:val="bottom"/>
            <w:tcBorders>
              <w:top w:val="single" w:sz="8" w:color="2C2C2C"/>
            </w:tcBorders>
          </w:tcPr>
          <w:p>
            <w:pPr>
              <w:spacing w:after="0" w:line="20" w:lineRule="exact"/>
              <w:rPr>
                <w:sz w:val="1"/>
                <w:szCs w:val="1"/>
                <w:color w:val="auto"/>
              </w:rPr>
            </w:pPr>
          </w:p>
        </w:tc>
        <w:tc>
          <w:tcPr>
            <w:tcW w:w="20" w:type="dxa"/>
            <w:vAlign w:val="bottom"/>
            <w:tcBorders>
              <w:top w:val="single" w:sz="8" w:color="2C2C2C"/>
            </w:tcBorders>
          </w:tcPr>
          <w:p>
            <w:pPr>
              <w:spacing w:after="0" w:line="20" w:lineRule="exact"/>
              <w:rPr>
                <w:sz w:val="1"/>
                <w:szCs w:val="1"/>
                <w:color w:val="auto"/>
              </w:rPr>
            </w:pPr>
          </w:p>
        </w:tc>
        <w:tc>
          <w:tcPr>
            <w:tcW w:w="120" w:type="dxa"/>
            <w:vAlign w:val="bottom"/>
            <w:tcBorders>
              <w:top w:val="single" w:sz="8" w:color="2C2C2C"/>
            </w:tcBorders>
          </w:tcPr>
          <w:p>
            <w:pPr>
              <w:spacing w:after="0" w:line="20" w:lineRule="exact"/>
              <w:rPr>
                <w:sz w:val="1"/>
                <w:szCs w:val="1"/>
                <w:color w:val="auto"/>
              </w:rPr>
            </w:pPr>
          </w:p>
        </w:tc>
        <w:tc>
          <w:tcPr>
            <w:tcW w:w="840" w:type="dxa"/>
            <w:vAlign w:val="bottom"/>
            <w:tcBorders>
              <w:top w:val="single" w:sz="8" w:color="2C2C2C"/>
            </w:tcBorders>
          </w:tcPr>
          <w:p>
            <w:pPr>
              <w:spacing w:after="0" w:line="20" w:lineRule="exact"/>
              <w:rPr>
                <w:sz w:val="1"/>
                <w:szCs w:val="1"/>
                <w:color w:val="auto"/>
              </w:rPr>
            </w:pPr>
          </w:p>
        </w:tc>
        <w:tc>
          <w:tcPr>
            <w:tcW w:w="80" w:type="dxa"/>
            <w:vAlign w:val="bottom"/>
            <w:tcBorders>
              <w:top w:val="single" w:sz="8" w:color="2C2C2C"/>
            </w:tcBorders>
          </w:tcPr>
          <w:p>
            <w:pPr>
              <w:spacing w:after="0" w:line="20" w:lineRule="exact"/>
              <w:rPr>
                <w:sz w:val="1"/>
                <w:szCs w:val="1"/>
                <w:color w:val="auto"/>
              </w:rPr>
            </w:pPr>
          </w:p>
        </w:tc>
        <w:tc>
          <w:tcPr>
            <w:tcW w:w="760" w:type="dxa"/>
            <w:vAlign w:val="bottom"/>
            <w:tcBorders>
              <w:top w:val="single" w:sz="8" w:color="2C2C2C"/>
            </w:tcBorders>
          </w:tcPr>
          <w:p>
            <w:pPr>
              <w:spacing w:after="0" w:line="20" w:lineRule="exact"/>
              <w:rPr>
                <w:sz w:val="1"/>
                <w:szCs w:val="1"/>
                <w:color w:val="auto"/>
              </w:rPr>
            </w:pPr>
          </w:p>
        </w:tc>
        <w:tc>
          <w:tcPr>
            <w:tcW w:w="320" w:type="dxa"/>
            <w:vAlign w:val="bottom"/>
            <w:tcBorders>
              <w:top w:val="single" w:sz="8" w:color="2C2C2C"/>
            </w:tcBorders>
          </w:tcPr>
          <w:p>
            <w:pPr>
              <w:spacing w:after="0" w:line="20" w:lineRule="exact"/>
              <w:rPr>
                <w:sz w:val="1"/>
                <w:szCs w:val="1"/>
                <w:color w:val="auto"/>
              </w:rPr>
            </w:pPr>
          </w:p>
        </w:tc>
        <w:tc>
          <w:tcPr>
            <w:tcW w:w="360" w:type="dxa"/>
            <w:vAlign w:val="bottom"/>
            <w:tcBorders>
              <w:top w:val="single" w:sz="8" w:color="2C2C2C"/>
            </w:tcBorders>
          </w:tcPr>
          <w:p>
            <w:pPr>
              <w:spacing w:after="0" w:line="20" w:lineRule="exact"/>
              <w:rPr>
                <w:sz w:val="1"/>
                <w:szCs w:val="1"/>
                <w:color w:val="auto"/>
              </w:rPr>
            </w:pPr>
          </w:p>
        </w:tc>
        <w:tc>
          <w:tcPr>
            <w:tcW w:w="440" w:type="dxa"/>
            <w:vAlign w:val="bottom"/>
            <w:tcBorders>
              <w:top w:val="single" w:sz="8" w:color="2C2C2C"/>
            </w:tcBorders>
          </w:tcPr>
          <w:p>
            <w:pPr>
              <w:spacing w:after="0" w:line="20" w:lineRule="exact"/>
              <w:rPr>
                <w:sz w:val="1"/>
                <w:szCs w:val="1"/>
                <w:color w:val="auto"/>
              </w:rPr>
            </w:pPr>
          </w:p>
        </w:tc>
        <w:tc>
          <w:tcPr>
            <w:tcW w:w="320" w:type="dxa"/>
            <w:vAlign w:val="bottom"/>
            <w:tcBorders>
              <w:top w:val="single" w:sz="8" w:color="2C2C2C"/>
            </w:tcBorders>
          </w:tcPr>
          <w:p>
            <w:pPr>
              <w:spacing w:after="0" w:line="20" w:lineRule="exact"/>
              <w:rPr>
                <w:sz w:val="1"/>
                <w:szCs w:val="1"/>
                <w:color w:val="auto"/>
              </w:rPr>
            </w:pPr>
          </w:p>
        </w:tc>
        <w:tc>
          <w:tcPr>
            <w:tcW w:w="160" w:type="dxa"/>
            <w:vAlign w:val="bottom"/>
            <w:tcBorders>
              <w:top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10"/>
          </w:tcPr>
          <w:p>
            <w:pPr>
              <w:spacing w:after="0" w:line="116" w:lineRule="exact"/>
              <w:rPr>
                <w:sz w:val="20"/>
                <w:szCs w:val="20"/>
                <w:color w:val="auto"/>
              </w:rPr>
            </w:pPr>
            <w:r>
              <w:rPr>
                <w:rFonts w:ascii="Arial" w:cs="Arial" w:eastAsia="Arial" w:hAnsi="Arial"/>
                <w:sz w:val="12"/>
                <w:szCs w:val="12"/>
                <w:color w:val="auto"/>
              </w:rPr>
              <w:t>3. Date of Earliest Transaction (Month/Day/Year)</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ind w:left="140"/>
              <w:spacing w:after="0" w:line="116"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6"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0"/>
                <w:szCs w:val="20"/>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4"/>
            <w:vMerge w:val="restart"/>
          </w:tcPr>
          <w:p>
            <w:pPr>
              <w:spacing w:after="0"/>
              <w:rPr>
                <w:sz w:val="20"/>
                <w:szCs w:val="20"/>
                <w:color w:val="auto"/>
              </w:rPr>
            </w:pPr>
            <w:r>
              <w:rPr>
                <w:rFonts w:ascii="Arial" w:cs="Arial" w:eastAsia="Arial" w:hAnsi="Arial"/>
                <w:sz w:val="14"/>
                <w:szCs w:val="14"/>
                <w:color w:val="auto"/>
              </w:rPr>
              <w:t>(Middle)</w:t>
            </w:r>
          </w:p>
        </w:tc>
        <w:tc>
          <w:tcPr>
            <w:tcW w:w="1620" w:type="dxa"/>
            <w:vAlign w:val="bottom"/>
            <w:gridSpan w:val="8"/>
          </w:tcPr>
          <w:p>
            <w:pPr>
              <w:ind w:left="160"/>
              <w:spacing w:after="0"/>
              <w:rPr>
                <w:sz w:val="20"/>
                <w:szCs w:val="20"/>
                <w:color w:val="auto"/>
              </w:rPr>
            </w:pPr>
            <w:r>
              <w:rPr>
                <w:rFonts w:ascii="Arial" w:cs="Arial" w:eastAsia="Arial" w:hAnsi="Arial"/>
                <w:sz w:val="18"/>
                <w:szCs w:val="18"/>
                <w:color w:val="0000FF"/>
              </w:rPr>
              <w:t>07/08/2005</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120 LONG RIDGE ROAD</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gridSpan w:val="11"/>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spacing w:after="0" w:line="197" w:lineRule="exact"/>
              <w:rPr>
                <w:sz w:val="20"/>
                <w:szCs w:val="20"/>
                <w:color w:val="auto"/>
              </w:rPr>
            </w:pPr>
            <w:r>
              <w:rPr>
                <w:rFonts w:ascii="Arial" w:cs="Arial" w:eastAsia="Arial" w:hAnsi="Arial"/>
                <w:sz w:val="18"/>
                <w:szCs w:val="18"/>
                <w:color w:val="0000FF"/>
              </w:rPr>
              <w:t>STAMFORD</w:t>
            </w:r>
          </w:p>
        </w:tc>
        <w:tc>
          <w:tcPr>
            <w:tcW w:w="1300" w:type="dxa"/>
            <w:vAlign w:val="bottom"/>
            <w:gridSpan w:val="3"/>
          </w:tcPr>
          <w:p>
            <w:pPr>
              <w:ind w:left="40"/>
              <w:spacing w:after="0" w:line="197" w:lineRule="exact"/>
              <w:rPr>
                <w:sz w:val="20"/>
                <w:szCs w:val="20"/>
                <w:color w:val="auto"/>
              </w:rPr>
            </w:pPr>
            <w:r>
              <w:rPr>
                <w:rFonts w:ascii="Arial" w:cs="Arial" w:eastAsia="Arial" w:hAnsi="Arial"/>
                <w:sz w:val="18"/>
                <w:szCs w:val="18"/>
                <w:color w:val="0000FF"/>
              </w:rPr>
              <w:t>CT</w:t>
            </w:r>
          </w:p>
        </w:tc>
        <w:tc>
          <w:tcPr>
            <w:tcW w:w="960" w:type="dxa"/>
            <w:vAlign w:val="bottom"/>
          </w:tcPr>
          <w:p>
            <w:pPr>
              <w:spacing w:after="0" w:line="197" w:lineRule="exact"/>
              <w:rPr>
                <w:sz w:val="20"/>
                <w:szCs w:val="20"/>
                <w:color w:val="auto"/>
              </w:rPr>
            </w:pPr>
            <w:r>
              <w:rPr>
                <w:rFonts w:ascii="Arial" w:cs="Arial" w:eastAsia="Arial" w:hAnsi="Arial"/>
                <w:sz w:val="18"/>
                <w:szCs w:val="18"/>
                <w:color w:val="0000FF"/>
              </w:rPr>
              <w:t>06927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4"/>
          </w:tcPr>
          <w:p>
            <w:pPr>
              <w:jc w:val="center"/>
              <w:ind w:right="1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8"/>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8"/>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8"/>
          </w:tcPr>
          <w:p>
            <w:pPr>
              <w:ind w:left="780"/>
              <w:spacing w:after="0"/>
              <w:rPr>
                <w:sz w:val="20"/>
                <w:szCs w:val="20"/>
                <w:color w:val="auto"/>
              </w:rPr>
            </w:pPr>
            <w:r>
              <w:rPr>
                <w:rFonts w:ascii="Arial" w:cs="Arial" w:eastAsia="Arial" w:hAnsi="Arial"/>
                <w:sz w:val="18"/>
                <w:szCs w:val="18"/>
                <w:color w:val="0000FF"/>
                <w:w w:val="92"/>
              </w:rPr>
              <w:t>07/08/2005</w:t>
            </w:r>
            <w:r>
              <w:rPr>
                <w:rFonts w:ascii="Arial" w:cs="Arial" w:eastAsia="Arial" w:hAnsi="Arial"/>
                <w:sz w:val="22"/>
                <w:szCs w:val="22"/>
                <w:color w:val="008000"/>
                <w:w w:val="92"/>
                <w:vertAlign w:val="superscript"/>
              </w:rPr>
              <w:t>(1)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112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rPr>
              <w:t>2,604,932</w:t>
            </w: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w:t>
            </w:r>
          </w:p>
        </w:tc>
        <w:tc>
          <w:tcPr>
            <w:tcW w:w="124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6,069,486</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101,509</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23"/>
          </w:tcPr>
          <w:p>
            <w:pPr>
              <w:jc w:val="center"/>
              <w:ind w:left="5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0" w:type="dxa"/>
            <w:vAlign w:val="bottom"/>
            <w:gridSpan w:val="2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4"/>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8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2"/>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gridSpan w:val="1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GE CAPITAL EQUITY INVESTMENTS INC</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120 LONG RIDGE ROAD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0000FF"/>
              </w:rPr>
              <w:t>STAMFORD</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CT</w:t>
            </w:r>
          </w:p>
        </w:tc>
        <w:tc>
          <w:tcPr>
            <w:tcW w:w="960" w:type="dxa"/>
            <w:vAlign w:val="bottom"/>
          </w:tcPr>
          <w:p>
            <w:pPr>
              <w:ind w:left="380"/>
              <w:spacing w:after="0"/>
              <w:rPr>
                <w:sz w:val="20"/>
                <w:szCs w:val="20"/>
                <w:color w:val="auto"/>
              </w:rPr>
            </w:pPr>
            <w:r>
              <w:rPr>
                <w:rFonts w:ascii="Arial" w:cs="Arial" w:eastAsia="Arial" w:hAnsi="Arial"/>
                <w:sz w:val="18"/>
                <w:szCs w:val="18"/>
                <w:color w:val="0000FF"/>
              </w:rPr>
              <w:t>06927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2"/>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gridSpan w:val="10"/>
          </w:tcPr>
          <w:p>
            <w:pPr>
              <w:spacing w:after="0" w:line="224" w:lineRule="exact"/>
              <w:rPr>
                <w:rFonts w:ascii="Arial" w:cs="Arial" w:eastAsia="Arial" w:hAnsi="Arial"/>
                <w:sz w:val="22"/>
                <w:szCs w:val="22"/>
                <w:color w:val="0000EE"/>
                <w:w w:val="98"/>
              </w:rPr>
            </w:pPr>
            <w:hyperlink r:id="rId14">
              <w:r>
                <w:rPr>
                  <w:rFonts w:ascii="Arial" w:cs="Arial" w:eastAsia="Arial" w:hAnsi="Arial"/>
                  <w:sz w:val="22"/>
                  <w:szCs w:val="22"/>
                  <w:color w:val="0000EE"/>
                  <w:w w:val="98"/>
                </w:rPr>
                <w:t>National Broadcasting CO Holding, Inc.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30 ROCKEFELLER PLAZA</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960" w:type="dxa"/>
            <w:vAlign w:val="bottom"/>
          </w:tcPr>
          <w:p>
            <w:pPr>
              <w:ind w:left="380"/>
              <w:spacing w:after="0"/>
              <w:rPr>
                <w:sz w:val="20"/>
                <w:szCs w:val="20"/>
                <w:color w:val="auto"/>
              </w:rPr>
            </w:pPr>
            <w:r>
              <w:rPr>
                <w:rFonts w:ascii="Arial" w:cs="Arial" w:eastAsia="Arial" w:hAnsi="Arial"/>
                <w:sz w:val="18"/>
                <w:szCs w:val="18"/>
                <w:color w:val="0000FF"/>
              </w:rPr>
              <w:t>10012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2"/>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6"/>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NBC Universal, Inc.</w:t>
              </w:r>
            </w:hyperlink>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30 ROCKEFELLER PLAZA</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904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59042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GENERAL ELECTRIC CAPITAL CORP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220" w:type="dxa"/>
            <w:vAlign w:val="bottom"/>
          </w:tcPr>
          <w:p>
            <w:pPr>
              <w:ind w:left="260"/>
              <w:spacing w:after="0"/>
              <w:rPr>
                <w:sz w:val="20"/>
                <w:szCs w:val="20"/>
                <w:color w:val="auto"/>
              </w:rPr>
            </w:pPr>
            <w:r>
              <w:rPr>
                <w:rFonts w:ascii="Arial" w:cs="Arial" w:eastAsia="Arial" w:hAnsi="Arial"/>
                <w:sz w:val="14"/>
                <w:szCs w:val="14"/>
                <w:color w:val="auto"/>
              </w:rPr>
              <w:t>(First)</w:t>
            </w:r>
          </w:p>
        </w:tc>
        <w:tc>
          <w:tcPr>
            <w:tcW w:w="1920" w:type="dxa"/>
            <w:vAlign w:val="bottom"/>
          </w:tcPr>
          <w:p>
            <w:pPr>
              <w:ind w:left="5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rPr>
              <w:t>260 LONG RIDGE ROAD</w:t>
            </w:r>
          </w:p>
        </w:tc>
        <w:tc>
          <w:tcPr>
            <w:tcW w:w="19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920" w:type="dxa"/>
            <w:vAlign w:val="bottom"/>
            <w:tcBorders>
              <w:bottom w:val="single" w:sz="8" w:color="9A9A9A"/>
            </w:tcBorders>
          </w:tcPr>
          <w:p>
            <w:pPr>
              <w:spacing w:after="0"/>
              <w:rPr>
                <w:sz w:val="18"/>
                <w:szCs w:val="18"/>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STAMFORD</w:t>
            </w:r>
          </w:p>
        </w:tc>
        <w:tc>
          <w:tcPr>
            <w:tcW w:w="1220" w:type="dxa"/>
            <w:vAlign w:val="bottom"/>
          </w:tcPr>
          <w:p>
            <w:pPr>
              <w:ind w:left="260"/>
              <w:spacing w:after="0"/>
              <w:rPr>
                <w:sz w:val="20"/>
                <w:szCs w:val="20"/>
                <w:color w:val="auto"/>
              </w:rPr>
            </w:pPr>
            <w:r>
              <w:rPr>
                <w:rFonts w:ascii="Arial" w:cs="Arial" w:eastAsia="Arial" w:hAnsi="Arial"/>
                <w:sz w:val="18"/>
                <w:szCs w:val="18"/>
                <w:color w:val="0000FF"/>
              </w:rPr>
              <w:t>CT</w:t>
            </w:r>
          </w:p>
        </w:tc>
        <w:tc>
          <w:tcPr>
            <w:tcW w:w="1920" w:type="dxa"/>
            <w:vAlign w:val="bottom"/>
          </w:tcPr>
          <w:p>
            <w:pPr>
              <w:ind w:left="500"/>
              <w:spacing w:after="0"/>
              <w:rPr>
                <w:sz w:val="20"/>
                <w:szCs w:val="20"/>
                <w:color w:val="auto"/>
              </w:rPr>
            </w:pPr>
            <w:r>
              <w:rPr>
                <w:rFonts w:ascii="Arial" w:cs="Arial" w:eastAsia="Arial" w:hAnsi="Arial"/>
                <w:sz w:val="18"/>
                <w:szCs w:val="18"/>
                <w:color w:val="0000FF"/>
              </w:rPr>
              <w:t>06927</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260"/>
              <w:spacing w:after="0"/>
              <w:rPr>
                <w:sz w:val="20"/>
                <w:szCs w:val="20"/>
                <w:color w:val="auto"/>
              </w:rPr>
            </w:pPr>
            <w:r>
              <w:rPr>
                <w:rFonts w:ascii="Arial" w:cs="Arial" w:eastAsia="Arial" w:hAnsi="Arial"/>
                <w:sz w:val="14"/>
                <w:szCs w:val="14"/>
                <w:color w:val="auto"/>
              </w:rPr>
              <w:t>(State)</w:t>
            </w:r>
          </w:p>
        </w:tc>
        <w:tc>
          <w:tcPr>
            <w:tcW w:w="1920" w:type="dxa"/>
            <w:vAlign w:val="bottom"/>
          </w:tcPr>
          <w:p>
            <w:pPr>
              <w:ind w:left="50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GENERAL ELECTRIC CAPITAL SERVICES</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INC/CT</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260 LONG RIDGE ROAD</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STAMFORD</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CT</w:t>
            </w:r>
          </w:p>
        </w:tc>
        <w:tc>
          <w:tcPr>
            <w:tcW w:w="1600" w:type="dxa"/>
            <w:vAlign w:val="bottom"/>
          </w:tcPr>
          <w:p>
            <w:pPr>
              <w:ind w:left="180"/>
              <w:spacing w:after="0"/>
              <w:rPr>
                <w:sz w:val="20"/>
                <w:szCs w:val="20"/>
                <w:color w:val="auto"/>
              </w:rPr>
            </w:pPr>
            <w:r>
              <w:rPr>
                <w:rFonts w:ascii="Arial" w:cs="Arial" w:eastAsia="Arial" w:hAnsi="Arial"/>
                <w:sz w:val="18"/>
                <w:szCs w:val="18"/>
                <w:color w:val="0000FF"/>
              </w:rPr>
              <w:t>06927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GENERAL ELECTRIC CO</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3135 EASTON TURNPIKE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FAIRFIELD</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CT</w:t>
            </w:r>
          </w:p>
        </w:tc>
        <w:tc>
          <w:tcPr>
            <w:tcW w:w="1600" w:type="dxa"/>
            <w:vAlign w:val="bottom"/>
          </w:tcPr>
          <w:p>
            <w:pPr>
              <w:ind w:left="180"/>
              <w:spacing w:after="0"/>
              <w:rPr>
                <w:sz w:val="20"/>
                <w:szCs w:val="20"/>
                <w:color w:val="auto"/>
              </w:rPr>
            </w:pPr>
            <w:r>
              <w:rPr>
                <w:rFonts w:ascii="Arial" w:cs="Arial" w:eastAsia="Arial" w:hAnsi="Arial"/>
                <w:sz w:val="18"/>
                <w:szCs w:val="18"/>
                <w:color w:val="0000FF"/>
              </w:rPr>
              <w:t>06431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Sale agreement entered into on July 8, 2005, but closing will not occur until a future date.</w:t>
      </w:r>
    </w:p>
    <w:p>
      <w:pPr>
        <w:spacing w:after="0" w:line="41"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Directly owned by GE Capital Equity Investments, Inc. ("GECEI"). Indirectly owned by General Electric Capital Corporation ("GE Capital") because, among other things, GECEI is a wholly-owned subsidiary of GE Capital. Also indirectly owned by NBC Universal, Inc. ("NBC") because of an agreement between GECEI and NBC regarding allocation of investment proceeds. GECEI, GE Capital and NBC disclaim beneficial ownership of such securities except to the extent of their respective pecuniary interest. See Exhibit 99.1, incorporated by reference herein.</w:t>
      </w:r>
    </w:p>
    <w:p>
      <w:pPr>
        <w:spacing w:after="0" w:line="2"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Directly owned by NBC.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See Exhibits 24.1 and 24.2 for Powers of Attorney with respect to General Electric Capital Services, Inc. and General Electric Company, respectively.</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0000FF"/>
              </w:rPr>
              <w:t>/s/ Ronald J. Herman, Jr.,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07/12/2005</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17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President/GECEI</w:t>
            </w:r>
          </w:p>
        </w:tc>
        <w:tc>
          <w:tcPr>
            <w:tcW w:w="3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1780" w:type="dxa"/>
            <w:vAlign w:val="bottom"/>
            <w:tcBorders>
              <w:top w:val="single" w:sz="8" w:color="auto"/>
            </w:tcBorders>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20" w:right="324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60"/>
          </w:cols>
          <w:pgMar w:left="260" w:top="274" w:right="579" w:bottom="1440" w:gutter="0" w:footer="0" w:header="0"/>
        </w:sectPr>
      </w:pPr>
    </w:p>
    <w:bookmarkStart w:id="2" w:name="page3"/>
    <w:bookmarkEnd w:id="2"/>
    <w:p>
      <w:pPr>
        <w:ind w:left="6960"/>
        <w:spacing w:after="0"/>
        <w:rPr>
          <w:sz w:val="20"/>
          <w:szCs w:val="20"/>
          <w:color w:val="auto"/>
        </w:rPr>
      </w:pPr>
      <w:r>
        <w:rPr>
          <w:rFonts w:ascii="Courier New" w:cs="Courier New" w:eastAsia="Courier New" w:hAnsi="Courier New"/>
          <w:sz w:val="18"/>
          <w:szCs w:val="18"/>
          <w:color w:val="auto"/>
        </w:rPr>
        <w:t>Exhibit 24.1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1159"/>
        <w:spacing w:after="0" w:line="272" w:lineRule="auto"/>
        <w:rPr>
          <w:sz w:val="20"/>
          <w:szCs w:val="20"/>
          <w:color w:val="auto"/>
        </w:rPr>
      </w:pPr>
      <w:r>
        <w:rPr>
          <w:rFonts w:ascii="Courier New" w:cs="Courier New" w:eastAsia="Courier New" w:hAnsi="Courier New"/>
          <w:sz w:val="16"/>
          <w:szCs w:val="16"/>
          <w:color w:val="auto"/>
        </w:rPr>
        <w:t>The undersigned, General Electric Capital Services, Inc., a Delaware corporation (hereinafter referred to as the "Corporation") does hereby make, constitute and appoint the persons listed below as the Corporation's true and lawful agent and attorney-in-fact (hereinafter referred to as the "Attorney") to act either together or alone in the name and on behalf of the Corporation for and with respect to the matters hereinafter described.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Name of Attorney:</w:t>
            </w:r>
          </w:p>
        </w:tc>
        <w:tc>
          <w:tcPr>
            <w:tcW w:w="226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2480" w:type="dxa"/>
            <w:vAlign w:val="bottom"/>
          </w:tcPr>
          <w:p>
            <w:pPr>
              <w:ind w:left="1700"/>
              <w:spacing w:after="0"/>
              <w:rPr>
                <w:sz w:val="20"/>
                <w:szCs w:val="20"/>
                <w:color w:val="auto"/>
              </w:rPr>
            </w:pPr>
            <w:r>
              <w:rPr>
                <w:rFonts w:ascii="Courier New" w:cs="Courier New" w:eastAsia="Courier New" w:hAnsi="Courier New"/>
                <w:sz w:val="18"/>
                <w:szCs w:val="18"/>
                <w:color w:val="auto"/>
              </w:rPr>
              <w:t>Michael</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A. Gaudino</w:t>
            </w:r>
          </w:p>
        </w:tc>
        <w:tc>
          <w:tcPr>
            <w:tcW w:w="3160" w:type="dxa"/>
            <w:vAlign w:val="bottom"/>
          </w:tcPr>
          <w:p>
            <w:pPr>
              <w:ind w:left="1160"/>
              <w:spacing w:after="0"/>
              <w:rPr>
                <w:sz w:val="20"/>
                <w:szCs w:val="20"/>
                <w:color w:val="auto"/>
              </w:rPr>
            </w:pPr>
            <w:r>
              <w:rPr>
                <w:rFonts w:ascii="Courier New" w:cs="Courier New" w:eastAsia="Courier New" w:hAnsi="Courier New"/>
                <w:sz w:val="18"/>
                <w:szCs w:val="18"/>
                <w:color w:val="auto"/>
              </w:rPr>
              <w:t>Jack Campo</w:t>
            </w:r>
          </w:p>
        </w:tc>
      </w:tr>
      <w:tr>
        <w:trPr>
          <w:trHeight w:val="203"/>
        </w:trPr>
        <w:tc>
          <w:tcPr>
            <w:tcW w:w="474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James C. Ungari</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Barbara J. Gould</w:t>
            </w: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Preston</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 Abbott</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Ivan Fong</w:t>
            </w: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Barbara</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Lane</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Alex Urquhart</w:t>
            </w:r>
          </w:p>
        </w:tc>
      </w:tr>
      <w:tr>
        <w:trPr>
          <w:trHeight w:val="203"/>
        </w:trPr>
        <w:tc>
          <w:tcPr>
            <w:tcW w:w="474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Leon E. Roday</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Amy Fisher</w:t>
            </w:r>
          </w:p>
        </w:tc>
      </w:tr>
      <w:tr>
        <w:trPr>
          <w:trHeight w:val="203"/>
        </w:trPr>
        <w:tc>
          <w:tcPr>
            <w:tcW w:w="474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Alan Lewis</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Mark Kaplow</w:t>
            </w:r>
          </w:p>
        </w:tc>
      </w:tr>
      <w:tr>
        <w:trPr>
          <w:trHeight w:val="203"/>
        </w:trPr>
        <w:tc>
          <w:tcPr>
            <w:tcW w:w="474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Ward Bobitz</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Eileen Brumback</w:t>
            </w:r>
          </w:p>
        </w:tc>
      </w:tr>
      <w:tr>
        <w:trPr>
          <w:trHeight w:val="203"/>
        </w:trPr>
        <w:tc>
          <w:tcPr>
            <w:tcW w:w="474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Patricia Merrill</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Barbara Daniele</w:t>
            </w:r>
          </w:p>
        </w:tc>
      </w:tr>
      <w:tr>
        <w:trPr>
          <w:trHeight w:val="203"/>
        </w:trPr>
        <w:tc>
          <w:tcPr>
            <w:tcW w:w="474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Michael Pastore</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6"/>
              </w:rPr>
              <w:t>Carlos Carrasquillo</w:t>
            </w:r>
          </w:p>
        </w:tc>
      </w:tr>
      <w:tr>
        <w:trPr>
          <w:trHeight w:val="203"/>
        </w:trPr>
        <w:tc>
          <w:tcPr>
            <w:tcW w:w="474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Ronald Herman</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Anthony DiGiacomo</w:t>
            </w:r>
          </w:p>
        </w:tc>
      </w:tr>
      <w:tr>
        <w:trPr>
          <w:trHeight w:val="203"/>
        </w:trPr>
        <w:tc>
          <w:tcPr>
            <w:tcW w:w="474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Frank Ertl</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Kevin Korsh</w:t>
            </w:r>
          </w:p>
        </w:tc>
      </w:tr>
      <w:tr>
        <w:trPr>
          <w:trHeight w:val="203"/>
        </w:trPr>
        <w:tc>
          <w:tcPr>
            <w:tcW w:w="474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William Carstanjen</w:t>
            </w:r>
          </w:p>
        </w:tc>
        <w:tc>
          <w:tcPr>
            <w:tcW w:w="3160" w:type="dxa"/>
            <w:vAlign w:val="bottom"/>
          </w:tcPr>
          <w:p>
            <w:pPr>
              <w:spacing w:after="0"/>
              <w:rPr>
                <w:sz w:val="17"/>
                <w:szCs w:val="17"/>
                <w:color w:val="auto"/>
              </w:rPr>
            </w:pPr>
          </w:p>
        </w:tc>
      </w:tr>
    </w:tbl>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Each Attorney shall have the power and authority to do the following:</w:t>
      </w:r>
    </w:p>
    <w:p>
      <w:pPr>
        <w:spacing w:after="0" w:line="224"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To execute and deliver any Schedule 13D, Schedule 13G or Forms 3, 4 and 5 or any amendments thereto required to be filed with the Securities and Exchange Commission under the Securities Exchange Act of 1934 on behalf of the Corporation with regard to any securities owned by the Corporation, General Electric Capital Corporation or any of their subsidiaries.</w:t>
      </w:r>
    </w:p>
    <w:p>
      <w:pPr>
        <w:spacing w:after="0" w:line="210"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And, in connection with the foregoing, to execute and deliver all documents, acknowledgments, consents and other agreements and to take such further action as may be necessary or convenient for the Corporation in order to more effectively carry out the intent and purpose of the foregoing.</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Agreements, commitments, documents, instruments and other writings executed by the Attorney in accordance with the terms hereof shall be binding upon the Corporation without attestation and without affixation of the seal of the Corporation. The Power of Attorney conferred hereby shall not be delegable by any Attorney. The Attorney shall serve without compensation for acting in the capacity of agent and attorney-in-fact hereunder.</w:t>
      </w:r>
    </w:p>
    <w:p>
      <w:pPr>
        <w:spacing w:after="0" w:line="210" w:lineRule="exact"/>
        <w:rPr>
          <w:sz w:val="20"/>
          <w:szCs w:val="20"/>
          <w:color w:val="auto"/>
        </w:rPr>
      </w:pPr>
    </w:p>
    <w:p>
      <w:pPr>
        <w:ind w:right="2099" w:firstLine="1159"/>
        <w:spacing w:after="0" w:line="236" w:lineRule="auto"/>
        <w:rPr>
          <w:sz w:val="20"/>
          <w:szCs w:val="20"/>
          <w:color w:val="auto"/>
        </w:rPr>
      </w:pPr>
      <w:r>
        <w:rPr>
          <w:rFonts w:ascii="Courier New" w:cs="Courier New" w:eastAsia="Courier New" w:hAnsi="Courier New"/>
          <w:sz w:val="18"/>
          <w:szCs w:val="18"/>
          <w:color w:val="auto"/>
        </w:rPr>
        <w:t>Unless revoked by the Corporation, this Power of Attorney shall be governed under the laws of the State of New York and the authority of the Attorney hereunder shall terminate on December 31, 2005.</w:t>
      </w:r>
    </w:p>
    <w:p>
      <w:pPr>
        <w:spacing w:after="0" w:line="200" w:lineRule="exact"/>
        <w:rPr>
          <w:sz w:val="20"/>
          <w:szCs w:val="20"/>
          <w:color w:val="auto"/>
        </w:rPr>
      </w:pPr>
    </w:p>
    <w:p>
      <w:pPr>
        <w:spacing w:after="0" w:line="387" w:lineRule="exact"/>
        <w:rPr>
          <w:sz w:val="20"/>
          <w:szCs w:val="20"/>
          <w:color w:val="auto"/>
        </w:rPr>
      </w:pPr>
    </w:p>
    <w:p>
      <w:pPr>
        <w:ind w:right="1999" w:firstLine="1159"/>
        <w:spacing w:after="0" w:line="236" w:lineRule="auto"/>
        <w:rPr>
          <w:sz w:val="20"/>
          <w:szCs w:val="20"/>
          <w:color w:val="auto"/>
        </w:rPr>
      </w:pPr>
      <w:r>
        <w:rPr>
          <w:rFonts w:ascii="Courier New" w:cs="Courier New" w:eastAsia="Courier New" w:hAnsi="Courier New"/>
          <w:sz w:val="18"/>
          <w:szCs w:val="18"/>
          <w:color w:val="auto"/>
        </w:rPr>
        <w:t>This Power of Attorney supersedes in its entirety the Power of Attorney granted by the Corporation on November 14, 2004 that was scheduled to expire on February 6, 2005.</w:t>
      </w:r>
    </w:p>
    <w:p>
      <w:pPr>
        <w:spacing w:after="0" w:line="209"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IN WITNESS WHEREOF, the Corporation has caused the Power of Attorney to be executed, attested and its corporate seal to be affixed pursuant to authority granted by the Corporation's board of directors, as of the 7th day of February 2005.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General Electric Capital Services, Inc.</w:t>
      </w:r>
    </w:p>
    <w:p>
      <w:pPr>
        <w:spacing w:after="0" w:line="238" w:lineRule="auto"/>
        <w:rPr>
          <w:sz w:val="20"/>
          <w:szCs w:val="20"/>
          <w:color w:val="auto"/>
        </w:rPr>
      </w:pPr>
      <w:r>
        <w:rPr>
          <w:rFonts w:ascii="Courier New" w:cs="Courier New" w:eastAsia="Courier New" w:hAnsi="Courier New"/>
          <w:sz w:val="18"/>
          <w:szCs w:val="18"/>
          <w:color w:val="auto"/>
        </w:rPr>
        <w:t>(Corporate Seal)</w:t>
      </w:r>
    </w:p>
    <w:p>
      <w:pPr>
        <w:ind w:left="4220"/>
        <w:spacing w:after="0"/>
        <w:rPr>
          <w:sz w:val="20"/>
          <w:szCs w:val="20"/>
          <w:color w:val="auto"/>
        </w:rPr>
      </w:pPr>
      <w:r>
        <w:rPr>
          <w:rFonts w:ascii="Courier New" w:cs="Courier New" w:eastAsia="Courier New" w:hAnsi="Courier New"/>
          <w:sz w:val="18"/>
          <w:szCs w:val="18"/>
          <w:color w:val="auto"/>
        </w:rPr>
        <w:t>By: /s/ Brian T. McAnaney</w:t>
      </w:r>
    </w:p>
    <w:p>
      <w:pPr>
        <w:ind w:left="4640"/>
        <w:spacing w:after="0" w:line="237" w:lineRule="auto"/>
        <w:rPr>
          <w:sz w:val="20"/>
          <w:szCs w:val="20"/>
          <w:color w:val="auto"/>
        </w:rPr>
      </w:pPr>
      <w:r>
        <w:rPr>
          <w:rFonts w:ascii="Courier New" w:cs="Courier New" w:eastAsia="Courier New" w:hAnsi="Courier New"/>
          <w:sz w:val="18"/>
          <w:szCs w:val="18"/>
          <w:color w:val="auto"/>
        </w:rPr>
        <w:t>-----------------------------------</w:t>
      </w:r>
    </w:p>
    <w:p>
      <w:pPr>
        <w:ind w:left="4640"/>
        <w:spacing w:after="0" w:line="238" w:lineRule="auto"/>
        <w:rPr>
          <w:sz w:val="20"/>
          <w:szCs w:val="20"/>
          <w:color w:val="auto"/>
        </w:rPr>
      </w:pPr>
      <w:r>
        <w:rPr>
          <w:rFonts w:ascii="Courier New" w:cs="Courier New" w:eastAsia="Courier New" w:hAnsi="Courier New"/>
          <w:sz w:val="18"/>
          <w:szCs w:val="18"/>
          <w:color w:val="auto"/>
        </w:rPr>
        <w:t>Brian T. McAnaney, Vice President,</w:t>
      </w:r>
    </w:p>
    <w:p>
      <w:pPr>
        <w:ind w:left="4640"/>
        <w:spacing w:after="0"/>
        <w:rPr>
          <w:sz w:val="20"/>
          <w:szCs w:val="20"/>
          <w:color w:val="auto"/>
        </w:rPr>
      </w:pPr>
      <w:r>
        <w:rPr>
          <w:rFonts w:ascii="Courier New" w:cs="Courier New" w:eastAsia="Courier New" w:hAnsi="Courier New"/>
          <w:sz w:val="18"/>
          <w:szCs w:val="18"/>
          <w:color w:val="auto"/>
        </w:rPr>
        <w:t>General Counsel and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 Secretary</w:t>
      </w:r>
    </w:p>
    <w:p>
      <w:pPr>
        <w:sectPr>
          <w:pgSz w:w="11900" w:h="16838" w:orient="portrait"/>
          <w:cols w:equalWidth="0" w:num="1">
            <w:col w:w="10219"/>
          </w:cols>
          <w:pgMar w:left="240" w:top="136" w:right="1440" w:bottom="565"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40" w:right="1440" w:bottom="1440" w:gutter="0" w:footer="0" w:header="0"/>
        </w:sectPr>
      </w:pPr>
    </w:p>
    <w:bookmarkStart w:id="4" w:name="page5"/>
    <w:bookmarkEnd w:id="4"/>
    <w:p>
      <w:pPr>
        <w:ind w:left="6960"/>
        <w:spacing w:after="0"/>
        <w:rPr>
          <w:sz w:val="20"/>
          <w:szCs w:val="20"/>
          <w:color w:val="auto"/>
        </w:rPr>
      </w:pPr>
      <w:r>
        <w:rPr>
          <w:rFonts w:ascii="Courier New" w:cs="Courier New" w:eastAsia="Courier New" w:hAnsi="Courier New"/>
          <w:sz w:val="18"/>
          <w:szCs w:val="18"/>
          <w:color w:val="auto"/>
        </w:rPr>
        <w:t>Exhibit 24.2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The undersigned, General Electric Company, a New York corporation (hereinafter referred to as the "Corporation") does hereby make, constitute and appoint the persons listed below as the Corporation's true and lawful agent and attorney-in-fact (hereinafter referred to as the "Attorney") to act either together or alone in the name and on behalf of the Corporation for and with respect to the matters hereinafter described.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Name of Attorney:</w:t>
            </w:r>
          </w:p>
        </w:tc>
        <w:tc>
          <w:tcPr>
            <w:tcW w:w="228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405"/>
        </w:trPr>
        <w:tc>
          <w:tcPr>
            <w:tcW w:w="2160" w:type="dxa"/>
            <w:vAlign w:val="bottom"/>
          </w:tcPr>
          <w:p>
            <w:pPr>
              <w:ind w:left="1380"/>
              <w:spacing w:after="0"/>
              <w:rPr>
                <w:sz w:val="20"/>
                <w:szCs w:val="20"/>
                <w:color w:val="auto"/>
              </w:rPr>
            </w:pPr>
            <w:r>
              <w:rPr>
                <w:rFonts w:ascii="Courier New" w:cs="Courier New" w:eastAsia="Courier New" w:hAnsi="Courier New"/>
                <w:sz w:val="18"/>
                <w:szCs w:val="18"/>
                <w:color w:val="auto"/>
              </w:rPr>
              <w:t>Michael</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A. Gaudino</w:t>
            </w:r>
          </w:p>
        </w:tc>
        <w:tc>
          <w:tcPr>
            <w:tcW w:w="3160" w:type="dxa"/>
            <w:vAlign w:val="bottom"/>
          </w:tcPr>
          <w:p>
            <w:pPr>
              <w:ind w:left="1160"/>
              <w:spacing w:after="0"/>
              <w:rPr>
                <w:sz w:val="20"/>
                <w:szCs w:val="20"/>
                <w:color w:val="auto"/>
              </w:rPr>
            </w:pPr>
            <w:r>
              <w:rPr>
                <w:rFonts w:ascii="Courier New" w:cs="Courier New" w:eastAsia="Courier New" w:hAnsi="Courier New"/>
                <w:sz w:val="18"/>
                <w:szCs w:val="18"/>
                <w:color w:val="auto"/>
              </w:rPr>
              <w:t>Jack Campo</w:t>
            </w:r>
          </w:p>
        </w:tc>
      </w:tr>
      <w:tr>
        <w:trPr>
          <w:trHeight w:val="203"/>
        </w:trPr>
        <w:tc>
          <w:tcPr>
            <w:tcW w:w="44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James C. Ungari</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Barbara J. Gould</w:t>
            </w:r>
          </w:p>
        </w:tc>
      </w:tr>
      <w:tr>
        <w:trPr>
          <w:trHeight w:val="203"/>
        </w:trPr>
        <w:tc>
          <w:tcPr>
            <w:tcW w:w="21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Preston</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 Abbott</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Ivan Fong</w:t>
            </w:r>
          </w:p>
        </w:tc>
      </w:tr>
      <w:tr>
        <w:trPr>
          <w:trHeight w:val="203"/>
        </w:trPr>
        <w:tc>
          <w:tcPr>
            <w:tcW w:w="21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Barbara</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Lane</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Alex Urquhart</w:t>
            </w:r>
          </w:p>
        </w:tc>
      </w:tr>
      <w:tr>
        <w:trPr>
          <w:trHeight w:val="203"/>
        </w:trPr>
        <w:tc>
          <w:tcPr>
            <w:tcW w:w="44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Leon E. Roday</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Amy Fisher</w:t>
            </w:r>
          </w:p>
        </w:tc>
      </w:tr>
      <w:tr>
        <w:trPr>
          <w:trHeight w:val="203"/>
        </w:trPr>
        <w:tc>
          <w:tcPr>
            <w:tcW w:w="44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Alan Lewis</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Mark Kaplow</w:t>
            </w:r>
          </w:p>
        </w:tc>
      </w:tr>
      <w:tr>
        <w:trPr>
          <w:trHeight w:val="203"/>
        </w:trPr>
        <w:tc>
          <w:tcPr>
            <w:tcW w:w="44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Ward Bobitz</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Eileen Brumback</w:t>
            </w:r>
          </w:p>
        </w:tc>
      </w:tr>
      <w:tr>
        <w:trPr>
          <w:trHeight w:val="203"/>
        </w:trPr>
        <w:tc>
          <w:tcPr>
            <w:tcW w:w="44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Patricia Merrill</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Barbara Danielle</w:t>
            </w:r>
          </w:p>
        </w:tc>
      </w:tr>
      <w:tr>
        <w:trPr>
          <w:trHeight w:val="203"/>
        </w:trPr>
        <w:tc>
          <w:tcPr>
            <w:tcW w:w="44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Michael Pastore</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6"/>
              </w:rPr>
              <w:t>Carlos Carrasquillo</w:t>
            </w:r>
          </w:p>
        </w:tc>
      </w:tr>
      <w:tr>
        <w:trPr>
          <w:trHeight w:val="203"/>
        </w:trPr>
        <w:tc>
          <w:tcPr>
            <w:tcW w:w="44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Ronald Herman</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Anthony DiGiacomo</w:t>
            </w:r>
          </w:p>
        </w:tc>
      </w:tr>
      <w:tr>
        <w:trPr>
          <w:trHeight w:val="203"/>
        </w:trPr>
        <w:tc>
          <w:tcPr>
            <w:tcW w:w="44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Frank Ertl</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Kevin Korsh</w:t>
            </w:r>
          </w:p>
        </w:tc>
      </w:tr>
      <w:tr>
        <w:trPr>
          <w:trHeight w:val="203"/>
        </w:trPr>
        <w:tc>
          <w:tcPr>
            <w:tcW w:w="44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William Carstanjen</w:t>
            </w:r>
          </w:p>
        </w:tc>
        <w:tc>
          <w:tcPr>
            <w:tcW w:w="31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Each Attorney shall have the power and authority to do the following:</w:t>
      </w:r>
    </w:p>
    <w:p>
      <w:pPr>
        <w:spacing w:after="0" w:line="224"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To execute and deliver any Schedule 13D, Schedule 13G or Forms 3, 4 and 5 or any amendments thereto required to be filed with the Securities and Exchange Commission under the Securities Exchange Act of 1934 on behalf of the Corporation with regard to any securities owned by the Corporation, General Electric Capital Corporation or any of their subsidiaries.</w:t>
      </w:r>
    </w:p>
    <w:p>
      <w:pPr>
        <w:spacing w:after="0" w:line="210"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And, in connection with the foregoing, to execute and deliver all documents, acknowledgments, consents and other agreements and to take such further action as may be necessary or convenient for the Corporation in order to more effectively carry out the intent and purpose of the foregoing.</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Agreements, commitments, documents, instruments and other writings executed by the Attorney in accordance with the terms hereof shall be binding upon the Corporation without attestation and without affixation of the seal of the Corporation. The Power of Attorney conferred hereby shall not be delegable by any Attorney. The Attorney shall serve without compensation for acting in the capacity of agent and attorney-in-fact hereunder.</w:t>
      </w:r>
    </w:p>
    <w:p>
      <w:pPr>
        <w:spacing w:after="0" w:line="210" w:lineRule="exact"/>
        <w:rPr>
          <w:sz w:val="20"/>
          <w:szCs w:val="20"/>
          <w:color w:val="auto"/>
        </w:rPr>
      </w:pPr>
    </w:p>
    <w:p>
      <w:pPr>
        <w:ind w:right="2099" w:firstLine="1159"/>
        <w:spacing w:after="0" w:line="236" w:lineRule="auto"/>
        <w:rPr>
          <w:sz w:val="20"/>
          <w:szCs w:val="20"/>
          <w:color w:val="auto"/>
        </w:rPr>
      </w:pPr>
      <w:r>
        <w:rPr>
          <w:rFonts w:ascii="Courier New" w:cs="Courier New" w:eastAsia="Courier New" w:hAnsi="Courier New"/>
          <w:sz w:val="18"/>
          <w:szCs w:val="18"/>
          <w:color w:val="auto"/>
        </w:rPr>
        <w:t>Unless revoked by the Corporation, this Power of Attorney shall be governed under the laws of the State of New York and the authority of the Attorney hereunder shall terminate on December 31, 2005.</w:t>
      </w:r>
    </w:p>
    <w:p>
      <w:pPr>
        <w:spacing w:after="0" w:line="200" w:lineRule="exact"/>
        <w:rPr>
          <w:sz w:val="20"/>
          <w:szCs w:val="20"/>
          <w:color w:val="auto"/>
        </w:rPr>
      </w:pPr>
    </w:p>
    <w:p>
      <w:pPr>
        <w:spacing w:after="0" w:line="387" w:lineRule="exact"/>
        <w:rPr>
          <w:sz w:val="20"/>
          <w:szCs w:val="20"/>
          <w:color w:val="auto"/>
        </w:rPr>
      </w:pPr>
    </w:p>
    <w:p>
      <w:pPr>
        <w:ind w:right="1999" w:firstLine="1159"/>
        <w:spacing w:after="0" w:line="236" w:lineRule="auto"/>
        <w:rPr>
          <w:sz w:val="20"/>
          <w:szCs w:val="20"/>
          <w:color w:val="auto"/>
        </w:rPr>
      </w:pPr>
      <w:r>
        <w:rPr>
          <w:rFonts w:ascii="Courier New" w:cs="Courier New" w:eastAsia="Courier New" w:hAnsi="Courier New"/>
          <w:sz w:val="18"/>
          <w:szCs w:val="18"/>
          <w:color w:val="auto"/>
        </w:rPr>
        <w:t>This Power of Attorney supersedes in its entirety the Power of Attorney granted by the Corporation on November 14, 2004 that was scheduled to expire on February 6, 2005.</w:t>
      </w:r>
    </w:p>
    <w:p>
      <w:pPr>
        <w:spacing w:after="0" w:line="209"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IN WITNESS WHEREOF, the Corporation has caused the Power of Attorney to be executed, attested and its corporate seal to be affixed pursuant to authority granted by the Corporation's board of directors, as of the 7th day of February 2005.</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General Electric Company</w:t>
      </w:r>
    </w:p>
    <w:p>
      <w:pPr>
        <w:spacing w:after="0" w:line="238" w:lineRule="auto"/>
        <w:rPr>
          <w:sz w:val="20"/>
          <w:szCs w:val="20"/>
          <w:color w:val="auto"/>
        </w:rPr>
      </w:pPr>
      <w:r>
        <w:rPr>
          <w:rFonts w:ascii="Courier New" w:cs="Courier New" w:eastAsia="Courier New" w:hAnsi="Courier New"/>
          <w:sz w:val="18"/>
          <w:szCs w:val="18"/>
          <w:color w:val="auto"/>
        </w:rPr>
        <w:t>(Corporate Seal)</w:t>
      </w:r>
    </w:p>
    <w:p>
      <w:pPr>
        <w:ind w:left="4320"/>
        <w:spacing w:after="0"/>
        <w:rPr>
          <w:sz w:val="20"/>
          <w:szCs w:val="20"/>
          <w:color w:val="auto"/>
        </w:rPr>
      </w:pPr>
      <w:r>
        <w:rPr>
          <w:rFonts w:ascii="Courier New" w:cs="Courier New" w:eastAsia="Courier New" w:hAnsi="Courier New"/>
          <w:sz w:val="18"/>
          <w:szCs w:val="18"/>
          <w:color w:val="auto"/>
        </w:rPr>
        <w:t>By: /s/ Philip D. Ameen</w:t>
      </w:r>
    </w:p>
    <w:p>
      <w:pPr>
        <w:ind w:left="4740"/>
        <w:spacing w:after="0" w:line="237" w:lineRule="auto"/>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Philip D. Ameen</w:t>
      </w:r>
    </w:p>
    <w:p>
      <w:pPr>
        <w:ind w:left="474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 Secretary</w:t>
      </w:r>
    </w:p>
    <w:p>
      <w:pPr>
        <w:sectPr>
          <w:pgSz w:w="11900" w:h="16838" w:orient="portrait"/>
          <w:cols w:equalWidth="0" w:num="1">
            <w:col w:w="10219"/>
          </w:cols>
          <w:pgMar w:left="240" w:top="136" w:right="1440" w:bottom="362"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40" w:right="1440" w:bottom="1440" w:gutter="0" w:footer="0" w:header="0"/>
        </w:sectPr>
      </w:pPr>
    </w:p>
    <w:bookmarkStart w:id="6" w:name="page7"/>
    <w:bookmarkEnd w:id="6"/>
    <w:p>
      <w:pPr>
        <w:ind w:left="69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Name of Joint Filer:</w:t>
      </w:r>
      <w:r>
        <w:rPr>
          <w:sz w:val="20"/>
          <w:szCs w:val="20"/>
          <w:color w:val="auto"/>
        </w:rPr>
        <w:tab/>
      </w:r>
      <w:r>
        <w:rPr>
          <w:rFonts w:ascii="Courier New" w:cs="Courier New" w:eastAsia="Courier New" w:hAnsi="Courier New"/>
          <w:sz w:val="16"/>
          <w:szCs w:val="16"/>
          <w:color w:val="auto"/>
        </w:rPr>
        <w:t>National Broadcasting Company</w:t>
      </w:r>
    </w:p>
    <w:p>
      <w:pPr>
        <w:ind w:left="4860"/>
        <w:spacing w:after="0" w:line="238" w:lineRule="auto"/>
        <w:rPr>
          <w:sz w:val="20"/>
          <w:szCs w:val="20"/>
          <w:color w:val="auto"/>
        </w:rPr>
      </w:pPr>
      <w:r>
        <w:rPr>
          <w:rFonts w:ascii="Courier New" w:cs="Courier New" w:eastAsia="Courier New" w:hAnsi="Courier New"/>
          <w:sz w:val="18"/>
          <w:szCs w:val="18"/>
          <w:color w:val="auto"/>
        </w:rPr>
        <w:t>Holding, Inc.</w:t>
      </w:r>
    </w:p>
    <w:p>
      <w:pPr>
        <w:spacing w:after="0" w:line="202"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Address of Joint Filer:</w:t>
      </w:r>
      <w:r>
        <w:rPr>
          <w:sz w:val="20"/>
          <w:szCs w:val="20"/>
          <w:color w:val="auto"/>
        </w:rPr>
        <w:tab/>
      </w:r>
      <w:r>
        <w:rPr>
          <w:rFonts w:ascii="Courier New" w:cs="Courier New" w:eastAsia="Courier New" w:hAnsi="Courier New"/>
          <w:sz w:val="16"/>
          <w:szCs w:val="16"/>
          <w:color w:val="auto"/>
        </w:rPr>
        <w:t>30 Rockefeller Plaza</w:t>
      </w:r>
    </w:p>
    <w:p>
      <w:pPr>
        <w:ind w:left="4640"/>
        <w:spacing w:after="0"/>
        <w:tabs>
          <w:tab w:leader="none" w:pos="610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10012</w:t>
      </w:r>
    </w:p>
    <w:p>
      <w:pPr>
        <w:spacing w:after="0" w:line="202"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Relationship of Joint Filer to Issuer:</w:t>
      </w:r>
      <w:r>
        <w:rPr>
          <w:sz w:val="20"/>
          <w:szCs w:val="20"/>
          <w:color w:val="auto"/>
        </w:rPr>
        <w:tab/>
      </w:r>
      <w:r>
        <w:rPr>
          <w:rFonts w:ascii="Courier New" w:cs="Courier New" w:eastAsia="Courier New" w:hAnsi="Courier New"/>
          <w:sz w:val="16"/>
          <w:szCs w:val="16"/>
          <w:color w:val="auto"/>
        </w:rPr>
        <w:t>Other (1)</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Issuer Name and Ticker or Trading Symbol:</w:t>
      </w:r>
      <w:r>
        <w:rPr>
          <w:sz w:val="20"/>
          <w:szCs w:val="20"/>
          <w:color w:val="auto"/>
        </w:rPr>
        <w:tab/>
      </w:r>
      <w:r>
        <w:rPr>
          <w:rFonts w:ascii="Courier New" w:cs="Courier New" w:eastAsia="Courier New" w:hAnsi="Courier New"/>
          <w:sz w:val="16"/>
          <w:szCs w:val="16"/>
          <w:color w:val="auto"/>
        </w:rPr>
        <w:t>ValueVision Media, Inc. (VVTV)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Earliest Transaction Required</w:t>
      </w:r>
    </w:p>
    <w:p>
      <w:pPr>
        <w:spacing w:after="0"/>
        <w:tabs>
          <w:tab w:leader="none" w:pos="4620" w:val="left"/>
        </w:tabs>
        <w:rPr>
          <w:sz w:val="20"/>
          <w:szCs w:val="20"/>
          <w:color w:val="auto"/>
        </w:rPr>
      </w:pPr>
      <w:r>
        <w:rPr>
          <w:rFonts w:ascii="Courier New" w:cs="Courier New" w:eastAsia="Courier New" w:hAnsi="Courier New"/>
          <w:sz w:val="18"/>
          <w:szCs w:val="18"/>
          <w:color w:val="auto"/>
        </w:rPr>
        <w:t>to be Reported (Month/Day/Year):</w:t>
      </w:r>
      <w:r>
        <w:rPr>
          <w:sz w:val="20"/>
          <w:szCs w:val="20"/>
          <w:color w:val="auto"/>
        </w:rPr>
        <w:tab/>
      </w:r>
      <w:r>
        <w:rPr>
          <w:rFonts w:ascii="Courier New" w:cs="Courier New" w:eastAsia="Courier New" w:hAnsi="Courier New"/>
          <w:sz w:val="16"/>
          <w:szCs w:val="16"/>
          <w:color w:val="auto"/>
        </w:rPr>
        <w:t>7/8/2005</w:t>
      </w:r>
    </w:p>
    <w:p>
      <w:pPr>
        <w:spacing w:after="0" w:line="202"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Designated Filer:</w:t>
      </w:r>
      <w:r>
        <w:rPr>
          <w:sz w:val="20"/>
          <w:szCs w:val="20"/>
          <w:color w:val="auto"/>
        </w:rPr>
        <w:tab/>
      </w:r>
      <w:r>
        <w:rPr>
          <w:rFonts w:ascii="Courier New" w:cs="Courier New" w:eastAsia="Courier New" w:hAnsi="Courier New"/>
          <w:sz w:val="16"/>
          <w:szCs w:val="16"/>
          <w:color w:val="auto"/>
        </w:rPr>
        <w:t>GE Capital Equity Investments,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BROADCASTING COMPANY HOLDING,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Elizabeth A. Newell</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Elizabeth A. Newell</w:t>
      </w:r>
    </w:p>
    <w:p>
      <w:pPr>
        <w:ind w:left="42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12, 2005</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ind w:right="1779" w:firstLine="8"/>
        <w:spacing w:after="0" w:line="271" w:lineRule="auto"/>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National Broadcasting Company Holding, Inc. disclaims beneficial ownership of all equity securities of the Issuer, and the filing of this Form shall not be deemed an admission that National Broadcasting Company Holding, Inc. is the beneficial owner of any equity securities of the Issuer for the purpose of Section 16 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Name of</w:t>
            </w:r>
          </w:p>
        </w:tc>
        <w:tc>
          <w:tcPr>
            <w:tcW w:w="3680" w:type="dxa"/>
            <w:vAlign w:val="bottom"/>
          </w:tcPr>
          <w:p>
            <w:pPr>
              <w:ind w:left="60"/>
              <w:spacing w:after="0"/>
              <w:rPr>
                <w:sz w:val="20"/>
                <w:szCs w:val="20"/>
                <w:color w:val="auto"/>
              </w:rPr>
            </w:pPr>
            <w:r>
              <w:rPr>
                <w:rFonts w:ascii="Courier New" w:cs="Courier New" w:eastAsia="Courier New" w:hAnsi="Courier New"/>
                <w:sz w:val="18"/>
                <w:szCs w:val="18"/>
                <w:color w:val="auto"/>
              </w:rPr>
              <w:t>Joint Filer:</w:t>
            </w: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rPr>
              <w:t>NBC Universal, Inc.</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Address</w:t>
            </w:r>
          </w:p>
        </w:tc>
        <w:tc>
          <w:tcPr>
            <w:tcW w:w="3680" w:type="dxa"/>
            <w:vAlign w:val="bottom"/>
          </w:tcPr>
          <w:p>
            <w:pPr>
              <w:ind w:left="60"/>
              <w:spacing w:after="0"/>
              <w:rPr>
                <w:sz w:val="20"/>
                <w:szCs w:val="20"/>
                <w:color w:val="auto"/>
              </w:rPr>
            </w:pPr>
            <w:r>
              <w:rPr>
                <w:rFonts w:ascii="Courier New" w:cs="Courier New" w:eastAsia="Courier New" w:hAnsi="Courier New"/>
                <w:sz w:val="18"/>
                <w:szCs w:val="18"/>
                <w:color w:val="auto"/>
              </w:rPr>
              <w:t>of Joint Filer:</w:t>
            </w: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rPr>
              <w:t>30 Rockefeller Plaza</w:t>
            </w:r>
          </w:p>
        </w:tc>
      </w:tr>
      <w:tr>
        <w:trPr>
          <w:trHeight w:val="203"/>
        </w:trPr>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10012</w:t>
            </w: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Relationship of Joint Filer to Issuer:</w:t>
            </w: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rPr>
              <w:t>10% Owner</w:t>
            </w: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Issuer Name and Ticker or Trading Symbol:</w:t>
            </w: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rPr>
              <w:t>ValueVision Media, Inc. (VVTV)</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 of</w:t>
            </w:r>
          </w:p>
        </w:tc>
        <w:tc>
          <w:tcPr>
            <w:tcW w:w="3680" w:type="dxa"/>
            <w:vAlign w:val="bottom"/>
          </w:tcPr>
          <w:p>
            <w:pPr>
              <w:ind w:left="60"/>
              <w:spacing w:after="0"/>
              <w:rPr>
                <w:sz w:val="20"/>
                <w:szCs w:val="20"/>
                <w:color w:val="auto"/>
              </w:rPr>
            </w:pPr>
            <w:r>
              <w:rPr>
                <w:rFonts w:ascii="Courier New" w:cs="Courier New" w:eastAsia="Courier New" w:hAnsi="Courier New"/>
                <w:sz w:val="18"/>
                <w:szCs w:val="18"/>
                <w:color w:val="auto"/>
              </w:rPr>
              <w:t>Earliest Transaction Required</w:t>
            </w:r>
          </w:p>
        </w:tc>
        <w:tc>
          <w:tcPr>
            <w:tcW w:w="3860" w:type="dxa"/>
            <w:vAlign w:val="bottom"/>
          </w:tcPr>
          <w:p>
            <w:pPr>
              <w:spacing w:after="0"/>
              <w:rPr>
                <w:sz w:val="24"/>
                <w:szCs w:val="24"/>
                <w:color w:val="auto"/>
              </w:rPr>
            </w:pP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be Reported (Month/Day/Year):</w:t>
            </w: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7/8/2005</w:t>
            </w: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Designated Filer:</w:t>
            </w: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w w:val="97"/>
              </w:rPr>
              <w:t>GE Capital Equity Investments, Inc.</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NBC UNIVERSAL,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Elizabeth A. Newell</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Elizabeth A. Newell</w:t>
      </w:r>
    </w:p>
    <w:p>
      <w:pPr>
        <w:ind w:left="420"/>
        <w:spacing w:after="0" w:line="237" w:lineRule="auto"/>
        <w:rPr>
          <w:sz w:val="20"/>
          <w:szCs w:val="20"/>
          <w:color w:val="auto"/>
        </w:rPr>
      </w:pPr>
      <w:r>
        <w:rPr>
          <w:rFonts w:ascii="Courier New" w:cs="Courier New" w:eastAsia="Courier New" w:hAnsi="Courier New"/>
          <w:sz w:val="18"/>
          <w:szCs w:val="18"/>
          <w:color w:val="auto"/>
        </w:rPr>
        <w:t>Title: Assistant Secretary</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12, 2005</w:t>
      </w:r>
    </w:p>
    <w:p>
      <w:pPr>
        <w:sectPr>
          <w:pgSz w:w="11900" w:h="16838" w:orient="portrait"/>
          <w:cols w:equalWidth="0" w:num="1">
            <w:col w:w="10219"/>
          </w:cols>
          <w:pgMar w:left="240" w:top="136" w:right="1440" w:bottom="0" w:gutter="0" w:footer="0" w:header="0"/>
          <w:type w:val="continuous"/>
        </w:sectPr>
      </w:pPr>
    </w:p>
    <w:bookmarkStart w:id="7" w:name="page8"/>
    <w:bookmarkEnd w:id="7"/>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NBC Universal, Inc. disclaims beneficial ownership of all securities reported on this Form except to the extent of its pecuniary interest.</w:t>
      </w:r>
    </w:p>
    <w:p>
      <w:pPr>
        <w:sectPr>
          <w:pgSz w:w="11900" w:h="16838" w:orient="portrait"/>
          <w:cols w:equalWidth="0" w:num="1">
            <w:col w:w="10219"/>
          </w:cols>
          <w:pgMar w:left="240" w:top="136" w:right="1440" w:bottom="1440" w:gutter="0" w:footer="0" w:header="0"/>
        </w:sectPr>
      </w:pPr>
    </w:p>
    <w:bookmarkStart w:id="8" w:name="page9"/>
    <w:bookmarkEnd w:id="8"/>
    <w:p>
      <w:pPr>
        <w:ind w:left="3060"/>
        <w:spacing w:after="0"/>
        <w:rPr>
          <w:sz w:val="20"/>
          <w:szCs w:val="20"/>
          <w:color w:val="auto"/>
        </w:rPr>
      </w:pPr>
      <w:r>
        <w:rPr>
          <w:rFonts w:ascii="Courier New" w:cs="Courier New" w:eastAsia="Courier New" w:hAnsi="Courier New"/>
          <w:sz w:val="18"/>
          <w:szCs w:val="18"/>
          <w:color w:val="auto"/>
        </w:rPr>
        <w:t>Joint Filer Information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Name of</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Joint Filer:</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w w:val="97"/>
              </w:rPr>
              <w:t>General Electric Capital Corporation</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Address</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of Joint Filer:</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260 Long Ridge Road</w:t>
            </w:r>
          </w:p>
        </w:tc>
      </w:tr>
      <w:tr>
        <w:trPr>
          <w:trHeight w:val="203"/>
        </w:trPr>
        <w:tc>
          <w:tcPr>
            <w:tcW w:w="8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Stamford, Connecticut 06927</w:t>
            </w:r>
          </w:p>
        </w:tc>
      </w:tr>
      <w:tr>
        <w:trPr>
          <w:trHeight w:val="405"/>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Relationship of Joint Filer to Issuer:</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10% Owner</w:t>
            </w:r>
          </w:p>
        </w:tc>
      </w:tr>
      <w:tr>
        <w:trPr>
          <w:trHeight w:val="405"/>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w w:val="99"/>
              </w:rPr>
              <w:t>Issuer Name and Ticker or Trading Symbol:</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ValueVision Media, Inc. (VVTV)</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 of</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Earliest Transaction Required</w:t>
            </w:r>
          </w:p>
        </w:tc>
        <w:tc>
          <w:tcPr>
            <w:tcW w:w="3900" w:type="dxa"/>
            <w:vAlign w:val="bottom"/>
          </w:tcPr>
          <w:p>
            <w:pPr>
              <w:spacing w:after="0"/>
              <w:rPr>
                <w:sz w:val="24"/>
                <w:szCs w:val="24"/>
                <w:color w:val="auto"/>
              </w:rPr>
            </w:pP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be Reported (Month/Day/Year):</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7/8/2005</w:t>
            </w:r>
          </w:p>
        </w:tc>
      </w:tr>
      <w:tr>
        <w:trPr>
          <w:trHeight w:val="405"/>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Designated Filer:</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w w:val="99"/>
              </w:rPr>
              <w:t>GE Capital Equity Investments, Inc.</w:t>
            </w:r>
          </w:p>
        </w:tc>
      </w:tr>
      <w:tr>
        <w:trPr>
          <w:trHeight w:val="608"/>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390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GENERAL</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ELECTRIC CAPITAL CORPORATION</w:t>
            </w:r>
          </w:p>
        </w:tc>
        <w:tc>
          <w:tcPr>
            <w:tcW w:w="390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Ronald J. Herman, Jr.</w:t>
            </w:r>
          </w:p>
        </w:tc>
        <w:tc>
          <w:tcPr>
            <w:tcW w:w="3900" w:type="dxa"/>
            <w:vAlign w:val="bottom"/>
          </w:tcPr>
          <w:p>
            <w:pPr>
              <w:spacing w:after="0"/>
              <w:rPr>
                <w:sz w:val="24"/>
                <w:szCs w:val="24"/>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Ronald J. Herman, Jr.</w:t>
      </w:r>
    </w:p>
    <w:p>
      <w:pPr>
        <w:ind w:left="4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12, 2005</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514" w:right="1440" w:bottom="1440" w:gutter="0" w:footer="0" w:header="0"/>
        </w:sectPr>
      </w:pPr>
    </w:p>
    <w:bookmarkStart w:id="9" w:name="page10"/>
    <w:bookmarkEnd w:id="9"/>
    <w:p>
      <w:pPr>
        <w:ind w:left="3060"/>
        <w:spacing w:after="0"/>
        <w:rPr>
          <w:sz w:val="20"/>
          <w:szCs w:val="20"/>
          <w:color w:val="auto"/>
        </w:rPr>
      </w:pPr>
      <w:r>
        <w:rPr>
          <w:rFonts w:ascii="Courier New" w:cs="Courier New" w:eastAsia="Courier New" w:hAnsi="Courier New"/>
          <w:sz w:val="16"/>
          <w:szCs w:val="16"/>
          <w:color w:val="auto"/>
        </w:rPr>
        <w:t>Joint Filer Information</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Electric Capital</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Services, Inc.</w:t>
      </w:r>
    </w:p>
    <w:p>
      <w:pPr>
        <w:spacing w:after="0" w:line="200" w:lineRule="exact"/>
        <w:rPr>
          <w:sz w:val="20"/>
          <w:szCs w:val="20"/>
          <w:color w:val="auto"/>
        </w:rPr>
      </w:pPr>
    </w:p>
    <w:p>
      <w:pPr>
        <w:sectPr>
          <w:pgSz w:w="11900" w:h="16838" w:orient="portrait"/>
          <w:cols w:equalWidth="0" w:num="2">
            <w:col w:w="3820" w:space="720"/>
            <w:col w:w="567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260 Long Ridge Road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Stamford, Connecticut 06927</w:t>
      </w:r>
    </w:p>
    <w:p>
      <w:pPr>
        <w:spacing w:after="0" w:line="200" w:lineRule="exact"/>
        <w:rPr>
          <w:sz w:val="20"/>
          <w:szCs w:val="20"/>
          <w:color w:val="auto"/>
        </w:rPr>
      </w:pPr>
    </w:p>
    <w:p>
      <w:pPr>
        <w:sectPr>
          <w:pgSz w:w="11900" w:h="16838" w:orient="portrait"/>
          <w:cols w:equalWidth="0" w:num="2">
            <w:col w:w="3820" w:space="720"/>
            <w:col w:w="56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(1)</w:t>
      </w:r>
    </w:p>
    <w:p>
      <w:pPr>
        <w:spacing w:after="0" w:line="200" w:lineRule="exact"/>
        <w:rPr>
          <w:sz w:val="20"/>
          <w:szCs w:val="20"/>
          <w:color w:val="auto"/>
        </w:rPr>
      </w:pPr>
    </w:p>
    <w:p>
      <w:pPr>
        <w:sectPr>
          <w:pgSz w:w="11900" w:h="16838" w:orient="portrait"/>
          <w:cols w:equalWidth="0" w:num="2">
            <w:col w:w="4020" w:space="520"/>
            <w:col w:w="56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ValueVision Media, Inc. (VVTV)</w:t>
      </w:r>
    </w:p>
    <w:p>
      <w:pPr>
        <w:spacing w:after="0" w:line="200" w:lineRule="exact"/>
        <w:rPr>
          <w:sz w:val="20"/>
          <w:szCs w:val="20"/>
          <w:color w:val="auto"/>
        </w:rPr>
      </w:pPr>
    </w:p>
    <w:p>
      <w:pPr>
        <w:sectPr>
          <w:pgSz w:w="11900" w:h="16838" w:orient="portrait"/>
          <w:cols w:equalWidth="0" w:num="2">
            <w:col w:w="4320" w:space="220"/>
            <w:col w:w="5679"/>
          </w:cols>
          <w:pgMar w:left="240" w:top="520" w:right="1440" w:bottom="1440" w:gutter="0" w:footer="0" w:header="0"/>
          <w:type w:val="continuous"/>
        </w:sectPr>
      </w:pPr>
    </w:p>
    <w:p>
      <w:pPr>
        <w:spacing w:after="0" w:line="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7/8/2005</w:t>
      </w:r>
    </w:p>
    <w:p>
      <w:pPr>
        <w:spacing w:after="0" w:line="224" w:lineRule="exact"/>
        <w:rPr>
          <w:sz w:val="20"/>
          <w:szCs w:val="20"/>
          <w:color w:val="auto"/>
        </w:rPr>
      </w:pPr>
    </w:p>
    <w:p>
      <w:pPr>
        <w:sectPr>
          <w:pgSz w:w="11900" w:h="16838" w:orient="portrait"/>
          <w:cols w:equalWidth="0" w:num="2">
            <w:col w:w="3900" w:space="640"/>
            <w:col w:w="567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 Capital Equity Investments, Inc.</w:t>
      </w:r>
    </w:p>
    <w:p>
      <w:pPr>
        <w:spacing w:after="0" w:line="200" w:lineRule="exact"/>
        <w:rPr>
          <w:sz w:val="20"/>
          <w:szCs w:val="20"/>
          <w:color w:val="auto"/>
        </w:rPr>
      </w:pPr>
    </w:p>
    <w:p>
      <w:pPr>
        <w:sectPr>
          <w:pgSz w:w="11900" w:h="16838" w:orient="portrait"/>
          <w:cols w:equalWidth="0" w:num="2">
            <w:col w:w="3820" w:space="720"/>
            <w:col w:w="5679"/>
          </w:cols>
          <w:pgMar w:left="240" w:top="520"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ELECTRIC CAPITAL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Ronald J. Herman, Jr.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Ronald J. Herman, Jr.</w:t>
      </w:r>
    </w:p>
    <w:p>
      <w:pPr>
        <w:ind w:left="420"/>
        <w:spacing w:after="0" w:line="237"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12, 2005</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ind w:right="1779" w:firstLine="8"/>
        <w:spacing w:after="0" w:line="271"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Capital Services, Inc. disclaims beneficial ownership of all equity securities of the Issuer, and the filing of this Form shall not be deemed an admission that General Electric Capital Services, Inc. is the beneficial owner of any equity securities of the Issuer for the purpose of Section 16 or any other purpose.</w:t>
      </w:r>
    </w:p>
    <w:p>
      <w:pPr>
        <w:sectPr>
          <w:pgSz w:w="11900" w:h="16838" w:orient="portrait"/>
          <w:cols w:equalWidth="0" w:num="1">
            <w:col w:w="10219"/>
          </w:cols>
          <w:pgMar w:left="240" w:top="520" w:right="1440" w:bottom="1440" w:gutter="0" w:footer="0" w:header="0"/>
          <w:type w:val="continuous"/>
        </w:sectPr>
      </w:pPr>
    </w:p>
    <w:bookmarkStart w:id="10" w:name="page11"/>
    <w:bookmarkEnd w:id="10"/>
    <w:p>
      <w:pPr>
        <w:ind w:left="3060"/>
        <w:spacing w:after="0"/>
        <w:rPr>
          <w:sz w:val="20"/>
          <w:szCs w:val="20"/>
          <w:color w:val="auto"/>
        </w:rPr>
      </w:pPr>
      <w:r>
        <w:rPr>
          <w:rFonts w:ascii="Courier New" w:cs="Courier New" w:eastAsia="Courier New" w:hAnsi="Courier New"/>
          <w:sz w:val="18"/>
          <w:szCs w:val="18"/>
          <w:color w:val="auto"/>
        </w:rPr>
        <w:t>Joint Filer Information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Name of</w:t>
            </w:r>
          </w:p>
        </w:tc>
        <w:tc>
          <w:tcPr>
            <w:tcW w:w="3680" w:type="dxa"/>
            <w:vAlign w:val="bottom"/>
          </w:tcPr>
          <w:p>
            <w:pPr>
              <w:ind w:left="60"/>
              <w:spacing w:after="0"/>
              <w:rPr>
                <w:sz w:val="20"/>
                <w:szCs w:val="20"/>
                <w:color w:val="auto"/>
              </w:rPr>
            </w:pPr>
            <w:r>
              <w:rPr>
                <w:rFonts w:ascii="Courier New" w:cs="Courier New" w:eastAsia="Courier New" w:hAnsi="Courier New"/>
                <w:sz w:val="18"/>
                <w:szCs w:val="18"/>
                <w:color w:val="auto"/>
              </w:rPr>
              <w:t>Joint Filer:</w:t>
            </w: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rPr>
              <w:t>General Electric Company</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Address</w:t>
            </w:r>
          </w:p>
        </w:tc>
        <w:tc>
          <w:tcPr>
            <w:tcW w:w="3680" w:type="dxa"/>
            <w:vAlign w:val="bottom"/>
          </w:tcPr>
          <w:p>
            <w:pPr>
              <w:ind w:left="60"/>
              <w:spacing w:after="0"/>
              <w:rPr>
                <w:sz w:val="20"/>
                <w:szCs w:val="20"/>
                <w:color w:val="auto"/>
              </w:rPr>
            </w:pPr>
            <w:r>
              <w:rPr>
                <w:rFonts w:ascii="Courier New" w:cs="Courier New" w:eastAsia="Courier New" w:hAnsi="Courier New"/>
                <w:sz w:val="18"/>
                <w:szCs w:val="18"/>
                <w:color w:val="auto"/>
              </w:rPr>
              <w:t>of Joint Filer:</w:t>
            </w: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rPr>
              <w:t>3135 Easton Turnpike</w:t>
            </w:r>
          </w:p>
        </w:tc>
      </w:tr>
      <w:tr>
        <w:trPr>
          <w:trHeight w:val="203"/>
        </w:trPr>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Fairfield, Connecticut 06431</w:t>
            </w: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Relationship of Joint Filer to Issuer:</w:t>
            </w: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rPr>
              <w:t>Other (1)</w:t>
            </w: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Issuer Name and Ticker or Trading Symbol:</w:t>
            </w: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rPr>
              <w:t>ValueVision Media, Inc. (VVTV)</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 of</w:t>
            </w:r>
          </w:p>
        </w:tc>
        <w:tc>
          <w:tcPr>
            <w:tcW w:w="3680" w:type="dxa"/>
            <w:vAlign w:val="bottom"/>
          </w:tcPr>
          <w:p>
            <w:pPr>
              <w:ind w:left="60"/>
              <w:spacing w:after="0"/>
              <w:rPr>
                <w:sz w:val="20"/>
                <w:szCs w:val="20"/>
                <w:color w:val="auto"/>
              </w:rPr>
            </w:pPr>
            <w:r>
              <w:rPr>
                <w:rFonts w:ascii="Courier New" w:cs="Courier New" w:eastAsia="Courier New" w:hAnsi="Courier New"/>
                <w:sz w:val="18"/>
                <w:szCs w:val="18"/>
                <w:color w:val="auto"/>
              </w:rPr>
              <w:t>Earliest Transaction Required</w:t>
            </w:r>
          </w:p>
        </w:tc>
        <w:tc>
          <w:tcPr>
            <w:tcW w:w="3860" w:type="dxa"/>
            <w:vAlign w:val="bottom"/>
          </w:tcPr>
          <w:p>
            <w:pPr>
              <w:spacing w:after="0"/>
              <w:rPr>
                <w:sz w:val="24"/>
                <w:szCs w:val="24"/>
                <w:color w:val="auto"/>
              </w:rPr>
            </w:pP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be Reported (Month/Day/Year):</w:t>
            </w: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7/8/2005</w:t>
            </w: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Designated Filer:</w:t>
            </w: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w w:val="97"/>
              </w:rPr>
              <w:t>GE Capital Equity Investments, Inc.</w:t>
            </w:r>
          </w:p>
        </w:tc>
      </w:tr>
      <w:tr>
        <w:trPr>
          <w:trHeight w:val="608"/>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386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GENERAL</w:t>
            </w:r>
          </w:p>
        </w:tc>
        <w:tc>
          <w:tcPr>
            <w:tcW w:w="3680" w:type="dxa"/>
            <w:vAlign w:val="bottom"/>
          </w:tcPr>
          <w:p>
            <w:pPr>
              <w:ind w:left="60"/>
              <w:spacing w:after="0"/>
              <w:rPr>
                <w:sz w:val="20"/>
                <w:szCs w:val="20"/>
                <w:color w:val="auto"/>
              </w:rPr>
            </w:pPr>
            <w:r>
              <w:rPr>
                <w:rFonts w:ascii="Courier New" w:cs="Courier New" w:eastAsia="Courier New" w:hAnsi="Courier New"/>
                <w:sz w:val="18"/>
                <w:szCs w:val="18"/>
                <w:color w:val="auto"/>
              </w:rPr>
              <w:t>ELECTRIC COMPANY</w:t>
            </w:r>
          </w:p>
        </w:tc>
        <w:tc>
          <w:tcPr>
            <w:tcW w:w="386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3680" w:type="dxa"/>
            <w:vAlign w:val="bottom"/>
          </w:tcPr>
          <w:p>
            <w:pPr>
              <w:ind w:left="60"/>
              <w:spacing w:after="0"/>
              <w:rPr>
                <w:sz w:val="20"/>
                <w:szCs w:val="20"/>
                <w:color w:val="auto"/>
              </w:rPr>
            </w:pPr>
            <w:r>
              <w:rPr>
                <w:rFonts w:ascii="Courier New" w:cs="Courier New" w:eastAsia="Courier New" w:hAnsi="Courier New"/>
                <w:sz w:val="18"/>
                <w:szCs w:val="18"/>
                <w:color w:val="auto"/>
              </w:rPr>
              <w:t>Ronald J. Herman, Jr.</w:t>
            </w:r>
          </w:p>
        </w:tc>
        <w:tc>
          <w:tcPr>
            <w:tcW w:w="3860" w:type="dxa"/>
            <w:vAlign w:val="bottom"/>
          </w:tcPr>
          <w:p>
            <w:pPr>
              <w:spacing w:after="0"/>
              <w:rPr>
                <w:sz w:val="24"/>
                <w:szCs w:val="24"/>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Ronald J. Herman, Jr.</w:t>
      </w:r>
    </w:p>
    <w:p>
      <w:pPr>
        <w:ind w:left="420"/>
        <w:spacing w:after="0" w:line="237"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12, 2005</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10" w:lineRule="exact"/>
        <w:rPr>
          <w:sz w:val="20"/>
          <w:szCs w:val="20"/>
          <w:color w:val="auto"/>
        </w:rPr>
      </w:pPr>
    </w:p>
    <w:p>
      <w:pPr>
        <w:ind w:right="177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Company disclaims beneficial ownership of all equity securities of the Issuer, and the filing of this Form shall not be deemed an admission that General Electric Company is the beneficial owner of any equity securities of the Issuer for the purpose of Section 16 or any other purpose.</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093083" TargetMode="External"/><Relationship Id="rId13" Type="http://schemas.openxmlformats.org/officeDocument/2006/relationships/hyperlink" Target="http://www.sec.gov/cgi-bin/browse-edgar?action=getcompany&amp;CIK=0000870826" TargetMode="External"/><Relationship Id="rId14" Type="http://schemas.openxmlformats.org/officeDocument/2006/relationships/hyperlink" Target="http://www.sec.gov/cgi-bin/browse-edgar?action=getcompany&amp;CIK=0001295844" TargetMode="External"/><Relationship Id="rId15" Type="http://schemas.openxmlformats.org/officeDocument/2006/relationships/hyperlink" Target="http://www.sec.gov/cgi-bin/browse-edgar?action=getcompany&amp;CIK=0000902739" TargetMode="External"/><Relationship Id="rId17" Type="http://schemas.openxmlformats.org/officeDocument/2006/relationships/hyperlink" Target="http://www.sec.gov/cgi-bin/browse-edgar?action=getcompany&amp;CIK=0000040554" TargetMode="External"/><Relationship Id="rId18" Type="http://schemas.openxmlformats.org/officeDocument/2006/relationships/hyperlink" Target="http://www.sec.gov/cgi-bin/browse-edgar?action=getcompany&amp;CIK=0000797463" TargetMode="External"/><Relationship Id="rId19" Type="http://schemas.openxmlformats.org/officeDocument/2006/relationships/hyperlink" Target="http://www.sec.gov/cgi-bin/browse-edgar?action=getcompany&amp;CIK=00000405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2019-12-16T08:21:07Z</dcterms:created>
  <dcterms:modified xsi:type="dcterms:W3CDTF">2019-12-16T08:21:07Z</dcterms:modified>
</cp:coreProperties>
</file>