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6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30, 2025</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30, 2025, Comcast Corporation (“Comcast”) issued a press release reporting the results of its operations for the three and nine months ended September 30, 2025.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October 30, 2025.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30, 2025</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2025 RESULTS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PHILADELPHIA - October 30, 2025… Comcast Corporation (NASDAQ: CMCSA) today reported results for the quarter ended September 30, 2025.</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We're making steady progress as we reposition the company for long-term, sustained growth,</w:t>
      </w:r>
      <w:r>
        <w:rPr>
          <w:rFonts w:ascii="Arial" w:cs="Arial" w:eastAsia="Arial" w:hAnsi="Arial"/>
          <w:sz w:val="18"/>
          <w:szCs w:val="18"/>
          <w:color w:val="auto"/>
        </w:rPr>
        <w:t>" said Brian L. Roberts, Chairman and Chief Executive Officer of Comcast Corporation. "</w:t>
      </w:r>
      <w:r>
        <w:rPr>
          <w:rFonts w:ascii="Arial" w:cs="Arial" w:eastAsia="Arial" w:hAnsi="Arial"/>
          <w:sz w:val="18"/>
          <w:szCs w:val="18"/>
          <w:i w:val="1"/>
          <w:iCs w:val="1"/>
          <w:color w:val="auto"/>
        </w:rPr>
        <w:t>In Connectivity, we're taking deliberate steps to strengthen our broadband foundation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accelerate wireless as a meaningful growth engine, adding a record 414,000 wireless lines this quarter – clear evidence of the value of our converged offerings. In addition, Business Services delivered another solid performance, with mid-single digit revenue and Adjusted EBITDA growth. In Content &amp; Experiences, we're building momentum across NBC and Peacock as we head into one of the most exciting stretches of live sports in our history, including robust NBA coverage which just began last week. The early success of Epic Universe contributed to 19% revenue growth at our Theme Parks, reflecting the strength of our newest attractions and the enduring appeal of the Universal brand. We generated $4.9 billion of free cash flow this quarter and $14.9 billion year-to-date despite significant investment we're making in repositioning our company, a testament to both the durability and resilience of our underlying business.</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62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806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620" w:type="dxa"/>
            <w:vAlign w:val="bottom"/>
            <w:shd w:val="clear" w:color="auto" w:fill="D9D9D6"/>
          </w:tcPr>
          <w:p>
            <w:pPr>
              <w:spacing w:after="0"/>
              <w:rPr>
                <w:sz w:val="15"/>
                <w:szCs w:val="15"/>
                <w:color w:val="auto"/>
              </w:rPr>
            </w:pPr>
          </w:p>
        </w:tc>
        <w:tc>
          <w:tcPr>
            <w:tcW w:w="520" w:type="dxa"/>
            <w:vAlign w:val="bottom"/>
            <w:tcBorders>
              <w:right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D9D9D6"/>
          </w:tcPr>
          <w:p>
            <w:pPr>
              <w:spacing w:after="0"/>
              <w:rPr>
                <w:sz w:val="15"/>
                <w:szCs w:val="15"/>
                <w:color w:val="auto"/>
              </w:rPr>
            </w:pPr>
          </w:p>
        </w:tc>
        <w:tc>
          <w:tcPr>
            <w:tcW w:w="5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0" w:type="dxa"/>
            <w:vAlign w:val="bottom"/>
            <w:shd w:val="clear" w:color="auto" w:fill="D9D9D6"/>
          </w:tcPr>
          <w:p>
            <w:pPr>
              <w:spacing w:after="0"/>
              <w:rPr>
                <w:sz w:val="24"/>
                <w:szCs w:val="24"/>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$31,198</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$32,070</w:t>
            </w: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9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$3,332</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$3,629</w:t>
            </w:r>
          </w:p>
        </w:tc>
        <w:tc>
          <w:tcPr>
            <w:tcW w:w="114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right w:val="single" w:sz="8" w:color="D9D9D6"/>
            </w:tcBorders>
            <w:gridSpan w:val="2"/>
            <w:vMerge w:val="continue"/>
            <w:shd w:val="clear" w:color="auto" w:fill="D9D9D6"/>
          </w:tcPr>
          <w:p>
            <w:pPr>
              <w:spacing w:after="0"/>
              <w:rPr>
                <w:sz w:val="16"/>
                <w:szCs w:val="16"/>
                <w:color w:val="auto"/>
              </w:rPr>
            </w:pPr>
          </w:p>
        </w:tc>
        <w:tc>
          <w:tcPr>
            <w:tcW w:w="960" w:type="dxa"/>
            <w:vAlign w:val="bottom"/>
            <w:tcBorders>
              <w:right w:val="single" w:sz="8" w:color="D9D9D6"/>
            </w:tcBorders>
            <w:gridSpan w:val="3"/>
            <w:vMerge w:val="continue"/>
            <w:shd w:val="clear" w:color="auto" w:fill="D9D9D6"/>
          </w:tcPr>
          <w:p>
            <w:pPr>
              <w:spacing w:after="0"/>
              <w:rPr>
                <w:sz w:val="16"/>
                <w:szCs w:val="16"/>
                <w:color w:val="auto"/>
              </w:rPr>
            </w:pPr>
          </w:p>
        </w:tc>
        <w:tc>
          <w:tcPr>
            <w:tcW w:w="1140" w:type="dxa"/>
            <w:vAlign w:val="bottom"/>
            <w:tcBorders>
              <w:right w:val="single" w:sz="8" w:color="D9D9D6"/>
            </w:tcBorders>
            <w:gridSpan w:val="2"/>
            <w:vMerge w:val="continue"/>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9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$4,125</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$4,337</w:t>
            </w:r>
          </w:p>
        </w:tc>
        <w:tc>
          <w:tcPr>
            <w:tcW w:w="114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line="20" w:lineRule="exact"/>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vMerge w:val="continue"/>
            <w:shd w:val="clear" w:color="auto" w:fill="D9D9D6"/>
          </w:tcPr>
          <w:p>
            <w:pPr>
              <w:spacing w:after="0"/>
              <w:rPr>
                <w:sz w:val="17"/>
                <w:szCs w:val="17"/>
                <w:color w:val="auto"/>
              </w:rPr>
            </w:pPr>
          </w:p>
        </w:tc>
        <w:tc>
          <w:tcPr>
            <w:tcW w:w="960" w:type="dxa"/>
            <w:vAlign w:val="bottom"/>
            <w:tcBorders>
              <w:right w:val="single" w:sz="8" w:color="D9D9D6"/>
            </w:tcBorders>
            <w:gridSpan w:val="3"/>
            <w:vMerge w:val="continue"/>
            <w:shd w:val="clear" w:color="auto" w:fill="D9D9D6"/>
          </w:tcPr>
          <w:p>
            <w:pPr>
              <w:spacing w:after="0"/>
              <w:rPr>
                <w:sz w:val="17"/>
                <w:szCs w:val="17"/>
                <w:color w:val="auto"/>
              </w:rPr>
            </w:pPr>
          </w:p>
        </w:tc>
        <w:tc>
          <w:tcPr>
            <w:tcW w:w="1140" w:type="dxa"/>
            <w:vAlign w:val="bottom"/>
            <w:tcBorders>
              <w:right w:val="single" w:sz="8" w:color="D9D9D6"/>
            </w:tcBorders>
            <w:gridSpan w:val="2"/>
            <w:vMerge w:val="continue"/>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$9,669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$9,735</w:t>
            </w: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$0.94</w:t>
            </w: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7"/>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$1.12</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$1.12</w:t>
            </w:r>
          </w:p>
        </w:tc>
        <w:tc>
          <w:tcPr>
            <w:tcW w:w="62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$8,693</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$7,021</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45"/>
        </w:trPr>
        <w:tc>
          <w:tcPr>
            <w:tcW w:w="120" w:type="dxa"/>
            <w:vAlign w:val="bottom"/>
            <w:tcBorders>
              <w:bottom w:val="single" w:sz="8" w:color="D9D9D6"/>
            </w:tcBorders>
            <w:shd w:val="clear" w:color="auto" w:fill="D9D9D6"/>
          </w:tcPr>
          <w:p>
            <w:pPr>
              <w:spacing w:after="0"/>
              <w:rPr>
                <w:sz w:val="21"/>
                <w:szCs w:val="21"/>
                <w:color w:val="auto"/>
              </w:rPr>
            </w:pPr>
          </w:p>
        </w:tc>
        <w:tc>
          <w:tcPr>
            <w:tcW w:w="80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6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$4,945</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$3,406</w:t>
            </w:r>
          </w:p>
        </w:tc>
        <w:tc>
          <w:tcPr>
            <w:tcW w:w="1140" w:type="dxa"/>
            <w:vAlign w:val="bottom"/>
            <w:tcBorders>
              <w:bottom w:val="single" w:sz="8" w:color="D9D9D6"/>
            </w:tcBorders>
            <w:gridSpan w:val="2"/>
          </w:tcPr>
          <w:p>
            <w:pPr>
              <w:jc w:val="right"/>
              <w:ind w:right="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-548005</wp:posOffset>
            </wp:positionV>
            <wp:extent cx="72009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514350"/>
                    </a:xfrm>
                    <a:prstGeom prst="rect">
                      <a:avLst/>
                    </a:prstGeom>
                    <a:noFill/>
                  </pic:spPr>
                </pic:pic>
              </a:graphicData>
            </a:graphic>
          </wp:anchor>
        </w:drawing>
      </w:r>
    </w:p>
    <w:p>
      <w:pPr>
        <w:spacing w:after="0" w:line="5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3rd Quarter 2025 Highlights:</w:t>
      </w:r>
    </w:p>
    <w:p>
      <w:pPr>
        <w:spacing w:after="0" w:line="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$9.7 Billion, Adjusted EPS of $1.12, and Free Cash Flow of $4.9 Billion</w:t>
      </w:r>
    </w:p>
    <w:p>
      <w:pPr>
        <w:spacing w:after="0" w:line="45"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$2.8 Billion to Shareholders Through a Combination of $1.2 Billion in Dividend Payments and $1.5 Billion in Share Repurchases, Reducing Shares Outstanding by 5% Compared to the Prior Year Period</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4.2% to $11.5 Billion, Primarily Reflecting Growth in Domestic Wireless, International Connectivity and Business Services Connectivity</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to Invest in Our New Go-to-Market Strategy and Tactics, Including National Internet Plans with Everyday Pricing and Everything Included; a 5-Year Internet Price Guarantee; a Free Xfinity Unlimited Mobile Line Included for 1-Year; and a Premium Unlimited Wireless Plan That Delivers Gigabit Speeds, Upgraded Features, and Significant Savings</w:t>
      </w:r>
    </w:p>
    <w:p>
      <w:pPr>
        <w:spacing w:after="0" w:line="8"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 Net Additions Were 414,000, the Best Quarterly Result on Record; Surpassed 14% Penetration of Our Domestic Residential Broadband Customers with a Total of 8.9 Million Lines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Services Connectivity Revenue Increased 6.2% to $2.6 Billion, EBITDA Increased 4.5% to $1.5 Billion and EBITDA Margin Was 56.4%</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 EBITDA Increased 28.0% to $832 Million, Driven by Peacock. Peacock EBITDA Losses of $217 Million Improved by $219 Million Compared to the Prior Year Period</w:t>
      </w:r>
    </w:p>
    <w:p>
      <w:pPr>
        <w:spacing w:after="0" w:line="1"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Jurassic World Rebirth </w:t>
      </w:r>
      <w:r>
        <w:rPr>
          <w:rFonts w:ascii="Arial" w:cs="Arial" w:eastAsia="Arial" w:hAnsi="Arial"/>
          <w:sz w:val="18"/>
          <w:szCs w:val="18"/>
          <w:color w:val="auto"/>
        </w:rPr>
        <w:t>Premiered in July and Grossed Nearly $900 Million in Worldwide Box Office Year-to-Date, Pushing the Jurassic</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Cumulative Total to $7 Billion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EBITDA Increased 13.1% to $958 Million; Fueled by the Opening of Epic Universe in Orlando in May</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3rd Quarter Consolidated Financial Results</w:t>
      </w:r>
    </w:p>
    <w:p>
      <w:pPr>
        <w:spacing w:after="0" w:line="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decreased 2.7% reflecting an unfavorable comparison to the prior year period, which included incremental revenue from the Paris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Olympics. </w:t>
      </w:r>
      <w:r>
        <w:rPr>
          <w:rFonts w:ascii="Arial" w:cs="Arial" w:eastAsia="Arial" w:hAnsi="Arial"/>
          <w:sz w:val="18"/>
          <w:szCs w:val="18"/>
          <w:b w:val="1"/>
          <w:bCs w:val="1"/>
          <w:color w:val="auto"/>
        </w:rPr>
        <w:t>Net Income Attributable to Comcast</w:t>
      </w:r>
      <w:r>
        <w:rPr>
          <w:rFonts w:ascii="Arial" w:cs="Arial" w:eastAsia="Arial" w:hAnsi="Arial"/>
          <w:sz w:val="18"/>
          <w:szCs w:val="18"/>
          <w:color w:val="auto"/>
        </w:rPr>
        <w:t xml:space="preserve"> decreased 8.2%. </w:t>
      </w:r>
      <w:r>
        <w:rPr>
          <w:rFonts w:ascii="Arial" w:cs="Arial" w:eastAsia="Arial" w:hAnsi="Arial"/>
          <w:sz w:val="18"/>
          <w:szCs w:val="18"/>
          <w:b w:val="1"/>
          <w:bCs w:val="1"/>
          <w:color w:val="auto"/>
        </w:rPr>
        <w:t>Adjusted Net Income</w:t>
      </w:r>
      <w:r>
        <w:rPr>
          <w:rFonts w:ascii="Arial" w:cs="Arial" w:eastAsia="Arial" w:hAnsi="Arial"/>
          <w:sz w:val="18"/>
          <w:szCs w:val="18"/>
          <w:color w:val="auto"/>
        </w:rPr>
        <w:t xml:space="preserve"> decreased 4.9%. </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was consistent with the prior 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to 3.4% to $0.90.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of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42424"/>
        </w:rPr>
        <w:t>was consistent with the prior year period.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5.4% to $3.1 billion. Connectivity &amp; Platforms’ capital expenditures increased 19.5% to $2.3 billion,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higher spending on scalable infrastructure and customer premise equipment. Content &amp; Experiences' capital expenditures decreased 19.9% to $714 million, reflecting the opening of Epic Universe in May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$8.7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$4.9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46.0 million of its shares for $1.5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$2.8 billion.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503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10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000" w:type="dxa"/>
            <w:vAlign w:val="bottom"/>
            <w:tcBorders>
              <w:right w:val="single" w:sz="8" w:color="D9D9D6"/>
            </w:tcBorders>
            <w:gridSpan w:val="3"/>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3rd Quarter</w:t>
            </w:r>
          </w:p>
        </w:tc>
        <w:tc>
          <w:tcPr>
            <w:tcW w:w="680" w:type="dxa"/>
            <w:vAlign w:val="bottom"/>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tcBorders>
              <w:right w:val="single" w:sz="8" w:color="D9D9D6"/>
            </w:tcBorders>
            <w:gridSpan w:val="3"/>
            <w:vMerge w:val="continue"/>
            <w:shd w:val="clear" w:color="auto" w:fill="D9D9D6"/>
          </w:tcPr>
          <w:p>
            <w:pPr>
              <w:spacing w:after="0"/>
              <w:rPr>
                <w:sz w:val="6"/>
                <w:szCs w:val="6"/>
                <w:color w:val="auto"/>
              </w:rPr>
            </w:pPr>
          </w:p>
        </w:tc>
        <w:tc>
          <w:tcPr>
            <w:tcW w:w="68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00" w:type="dxa"/>
            <w:vAlign w:val="bottom"/>
            <w:tcBorders>
              <w:right w:val="single" w:sz="8" w:color="D9D9D6"/>
            </w:tcBorders>
            <w:gridSpan w:val="2"/>
            <w:vMerge w:val="restart"/>
            <w:shd w:val="clear" w:color="auto" w:fill="D9D9D6"/>
          </w:tcPr>
          <w:p>
            <w:pPr>
              <w:jc w:val="right"/>
              <w:spacing w:after="0" w:line="145" w:lineRule="exact"/>
              <w:rPr>
                <w:sz w:val="20"/>
                <w:szCs w:val="20"/>
                <w:color w:val="auto"/>
              </w:rPr>
            </w:pPr>
            <w:r>
              <w:rPr>
                <w:rFonts w:ascii="Arial" w:cs="Arial" w:eastAsia="Arial" w:hAnsi="Arial"/>
                <w:sz w:val="14"/>
                <w:szCs w:val="14"/>
                <w:color w:val="auto"/>
              </w:rPr>
              <w:t>Currency</w:t>
            </w:r>
          </w:p>
        </w:tc>
        <w:tc>
          <w:tcPr>
            <w:tcW w:w="32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60" w:type="dxa"/>
            <w:vAlign w:val="bottom"/>
            <w:vMerge w:val="restart"/>
            <w:shd w:val="clear" w:color="auto" w:fill="D9D9D6"/>
          </w:tcPr>
          <w:p>
            <w:pPr>
              <w:spacing w:after="0"/>
              <w:rPr>
                <w:sz w:val="4"/>
                <w:szCs w:val="4"/>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2025</w:t>
            </w:r>
          </w:p>
        </w:tc>
        <w:tc>
          <w:tcPr>
            <w:tcW w:w="180" w:type="dxa"/>
            <w:vAlign w:val="bottom"/>
            <w:vMerge w:val="restart"/>
            <w:shd w:val="clear" w:color="auto" w:fill="D9D9D6"/>
          </w:tcPr>
          <w:p>
            <w:pPr>
              <w:spacing w:after="0"/>
              <w:rPr>
                <w:sz w:val="4"/>
                <w:szCs w:val="4"/>
                <w:color w:val="auto"/>
              </w:rPr>
            </w:pPr>
          </w:p>
        </w:tc>
        <w:tc>
          <w:tcPr>
            <w:tcW w:w="820" w:type="dxa"/>
            <w:vAlign w:val="bottom"/>
            <w:tcBorders>
              <w:right w:val="single" w:sz="8" w:color="D9D9D6"/>
            </w:tcBorders>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200" w:type="dxa"/>
            <w:vAlign w:val="bottom"/>
            <w:tcBorders>
              <w:right w:val="single" w:sz="8" w:color="D9D9D6"/>
            </w:tcBorders>
            <w:gridSpan w:val="2"/>
            <w:vMerge w:val="continue"/>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760" w:type="dxa"/>
            <w:vAlign w:val="bottom"/>
            <w:vMerge w:val="continue"/>
            <w:shd w:val="clear" w:color="auto" w:fill="D9D9D6"/>
          </w:tcPr>
          <w:p>
            <w:pPr>
              <w:spacing w:after="0"/>
              <w:rPr>
                <w:sz w:val="11"/>
                <w:szCs w:val="11"/>
                <w:color w:val="auto"/>
              </w:rPr>
            </w:pPr>
          </w:p>
        </w:tc>
        <w:tc>
          <w:tcPr>
            <w:tcW w:w="340" w:type="dxa"/>
            <w:vAlign w:val="bottom"/>
            <w:gridSpan w:val="2"/>
            <w:vMerge w:val="continue"/>
            <w:shd w:val="clear" w:color="auto" w:fill="D9D9D6"/>
          </w:tcPr>
          <w:p>
            <w:pPr>
              <w:spacing w:after="0"/>
              <w:rPr>
                <w:sz w:val="11"/>
                <w:szCs w:val="11"/>
                <w:color w:val="auto"/>
              </w:rPr>
            </w:pPr>
          </w:p>
        </w:tc>
        <w:tc>
          <w:tcPr>
            <w:tcW w:w="180" w:type="dxa"/>
            <w:vAlign w:val="bottom"/>
            <w:vMerge w:val="continue"/>
            <w:shd w:val="clear" w:color="auto" w:fill="D9D9D6"/>
          </w:tcPr>
          <w:p>
            <w:pPr>
              <w:spacing w:after="0"/>
              <w:rPr>
                <w:sz w:val="11"/>
                <w:szCs w:val="11"/>
                <w:color w:val="auto"/>
              </w:rPr>
            </w:pPr>
          </w:p>
        </w:tc>
        <w:tc>
          <w:tcPr>
            <w:tcW w:w="820" w:type="dxa"/>
            <w:vAlign w:val="bottom"/>
            <w:tcBorders>
              <w:right w:val="single" w:sz="8" w:color="D9D9D6"/>
            </w:tcBorders>
            <w:gridSpan w:val="2"/>
            <w:vMerge w:val="continue"/>
            <w:shd w:val="clear" w:color="auto" w:fill="D9D9D6"/>
          </w:tcPr>
          <w:p>
            <w:pPr>
              <w:spacing w:after="0"/>
              <w:rPr>
                <w:sz w:val="11"/>
                <w:szCs w:val="11"/>
                <w:color w:val="auto"/>
              </w:rPr>
            </w:pPr>
          </w:p>
        </w:tc>
        <w:tc>
          <w:tcPr>
            <w:tcW w:w="1200" w:type="dxa"/>
            <w:vAlign w:val="bottom"/>
            <w:gridSpan w:val="3"/>
            <w:vMerge w:val="continue"/>
            <w:shd w:val="clear" w:color="auto" w:fill="D9D9D6"/>
          </w:tcPr>
          <w:p>
            <w:pPr>
              <w:spacing w:after="0"/>
              <w:rPr>
                <w:sz w:val="11"/>
                <w:szCs w:val="11"/>
                <w:color w:val="auto"/>
              </w:rPr>
            </w:pPr>
          </w:p>
        </w:tc>
        <w:tc>
          <w:tcPr>
            <w:tcW w:w="640" w:type="dxa"/>
            <w:vAlign w:val="bottom"/>
            <w:shd w:val="clear" w:color="auto" w:fill="D9D9D6"/>
          </w:tcPr>
          <w:p>
            <w:pPr>
              <w:spacing w:after="0"/>
              <w:rPr>
                <w:sz w:val="11"/>
                <w:szCs w:val="11"/>
                <w:color w:val="auto"/>
              </w:rPr>
            </w:pPr>
          </w:p>
        </w:tc>
        <w:tc>
          <w:tcPr>
            <w:tcW w:w="560" w:type="dxa"/>
            <w:vAlign w:val="bottom"/>
            <w:tcBorders>
              <w:right w:val="single" w:sz="8" w:color="D9D9D6"/>
            </w:tcBorders>
            <w:shd w:val="clear" w:color="auto" w:fill="D9D9D6"/>
          </w:tcPr>
          <w:p>
            <w:pPr>
              <w:jc w:val="right"/>
              <w:spacing w:after="0" w:line="115" w:lineRule="exact"/>
              <w:rPr>
                <w:sz w:val="20"/>
                <w:szCs w:val="20"/>
                <w:color w:val="auto"/>
              </w:rPr>
            </w:pPr>
            <w:r>
              <w:rPr>
                <w:rFonts w:ascii="Arial" w:cs="Arial" w:eastAsia="Arial" w:hAnsi="Arial"/>
                <w:sz w:val="13"/>
                <w:szCs w:val="13"/>
                <w:color w:val="auto"/>
              </w:rPr>
              <w:t>Change</w:t>
            </w:r>
            <w:r>
              <w:rPr>
                <w:rFonts w:ascii="Arial" w:cs="Arial" w:eastAsia="Arial" w:hAnsi="Arial"/>
                <w:sz w:val="8"/>
                <w:szCs w:val="8"/>
                <w:color w:val="auto"/>
              </w:rPr>
              <w:t>5</w:t>
            </w:r>
          </w:p>
        </w:tc>
        <w:tc>
          <w:tcPr>
            <w:tcW w:w="32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340" w:type="dxa"/>
            <w:vAlign w:val="bottom"/>
            <w:tcBorders>
              <w:top w:val="single" w:sz="8" w:color="auto"/>
              <w:right w:val="single" w:sz="8" w:color="D9D9D6"/>
            </w:tcBorders>
            <w:shd w:val="clear" w:color="auto" w:fill="D9D9D6"/>
          </w:tcPr>
          <w:p>
            <w:pPr>
              <w:spacing w:after="0" w:line="20" w:lineRule="exact"/>
              <w:rPr>
                <w:sz w:val="1"/>
                <w:szCs w:val="1"/>
                <w:color w:val="auto"/>
              </w:rPr>
            </w:pPr>
          </w:p>
        </w:tc>
        <w:tc>
          <w:tcPr>
            <w:tcW w:w="68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$17,601</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$17,866</w:t>
            </w:r>
          </w:p>
        </w:tc>
        <w:tc>
          <w:tcPr>
            <w:tcW w:w="11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(1.5%)</w:t>
            </w:r>
          </w:p>
        </w:tc>
        <w:tc>
          <w:tcPr>
            <w:tcW w:w="20" w:type="dxa"/>
            <w:vAlign w:val="bottom"/>
            <w:shd w:val="clear" w:color="auto" w:fill="D9D9D6"/>
          </w:tcPr>
          <w:p>
            <w:pPr>
              <w:spacing w:after="0"/>
              <w:rPr>
                <w:sz w:val="24"/>
                <w:szCs w:val="24"/>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2,576</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2,425</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6.2%</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$20,176</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$20,291</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(0.6%)</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$6,554</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$6,904</w:t>
            </w:r>
          </w:p>
        </w:tc>
        <w:tc>
          <w:tcPr>
            <w:tcW w:w="11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(5.1%)</w:t>
            </w:r>
          </w:p>
        </w:tc>
        <w:tc>
          <w:tcPr>
            <w:tcW w:w="20" w:type="dxa"/>
            <w:vAlign w:val="bottom"/>
            <w:shd w:val="clear" w:color="auto" w:fill="D9D9D6"/>
          </w:tcPr>
          <w:p>
            <w:pPr>
              <w:spacing w:after="0"/>
              <w:rPr>
                <w:sz w:val="24"/>
                <w:szCs w:val="24"/>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1,454</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1,391</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4.5%</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$8,008</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$8,295</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37.2%</w:t>
            </w:r>
          </w:p>
        </w:tc>
        <w:tc>
          <w:tcPr>
            <w:tcW w:w="20" w:type="dxa"/>
            <w:vAlign w:val="bottom"/>
            <w:shd w:val="clear" w:color="auto" w:fill="D9D9D6"/>
          </w:tcPr>
          <w:p>
            <w:pPr>
              <w:spacing w:after="0"/>
              <w:rPr>
                <w:sz w:val="24"/>
                <w:szCs w:val="24"/>
                <w:color w:val="auto"/>
              </w:rPr>
            </w:pP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38.6%</w:t>
            </w:r>
          </w:p>
        </w:tc>
        <w:tc>
          <w:tcPr>
            <w:tcW w:w="12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 bps</w:t>
            </w: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(120)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56.4%</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57.4%</w:t>
            </w:r>
          </w:p>
        </w:tc>
        <w:tc>
          <w:tcPr>
            <w:tcW w:w="12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(100) bps</w:t>
            </w:r>
          </w:p>
        </w:tc>
        <w:tc>
          <w:tcPr>
            <w:tcW w:w="64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(90)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39.7%</w:t>
            </w:r>
          </w:p>
        </w:tc>
        <w:tc>
          <w:tcPr>
            <w:tcW w:w="20" w:type="dxa"/>
            <w:vAlign w:val="bottom"/>
            <w:tcBorders>
              <w:bottom w:val="single" w:sz="8" w:color="D9D9D6"/>
            </w:tcBorders>
          </w:tcPr>
          <w:p>
            <w:pPr>
              <w:spacing w:after="0"/>
              <w:rPr>
                <w:sz w:val="20"/>
                <w:szCs w:val="20"/>
                <w:color w:val="auto"/>
              </w:rPr>
            </w:pPr>
          </w:p>
        </w:tc>
        <w:tc>
          <w:tcPr>
            <w:tcW w:w="1000" w:type="dxa"/>
            <w:vAlign w:val="bottom"/>
            <w:tcBorders>
              <w:bottom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40.9%</w:t>
            </w:r>
          </w:p>
        </w:tc>
        <w:tc>
          <w:tcPr>
            <w:tcW w:w="1200" w:type="dxa"/>
            <w:vAlign w:val="bottom"/>
            <w:tcBorders>
              <w:bottom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(120) bps</w:t>
            </w:r>
          </w:p>
        </w:tc>
        <w:tc>
          <w:tcPr>
            <w:tcW w:w="120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(100) bps</w:t>
            </w:r>
          </w:p>
        </w:tc>
        <w:tc>
          <w:tcPr>
            <w:tcW w:w="320" w:type="dxa"/>
            <w:vAlign w:val="bottom"/>
            <w:tcBorders>
              <w:bottom w:val="single" w:sz="8" w:color="D9D9D6"/>
            </w:tcBorders>
            <w:shd w:val="clear" w:color="auto" w:fill="D9D9D6"/>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5700" w:space="720"/>
            <w:col w:w="4820"/>
          </w:cols>
          <w:pgMar w:left="320" w:top="580" w:right="339" w:bottom="1440" w:gutter="0" w:footer="0" w:header="0"/>
          <w:type w:val="continuous"/>
        </w:sect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but decreased when excluding the impact of foreign currency.</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due to declines in Residential Connectivity &amp; Platforms Adjusted EBITDA, partially offset by growth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Business Services Adjusted EBITDA. Residential Connectivity &amp; Platforms revenue and Adjusted EBITDA reflect the investment in our new go-to-market strategy.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was 39.7%.</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1220" w:type="dxa"/>
            <w:vAlign w:val="bottom"/>
            <w:tcBorders>
              <w:top w:val="single" w:sz="8" w:color="auto"/>
            </w:tcBorders>
            <w:gridSpan w:val="5"/>
            <w:shd w:val="clear" w:color="auto" w:fill="D9D9D6"/>
          </w:tcPr>
          <w:p>
            <w:pPr>
              <w:jc w:val="center"/>
              <w:ind w:left="248"/>
              <w:spacing w:after="0"/>
              <w:rPr>
                <w:sz w:val="20"/>
                <w:szCs w:val="20"/>
                <w:color w:val="auto"/>
              </w:rPr>
            </w:pPr>
            <w:r>
              <w:rPr>
                <w:rFonts w:ascii="Arial" w:cs="Arial" w:eastAsia="Arial" w:hAnsi="Arial"/>
                <w:sz w:val="14"/>
                <w:szCs w:val="14"/>
                <w:color w:val="auto"/>
              </w:rPr>
              <w:t>3rd Quarter</w:t>
            </w:r>
          </w:p>
        </w:tc>
        <w:tc>
          <w:tcPr>
            <w:tcW w:w="100" w:type="dxa"/>
            <w:vAlign w:val="bottom"/>
            <w:tcBorders>
              <w:top w:val="single" w:sz="8" w:color="auto"/>
            </w:tcBorders>
            <w:shd w:val="clear" w:color="auto" w:fill="D9D9D6"/>
          </w:tcPr>
          <w:p>
            <w:pPr>
              <w:spacing w:after="0"/>
              <w:rPr>
                <w:sz w:val="15"/>
                <w:szCs w:val="15"/>
                <w:color w:val="auto"/>
              </w:rPr>
            </w:pPr>
          </w:p>
        </w:tc>
        <w:tc>
          <w:tcPr>
            <w:tcW w:w="2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3Q25</w:t>
            </w: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3Q24</w:t>
            </w:r>
          </w:p>
        </w:tc>
        <w:tc>
          <w:tcPr>
            <w:tcW w:w="520" w:type="dxa"/>
            <w:vAlign w:val="bottom"/>
            <w:tcBorders>
              <w:top w:val="single" w:sz="8" w:color="D9D9D6"/>
            </w:tcBorders>
            <w:gridSpan w:val="2"/>
            <w:shd w:val="clear" w:color="auto" w:fill="D9D9D6"/>
          </w:tcPr>
          <w:p>
            <w:pPr>
              <w:spacing w:after="0"/>
              <w:rPr>
                <w:sz w:val="15"/>
                <w:szCs w:val="15"/>
                <w:color w:val="auto"/>
              </w:rPr>
            </w:pPr>
          </w:p>
        </w:tc>
        <w:tc>
          <w:tcPr>
            <w:tcW w:w="740" w:type="dxa"/>
            <w:vAlign w:val="bottom"/>
            <w:tcBorders>
              <w:top w:val="single" w:sz="8" w:color="auto"/>
            </w:tcBorders>
            <w:gridSpan w:val="3"/>
            <w:shd w:val="clear" w:color="auto" w:fill="D9D9D6"/>
          </w:tcPr>
          <w:p>
            <w:pPr>
              <w:jc w:val="right"/>
              <w:ind w:right="400"/>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D9D9D6"/>
            </w:tcBorders>
            <w:shd w:val="clear" w:color="auto" w:fill="D9D9D6"/>
          </w:tcPr>
          <w:p>
            <w:pPr>
              <w:spacing w:after="0"/>
              <w:rPr>
                <w:sz w:val="15"/>
                <w:szCs w:val="15"/>
                <w:color w:val="auto"/>
              </w:rPr>
            </w:pPr>
          </w:p>
        </w:tc>
        <w:tc>
          <w:tcPr>
            <w:tcW w:w="440" w:type="dxa"/>
            <w:vAlign w:val="bottom"/>
            <w:tcBorders>
              <w:top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 w:type="dxa"/>
            <w:vAlign w:val="bottom"/>
            <w:tcBorders>
              <w:top w:val="single" w:sz="8" w:color="D9D9D6"/>
            </w:tcBorders>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30,642</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31,324</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(103)</w:t>
            </w:r>
          </w:p>
        </w:tc>
        <w:tc>
          <w:tcPr>
            <w:tcW w:w="4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17,603</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17,716</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(95)</w:t>
            </w:r>
          </w:p>
        </w:tc>
        <w:tc>
          <w:tcPr>
            <w:tcW w:w="400" w:type="dxa"/>
            <w:vAlign w:val="bottom"/>
            <w:shd w:val="clear" w:color="auto" w:fill="D9D9D6"/>
          </w:tcPr>
          <w:p>
            <w:pPr>
              <w:spacing w:after="0"/>
              <w:rPr>
                <w:sz w:val="18"/>
                <w:szCs w:val="18"/>
                <w:color w:val="auto"/>
              </w:rPr>
            </w:pPr>
          </w:p>
        </w:tc>
        <w:tc>
          <w:tcPr>
            <w:tcW w:w="8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2,702</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2,627</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4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50,947</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51,667</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(210)</w:t>
            </w: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28,897</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29,504</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(91)</w:t>
            </w:r>
          </w:p>
        </w:tc>
        <w:tc>
          <w:tcPr>
            <w:tcW w:w="4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2,538</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2,477</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31,436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31,981</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(104)</w:t>
            </w: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8,941</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7,519</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414</w:t>
            </w: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319</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11,515</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12,834</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(257)</w:t>
            </w:r>
          </w:p>
        </w:tc>
        <w:tc>
          <w:tcPr>
            <w:tcW w:w="4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(365)</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210,000 to 50.9 million, primarily reflecting decreases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Connectivity &amp; Platforms customer relationships. Total domestic broadband customer net losses were 104,000, total domestic wireless line net additions were 414,000 and total domestic video customer net losses were 257,000.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68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20" w:type="dxa"/>
            <w:vAlign w:val="bottom"/>
            <w:gridSpan w:val="3"/>
            <w:vMerge w:val="restart"/>
            <w:shd w:val="clear" w:color="auto" w:fill="D9D9D6"/>
          </w:tcPr>
          <w:p>
            <w:pPr>
              <w:ind w:left="58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20" w:type="dxa"/>
            <w:vAlign w:val="bottom"/>
            <w:shd w:val="clear" w:color="auto" w:fill="D9D9D6"/>
          </w:tcPr>
          <w:p>
            <w:pPr>
              <w:spacing w:after="0"/>
              <w:rPr>
                <w:sz w:val="12"/>
                <w:szCs w:val="12"/>
                <w:color w:val="auto"/>
              </w:rPr>
            </w:pPr>
          </w:p>
        </w:tc>
        <w:tc>
          <w:tcPr>
            <w:tcW w:w="6240" w:type="dxa"/>
            <w:vAlign w:val="bottom"/>
            <w:shd w:val="clear" w:color="auto" w:fill="D9D9D6"/>
          </w:tcPr>
          <w:p>
            <w:pPr>
              <w:spacing w:after="0"/>
              <w:rPr>
                <w:sz w:val="12"/>
                <w:szCs w:val="12"/>
                <w:color w:val="auto"/>
              </w:rPr>
            </w:pPr>
          </w:p>
        </w:tc>
        <w:tc>
          <w:tcPr>
            <w:tcW w:w="7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3rd Quarter</w:t>
            </w:r>
          </w:p>
        </w:tc>
        <w:tc>
          <w:tcPr>
            <w:tcW w:w="68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20" w:type="dxa"/>
            <w:vAlign w:val="bottom"/>
            <w:gridSpan w:val="3"/>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0" w:type="dxa"/>
            <w:vAlign w:val="bottom"/>
            <w:shd w:val="clear" w:color="auto" w:fill="D9D9D6"/>
          </w:tcPr>
          <w:p>
            <w:pPr>
              <w:spacing w:after="0"/>
              <w:rPr>
                <w:sz w:val="6"/>
                <w:szCs w:val="6"/>
                <w:color w:val="auto"/>
              </w:rPr>
            </w:pPr>
          </w:p>
        </w:tc>
        <w:tc>
          <w:tcPr>
            <w:tcW w:w="6240" w:type="dxa"/>
            <w:vAlign w:val="bottom"/>
            <w:shd w:val="clear" w:color="auto" w:fill="D9D9D6"/>
          </w:tcPr>
          <w:p>
            <w:pPr>
              <w:spacing w:after="0"/>
              <w:rPr>
                <w:sz w:val="6"/>
                <w:szCs w:val="6"/>
                <w:color w:val="auto"/>
              </w:rPr>
            </w:pPr>
          </w:p>
        </w:tc>
        <w:tc>
          <w:tcPr>
            <w:tcW w:w="7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26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68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20" w:type="dxa"/>
            <w:vAlign w:val="bottom"/>
            <w:gridSpan w:val="3"/>
            <w:vMerge w:val="restart"/>
            <w:shd w:val="clear" w:color="auto" w:fill="D9D9D6"/>
          </w:tcPr>
          <w:p>
            <w:pPr>
              <w:ind w:left="560"/>
              <w:spacing w:after="0" w:line="14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624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50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20" w:type="dxa"/>
            <w:vAlign w:val="bottom"/>
            <w:shd w:val="clear" w:color="auto" w:fill="D9D9D6"/>
          </w:tcPr>
          <w:p>
            <w:pPr>
              <w:spacing w:after="0" w:line="20" w:lineRule="exact"/>
              <w:rPr>
                <w:sz w:val="1"/>
                <w:szCs w:val="1"/>
                <w:color w:val="auto"/>
              </w:rPr>
            </w:pPr>
          </w:p>
        </w:tc>
        <w:tc>
          <w:tcPr>
            <w:tcW w:w="1220" w:type="dxa"/>
            <w:vAlign w:val="bottom"/>
            <w:gridSpan w:val="3"/>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20" w:type="dxa"/>
            <w:vAlign w:val="bottom"/>
            <w:shd w:val="clear" w:color="auto" w:fill="D9D9D6"/>
          </w:tcPr>
          <w:p>
            <w:pPr>
              <w:spacing w:after="0"/>
              <w:rPr>
                <w:sz w:val="4"/>
                <w:szCs w:val="4"/>
                <w:color w:val="auto"/>
              </w:rPr>
            </w:pPr>
          </w:p>
        </w:tc>
        <w:tc>
          <w:tcPr>
            <w:tcW w:w="6240" w:type="dxa"/>
            <w:vAlign w:val="bottom"/>
            <w:shd w:val="clear" w:color="auto" w:fill="D9D9D6"/>
          </w:tcPr>
          <w:p>
            <w:pPr>
              <w:spacing w:after="0"/>
              <w:rPr>
                <w:sz w:val="4"/>
                <w:szCs w:val="4"/>
                <w:color w:val="auto"/>
              </w:rPr>
            </w:pPr>
          </w:p>
        </w:tc>
        <w:tc>
          <w:tcPr>
            <w:tcW w:w="780" w:type="dxa"/>
            <w:vAlign w:val="bottom"/>
            <w:shd w:val="clear" w:color="auto" w:fill="D9D9D6"/>
          </w:tcPr>
          <w:p>
            <w:pPr>
              <w:spacing w:after="0"/>
              <w:rPr>
                <w:sz w:val="4"/>
                <w:szCs w:val="4"/>
                <w:color w:val="auto"/>
              </w:rPr>
            </w:pPr>
          </w:p>
        </w:tc>
        <w:tc>
          <w:tcPr>
            <w:tcW w:w="32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60" w:type="dxa"/>
            <w:vAlign w:val="bottom"/>
            <w:vMerge w:val="restart"/>
            <w:shd w:val="clear" w:color="auto" w:fill="D9D9D6"/>
          </w:tcPr>
          <w:p>
            <w:pPr>
              <w:spacing w:after="0"/>
              <w:rPr>
                <w:sz w:val="4"/>
                <w:szCs w:val="4"/>
                <w:color w:val="auto"/>
              </w:rPr>
            </w:pPr>
          </w:p>
        </w:tc>
        <w:tc>
          <w:tcPr>
            <w:tcW w:w="9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D9D9D6"/>
          </w:tcPr>
          <w:p>
            <w:pPr>
              <w:spacing w:after="0"/>
              <w:rPr>
                <w:sz w:val="4"/>
                <w:szCs w:val="4"/>
                <w:color w:val="auto"/>
              </w:rPr>
            </w:pPr>
          </w:p>
        </w:tc>
        <w:tc>
          <w:tcPr>
            <w:tcW w:w="50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20" w:type="dxa"/>
            <w:vAlign w:val="bottom"/>
            <w:gridSpan w:val="3"/>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D9D9D6"/>
            </w:tcBorders>
            <w:shd w:val="clear" w:color="auto" w:fill="D9D9D6"/>
          </w:tcPr>
          <w:p>
            <w:pPr>
              <w:spacing w:after="0"/>
              <w:rPr>
                <w:sz w:val="15"/>
                <w:szCs w:val="15"/>
                <w:color w:val="auto"/>
              </w:rPr>
            </w:pPr>
          </w:p>
        </w:tc>
        <w:tc>
          <w:tcPr>
            <w:tcW w:w="6240" w:type="dxa"/>
            <w:vAlign w:val="bottom"/>
            <w:tcBorders>
              <w:bottom w:val="single" w:sz="8" w:color="D9D9D6"/>
            </w:tcBorders>
            <w:shd w:val="clear" w:color="auto" w:fill="D9D9D6"/>
          </w:tcPr>
          <w:p>
            <w:pPr>
              <w:spacing w:after="0"/>
              <w:rPr>
                <w:sz w:val="15"/>
                <w:szCs w:val="15"/>
                <w:color w:val="auto"/>
              </w:rPr>
            </w:pPr>
          </w:p>
        </w:tc>
        <w:tc>
          <w:tcPr>
            <w:tcW w:w="7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260" w:type="dxa"/>
            <w:vAlign w:val="bottom"/>
            <w:tcBorders>
              <w:bottom w:val="single" w:sz="8" w:color="D9D9D6"/>
            </w:tcBorders>
            <w:vMerge w:val="continue"/>
            <w:shd w:val="clear" w:color="auto" w:fill="D9D9D6"/>
          </w:tcPr>
          <w:p>
            <w:pPr>
              <w:spacing w:after="0"/>
              <w:rPr>
                <w:sz w:val="15"/>
                <w:szCs w:val="15"/>
                <w:color w:val="auto"/>
              </w:rPr>
            </w:pPr>
          </w:p>
        </w:tc>
        <w:tc>
          <w:tcPr>
            <w:tcW w:w="900" w:type="dxa"/>
            <w:vAlign w:val="bottom"/>
            <w:tcBorders>
              <w:bottom w:val="single" w:sz="8" w:color="D9D9D6"/>
            </w:tcBorders>
            <w:gridSpan w:val="4"/>
            <w:vMerge w:val="continue"/>
            <w:shd w:val="clear" w:color="auto" w:fill="D9D9D6"/>
          </w:tcPr>
          <w:p>
            <w:pPr>
              <w:spacing w:after="0"/>
              <w:rPr>
                <w:sz w:val="15"/>
                <w:szCs w:val="15"/>
                <w:color w:val="auto"/>
              </w:rPr>
            </w:pPr>
          </w:p>
        </w:tc>
        <w:tc>
          <w:tcPr>
            <w:tcW w:w="68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20" w:type="dxa"/>
            <w:vAlign w:val="bottom"/>
            <w:tcBorders>
              <w:bottom w:val="single" w:sz="8" w:color="D9D9D6"/>
            </w:tcBorders>
            <w:gridSpan w:val="3"/>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20" w:type="dxa"/>
            <w:vAlign w:val="bottom"/>
            <w:tcBorders>
              <w:top w:val="single" w:sz="8" w:color="D9D9D6"/>
            </w:tcBorders>
            <w:shd w:val="clear" w:color="auto" w:fill="D9D9D6"/>
          </w:tcPr>
          <w:p>
            <w:pPr>
              <w:spacing w:after="0"/>
              <w:rPr>
                <w:sz w:val="24"/>
                <w:szCs w:val="24"/>
                <w:color w:val="auto"/>
              </w:rPr>
            </w:pPr>
          </w:p>
        </w:tc>
        <w:tc>
          <w:tcPr>
            <w:tcW w:w="62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68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64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$6,433</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$6,400</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0.5%</w:t>
            </w:r>
          </w:p>
        </w:tc>
        <w:tc>
          <w:tcPr>
            <w:tcW w:w="20" w:type="dxa"/>
            <w:vAlign w:val="bottom"/>
            <w:shd w:val="clear" w:color="auto" w:fill="D9D9D6"/>
          </w:tcPr>
          <w:p>
            <w:pPr>
              <w:spacing w:after="0"/>
              <w:rPr>
                <w:sz w:val="17"/>
                <w:szCs w:val="17"/>
                <w:color w:val="auto"/>
              </w:rPr>
            </w:pPr>
          </w:p>
        </w:tc>
        <w:tc>
          <w:tcPr>
            <w:tcW w:w="11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1,246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1,093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1,275</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1,150</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10.8%</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8,954</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8,644</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6,591</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6,938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(6.3%)</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864</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987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(13.6%)</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1,192</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1,298</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(8.2%)</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(9.1%)</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$17,601</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$17,866</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(1.5%)</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(2.4%)</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$3,952</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$4,102</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D9D9D6"/>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(4.9%)</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7,095</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6,860</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$11,047</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$10,962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0.8%</w:t>
            </w:r>
          </w:p>
        </w:tc>
        <w:tc>
          <w:tcPr>
            <w:tcW w:w="20" w:type="dxa"/>
            <w:vAlign w:val="bottom"/>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(0.5%)</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$6,554</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$6,904</w:t>
            </w:r>
          </w:p>
        </w:tc>
        <w:tc>
          <w:tcPr>
            <w:tcW w:w="11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(5.1%)</w:t>
            </w:r>
          </w:p>
        </w:tc>
        <w:tc>
          <w:tcPr>
            <w:tcW w:w="20" w:type="dxa"/>
            <w:vAlign w:val="bottom"/>
            <w:shd w:val="clear" w:color="auto" w:fill="D9D9D6"/>
          </w:tcPr>
          <w:p>
            <w:pPr>
              <w:spacing w:after="0"/>
              <w:rPr>
                <w:sz w:val="24"/>
                <w:szCs w:val="24"/>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37.2%</w:t>
            </w:r>
          </w:p>
        </w:tc>
        <w:tc>
          <w:tcPr>
            <w:tcW w:w="20" w:type="dxa"/>
            <w:vAlign w:val="bottom"/>
            <w:shd w:val="clear" w:color="auto" w:fill="D9D9D6"/>
          </w:tcPr>
          <w:p>
            <w:pPr>
              <w:spacing w:after="0"/>
              <w:rPr>
                <w:sz w:val="17"/>
                <w:szCs w:val="17"/>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38.6%</w:t>
            </w:r>
          </w:p>
        </w:tc>
        <w:tc>
          <w:tcPr>
            <w:tcW w:w="20" w:type="dxa"/>
            <w:vAlign w:val="bottom"/>
            <w:shd w:val="clear" w:color="auto" w:fill="D9D9D6"/>
          </w:tcPr>
          <w:p>
            <w:pPr>
              <w:spacing w:after="0"/>
              <w:rPr>
                <w:sz w:val="17"/>
                <w:szCs w:val="17"/>
                <w:color w:val="auto"/>
              </w:rPr>
            </w:pPr>
          </w:p>
        </w:tc>
        <w:tc>
          <w:tcPr>
            <w:tcW w:w="12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(140) bps</w:t>
            </w:r>
          </w:p>
        </w:tc>
        <w:tc>
          <w:tcPr>
            <w:tcW w:w="1220" w:type="dxa"/>
            <w:vAlign w:val="bottom"/>
            <w:gridSpan w:val="3"/>
            <w:shd w:val="clear" w:color="auto" w:fill="D9D9D6"/>
          </w:tcPr>
          <w:p>
            <w:pPr>
              <w:ind w:left="580"/>
              <w:spacing w:after="0"/>
              <w:rPr>
                <w:sz w:val="20"/>
                <w:szCs w:val="20"/>
                <w:color w:val="auto"/>
              </w:rPr>
            </w:pPr>
            <w:r>
              <w:rPr>
                <w:rFonts w:ascii="Arial" w:cs="Arial" w:eastAsia="Arial" w:hAnsi="Arial"/>
                <w:sz w:val="14"/>
                <w:szCs w:val="14"/>
                <w:color w:val="auto"/>
              </w:rPr>
              <w:t>(120)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6240" w:type="dxa"/>
            <w:vAlign w:val="bottom"/>
            <w:shd w:val="clear" w:color="auto" w:fill="D9D9D6"/>
          </w:tcPr>
          <w:p>
            <w:pPr>
              <w:spacing w:after="0"/>
              <w:rPr>
                <w:sz w:val="5"/>
                <w:szCs w:val="5"/>
                <w:color w:val="auto"/>
              </w:rPr>
            </w:pPr>
          </w:p>
        </w:tc>
        <w:tc>
          <w:tcPr>
            <w:tcW w:w="7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-2133600</wp:posOffset>
            </wp:positionV>
            <wp:extent cx="1534160" cy="1045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160" cy="1045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-822325</wp:posOffset>
            </wp:positionV>
            <wp:extent cx="153416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394335"/>
                    </a:xfrm>
                    <a:prstGeom prst="rect">
                      <a:avLst/>
                    </a:prstGeom>
                    <a:noFill/>
                  </pic:spPr>
                </pic:pic>
              </a:graphicData>
            </a:graphic>
          </wp:anchor>
        </w:drawing>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in the first quarter of 2025, commission revenue from the sale of certain direct to consumer (“DTC”) streaming services and revenue related to certain equipment are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presented in video revenue. Previously, these amounts were presented in domestic broadband and international connectivity. Prior periods have been reclassified to reflect the current year presentation.</w:t>
      </w:r>
    </w:p>
    <w:p>
      <w:pPr>
        <w:spacing w:after="0" w:line="270"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decreased compared to the prior year period, primarily reflecting decreases in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and other revenue, partially offset by increases in domestic wireless and international connectivity revenue. Domestic broadband revenue was consistent due to higher average rates, offset by a decline in the number of domestic broadband customers. Domestic wireless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revenue increased due to an increase in the number of customer lines and device sales. International connectivity revenue increased due to increases in broadband revenue from higher average rates and in wireless revenue, reflecting higher sales of wireless services, which includes the positive impact of foreign currency. Video revenue decreased due to a decline in the number of video customers, partially offset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an overall increase in average rates and the positive impact of foreign currency.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Advertising revenue decreased primarily due to lower domestic political and nonpolitical advertising. Other revenue decreased primarily due to lower residential wireline voice revenue, driven by a decline in the number of customers.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decreased due to lower revenue and consistent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expenses decreased primarily due to a decline in the number of domestic video customers, partially offset by rate increases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under our domestic programming contracts, an increase in programming expenses for our international sports networks and the impact of foreign currency. Non-programming expenses increased primarily due to an increase in direct product costs mainly due to higher mobile device sales, the impact of foreign currency and higher marketing and promotion costs driven by our new broadband and mobile offers introduced in April 2025, partially offset by lower fees paid to third-party channels relating to advertising sales. </w:t>
      </w:r>
      <w:r>
        <w:rPr>
          <w:rFonts w:ascii="Arial" w:cs="Arial" w:eastAsia="Arial" w:hAnsi="Arial"/>
          <w:sz w:val="18"/>
          <w:szCs w:val="18"/>
          <w:b w:val="1"/>
          <w:bCs w:val="1"/>
          <w:i w:val="1"/>
          <w:iCs w:val="1"/>
          <w:color w:val="auto"/>
        </w:rPr>
        <w:t>Adjusted EBITDA margin</w:t>
      </w:r>
    </w:p>
    <w:p>
      <w:pPr>
        <w:spacing w:after="0"/>
        <w:rPr>
          <w:sz w:val="20"/>
          <w:szCs w:val="20"/>
          <w:color w:val="auto"/>
        </w:rPr>
      </w:pPr>
      <w:r>
        <w:rPr>
          <w:rFonts w:ascii="Arial" w:cs="Arial" w:eastAsia="Arial" w:hAnsi="Arial"/>
          <w:sz w:val="18"/>
          <w:szCs w:val="18"/>
          <w:color w:val="auto"/>
        </w:rPr>
        <w:t>was 37.2%.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00" w:type="dxa"/>
            <w:vAlign w:val="bottom"/>
            <w:shd w:val="clear" w:color="auto" w:fill="D9D9D6"/>
          </w:tcPr>
          <w:p>
            <w:pPr>
              <w:spacing w:after="0"/>
              <w:rPr>
                <w:sz w:val="12"/>
                <w:szCs w:val="12"/>
                <w:color w:val="auto"/>
              </w:rPr>
            </w:pPr>
          </w:p>
        </w:tc>
        <w:tc>
          <w:tcPr>
            <w:tcW w:w="6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60" w:type="dxa"/>
            <w:vAlign w:val="bottom"/>
            <w:shd w:val="clear" w:color="auto" w:fill="D9D9D6"/>
          </w:tcPr>
          <w:p>
            <w:pPr>
              <w:spacing w:after="0"/>
              <w:rPr>
                <w:sz w:val="12"/>
                <w:szCs w:val="12"/>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3rd Quarter</w:t>
            </w:r>
          </w:p>
        </w:tc>
        <w:tc>
          <w:tcPr>
            <w:tcW w:w="100" w:type="dxa"/>
            <w:vAlign w:val="bottom"/>
            <w:gridSpan w:val="2"/>
            <w:vMerge w:val="restart"/>
            <w:shd w:val="clear" w:color="auto" w:fill="D9D9D6"/>
          </w:tcPr>
          <w:p>
            <w:pPr>
              <w:spacing w:after="0"/>
              <w:rPr>
                <w:sz w:val="12"/>
                <w:szCs w:val="12"/>
                <w:color w:val="auto"/>
              </w:rPr>
            </w:pPr>
          </w:p>
        </w:tc>
        <w:tc>
          <w:tcPr>
            <w:tcW w:w="54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D9D9D6"/>
            </w:tcBorders>
            <w:shd w:val="clear" w:color="auto" w:fill="D9D9D6"/>
          </w:tcPr>
          <w:p>
            <w:pPr>
              <w:spacing w:after="0"/>
              <w:rPr>
                <w:sz w:val="6"/>
                <w:szCs w:val="6"/>
                <w:color w:val="auto"/>
              </w:rPr>
            </w:pPr>
          </w:p>
        </w:tc>
        <w:tc>
          <w:tcPr>
            <w:tcW w:w="6800" w:type="dxa"/>
            <w:vAlign w:val="bottom"/>
            <w:tcBorders>
              <w:bottom w:val="single" w:sz="8" w:color="D9D9D6"/>
            </w:tcBorders>
            <w:shd w:val="clear" w:color="auto" w:fill="D9D9D6"/>
          </w:tcPr>
          <w:p>
            <w:pPr>
              <w:spacing w:after="0"/>
              <w:rPr>
                <w:sz w:val="6"/>
                <w:szCs w:val="6"/>
                <w:color w:val="auto"/>
              </w:rPr>
            </w:pPr>
          </w:p>
        </w:tc>
        <w:tc>
          <w:tcPr>
            <w:tcW w:w="6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60" w:type="dxa"/>
            <w:vAlign w:val="bottom"/>
            <w:tcBorders>
              <w:bottom w:val="single" w:sz="8" w:color="D9D9D6"/>
            </w:tcBorders>
            <w:shd w:val="clear" w:color="auto" w:fill="D9D9D6"/>
          </w:tcPr>
          <w:p>
            <w:pPr>
              <w:spacing w:after="0"/>
              <w:rPr>
                <w:sz w:val="6"/>
                <w:szCs w:val="6"/>
                <w:color w:val="auto"/>
              </w:rPr>
            </w:pPr>
          </w:p>
        </w:tc>
        <w:tc>
          <w:tcPr>
            <w:tcW w:w="740" w:type="dxa"/>
            <w:vAlign w:val="bottom"/>
            <w:tcBorders>
              <w:bottom w:val="single" w:sz="8" w:color="auto"/>
            </w:tcBorders>
            <w:gridSpan w:val="2"/>
            <w:vMerge w:val="continue"/>
            <w:shd w:val="clear" w:color="auto" w:fill="D9D9D6"/>
          </w:tcPr>
          <w:p>
            <w:pPr>
              <w:spacing w:after="0"/>
              <w:rPr>
                <w:sz w:val="6"/>
                <w:szCs w:val="6"/>
                <w:color w:val="auto"/>
              </w:rPr>
            </w:pPr>
          </w:p>
        </w:tc>
        <w:tc>
          <w:tcPr>
            <w:tcW w:w="100" w:type="dxa"/>
            <w:vAlign w:val="bottom"/>
            <w:tcBorders>
              <w:bottom w:val="single" w:sz="8" w:color="D9D9D6"/>
            </w:tcBorders>
            <w:gridSpan w:val="2"/>
            <w:vMerge w:val="continue"/>
            <w:shd w:val="clear" w:color="auto" w:fill="D9D9D6"/>
          </w:tcPr>
          <w:p>
            <w:pPr>
              <w:spacing w:after="0"/>
              <w:rPr>
                <w:sz w:val="6"/>
                <w:szCs w:val="6"/>
                <w:color w:val="auto"/>
              </w:rPr>
            </w:pPr>
          </w:p>
        </w:tc>
        <w:tc>
          <w:tcPr>
            <w:tcW w:w="540" w:type="dxa"/>
            <w:vAlign w:val="bottom"/>
            <w:tcBorders>
              <w:bottom w:val="single" w:sz="8" w:color="D9D9D6"/>
            </w:tcBorders>
            <w:shd w:val="clear" w:color="auto" w:fill="D9D9D6"/>
          </w:tcPr>
          <w:p>
            <w:pPr>
              <w:spacing w:after="0"/>
              <w:rPr>
                <w:sz w:val="6"/>
                <w:szCs w:val="6"/>
                <w:color w:val="auto"/>
              </w:rPr>
            </w:pPr>
          </w:p>
        </w:tc>
        <w:tc>
          <w:tcPr>
            <w:tcW w:w="50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260" w:type="dxa"/>
            <w:vAlign w:val="bottom"/>
            <w:tcBorders>
              <w:bottom w:val="single" w:sz="8" w:color="D9D9D6"/>
            </w:tcBorders>
            <w:gridSpan w:val="3"/>
            <w:vMerge w:val="restart"/>
            <w:shd w:val="clear" w:color="auto" w:fill="D9D9D6"/>
          </w:tcPr>
          <w:p>
            <w:pPr>
              <w:jc w:val="right"/>
              <w:ind w:right="260"/>
              <w:spacing w:after="0" w:line="146"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49"/>
        </w:trPr>
        <w:tc>
          <w:tcPr>
            <w:tcW w:w="100" w:type="dxa"/>
            <w:vAlign w:val="bottom"/>
            <w:shd w:val="clear" w:color="auto" w:fill="D9D9D6"/>
          </w:tcPr>
          <w:p>
            <w:pPr>
              <w:spacing w:after="0"/>
              <w:rPr>
                <w:sz w:val="4"/>
                <w:szCs w:val="4"/>
                <w:color w:val="auto"/>
              </w:rPr>
            </w:pPr>
          </w:p>
        </w:tc>
        <w:tc>
          <w:tcPr>
            <w:tcW w:w="680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50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20" w:type="dxa"/>
            <w:vAlign w:val="bottom"/>
            <w:shd w:val="clear" w:color="auto" w:fill="D9D9D6"/>
          </w:tcPr>
          <w:p>
            <w:pPr>
              <w:spacing w:after="0"/>
              <w:rPr>
                <w:sz w:val="4"/>
                <w:szCs w:val="4"/>
                <w:color w:val="auto"/>
              </w:rPr>
            </w:pPr>
          </w:p>
        </w:tc>
        <w:tc>
          <w:tcPr>
            <w:tcW w:w="1260" w:type="dxa"/>
            <w:vAlign w:val="bottom"/>
            <w:gridSpan w:val="3"/>
            <w:vMerge w:val="continue"/>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00" w:type="dxa"/>
            <w:vAlign w:val="bottom"/>
            <w:tcBorders>
              <w:bottom w:val="single" w:sz="8" w:color="D9D9D6"/>
            </w:tcBorders>
            <w:shd w:val="clear" w:color="auto" w:fill="D9D9D6"/>
          </w:tcPr>
          <w:p>
            <w:pPr>
              <w:spacing w:after="0"/>
              <w:rPr>
                <w:sz w:val="13"/>
                <w:szCs w:val="13"/>
                <w:color w:val="auto"/>
              </w:rPr>
            </w:pPr>
          </w:p>
        </w:tc>
        <w:tc>
          <w:tcPr>
            <w:tcW w:w="680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54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auto"/>
            </w:tcBorders>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1260" w:type="dxa"/>
            <w:vAlign w:val="bottom"/>
            <w:tcBorders>
              <w:bottom w:val="single" w:sz="8" w:color="D9D9D6"/>
            </w:tcBorders>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00" w:type="dxa"/>
            <w:vAlign w:val="bottom"/>
            <w:tcBorders>
              <w:top w:val="single" w:sz="8" w:color="D9D9D6"/>
            </w:tcBorders>
            <w:shd w:val="clear" w:color="auto" w:fill="D9D9D6"/>
          </w:tcPr>
          <w:p>
            <w:pPr>
              <w:spacing w:after="0" w:line="20" w:lineRule="exact"/>
              <w:rPr>
                <w:sz w:val="1"/>
                <w:szCs w:val="1"/>
                <w:color w:val="auto"/>
              </w:rPr>
            </w:pPr>
          </w:p>
        </w:tc>
        <w:tc>
          <w:tcPr>
            <w:tcW w:w="6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D9D9D6"/>
            </w:tcBorders>
            <w:shd w:val="clear" w:color="auto" w:fill="D9D9D6"/>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$2,576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$2,425</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6.2%</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D9D9D6"/>
            </w:tcBorders>
            <w:shd w:val="clear" w:color="auto" w:fill="D9D9D6"/>
          </w:tcPr>
          <w:p>
            <w:pPr>
              <w:spacing w:after="0"/>
              <w:rPr>
                <w:sz w:val="17"/>
                <w:szCs w:val="17"/>
                <w:color w:val="auto"/>
              </w:rPr>
            </w:pPr>
          </w:p>
        </w:tc>
        <w:tc>
          <w:tcPr>
            <w:tcW w:w="68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1,122</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1,034</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8.5%</w:t>
            </w: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8.4%</w:t>
            </w:r>
          </w:p>
        </w:tc>
        <w:tc>
          <w:tcPr>
            <w:tcW w:w="200" w:type="dxa"/>
            <w:vAlign w:val="bottom"/>
            <w:tcBorders>
              <w:bottom w:val="single" w:sz="8" w:color="D9D9D6"/>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$1,454</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4.5%</w:t>
            </w:r>
          </w:p>
        </w:tc>
        <w:tc>
          <w:tcPr>
            <w:tcW w:w="20" w:type="dxa"/>
            <w:vAlign w:val="bottom"/>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4.5%</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56.4%</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57.4%</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(90)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00" w:type="dxa"/>
            <w:vAlign w:val="bottom"/>
            <w:shd w:val="clear" w:color="auto" w:fill="D9D9D6"/>
          </w:tcPr>
          <w:p>
            <w:pPr>
              <w:spacing w:after="0"/>
              <w:rPr>
                <w:sz w:val="5"/>
                <w:szCs w:val="5"/>
                <w:color w:val="auto"/>
              </w:rPr>
            </w:pPr>
          </w:p>
        </w:tc>
        <w:tc>
          <w:tcPr>
            <w:tcW w:w="6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-556260</wp:posOffset>
            </wp:positionV>
            <wp:extent cx="14744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primarily due to an increase in revenue from enterprise solutions offerings,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results from a recent acquisition.</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operating expenses was primarily due to increases in direct product costs, which include the results from a recent acquisition. </w:t>
      </w: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was 56.4%.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40" w:type="dxa"/>
            <w:vAlign w:val="bottom"/>
            <w:tcBorders>
              <w:right w:val="single" w:sz="8" w:color="D9D9D6"/>
            </w:tcBorders>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060" w:type="dxa"/>
            <w:vAlign w:val="bottom"/>
            <w:tcBorders>
              <w:bottom w:val="single" w:sz="8" w:color="D9D9D6"/>
            </w:tcBorders>
            <w:shd w:val="clear" w:color="auto" w:fill="D9D9D6"/>
          </w:tcPr>
          <w:p>
            <w:pPr>
              <w:spacing w:after="0"/>
              <w:rPr>
                <w:sz w:val="15"/>
                <w:szCs w:val="15"/>
                <w:color w:val="auto"/>
              </w:rPr>
            </w:pPr>
          </w:p>
        </w:tc>
        <w:tc>
          <w:tcPr>
            <w:tcW w:w="62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4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3rd Quarter</w:t>
            </w:r>
          </w:p>
        </w:tc>
        <w:tc>
          <w:tcPr>
            <w:tcW w:w="40" w:type="dxa"/>
            <w:vAlign w:val="bottom"/>
            <w:tcBorders>
              <w:bottom w:val="single" w:sz="8" w:color="D9D9D6"/>
              <w:right w:val="single" w:sz="8" w:color="D9D9D6"/>
            </w:tcBorders>
            <w:shd w:val="clear" w:color="auto" w:fill="D9D9D6"/>
          </w:tcPr>
          <w:p>
            <w:pPr>
              <w:spacing w:after="0"/>
              <w:rPr>
                <w:sz w:val="15"/>
                <w:szCs w:val="15"/>
                <w:color w:val="auto"/>
              </w:rPr>
            </w:pPr>
          </w:p>
        </w:tc>
        <w:tc>
          <w:tcPr>
            <w:tcW w:w="54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060" w:type="dxa"/>
            <w:vAlign w:val="bottom"/>
            <w:shd w:val="clear" w:color="auto" w:fill="D9D9D6"/>
          </w:tcPr>
          <w:p>
            <w:pPr>
              <w:spacing w:after="0"/>
              <w:rPr>
                <w:sz w:val="15"/>
                <w:szCs w:val="15"/>
                <w:color w:val="auto"/>
              </w:rPr>
            </w:pPr>
          </w:p>
        </w:tc>
        <w:tc>
          <w:tcPr>
            <w:tcW w:w="9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2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180" w:type="dxa"/>
            <w:vAlign w:val="bottom"/>
            <w:gridSpan w:val="4"/>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auto"/>
              <w:right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4"/>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$6,589</w:t>
            </w:r>
          </w:p>
        </w:tc>
        <w:tc>
          <w:tcPr>
            <w:tcW w:w="92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$8,231</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(19.9%)</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100"/>
              <w:spacing w:after="0" w:line="202" w:lineRule="exact"/>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6,589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6,325</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3,000</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2,826</w:t>
            </w:r>
          </w:p>
        </w:tc>
        <w:tc>
          <w:tcPr>
            <w:tcW w:w="40" w:type="dxa"/>
            <w:vAlign w:val="bottom"/>
            <w:tcBorders>
              <w:right w:val="single" w:sz="8" w:color="D9D9D6"/>
            </w:tcBorders>
            <w:shd w:val="clear" w:color="auto" w:fill="D9D9D6"/>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2"/>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2,717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2,289</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18.7%</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40.9%</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(580)</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(758)</w:t>
            </w:r>
          </w:p>
        </w:tc>
        <w:tc>
          <w:tcPr>
            <w:tcW w:w="40" w:type="dxa"/>
            <w:vAlign w:val="bottom"/>
            <w:tcBorders>
              <w:bottom w:val="single" w:sz="8" w:color="auto"/>
              <w:right w:val="single" w:sz="8" w:color="D9D9D6"/>
            </w:tcBorders>
            <w:shd w:val="clear" w:color="auto" w:fill="D9D9D6"/>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$11,742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$12,599</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(6.8%)</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40" w:type="dxa"/>
            <w:vAlign w:val="bottom"/>
            <w:tcBorders>
              <w:right w:val="single" w:sz="8" w:color="D9D9D6"/>
            </w:tcBorders>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$832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$650</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28.0%</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468</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(21.9%)</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958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847</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13.1%</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(200)</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(35.5%)</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69</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w:t>
            </w:r>
          </w:p>
        </w:tc>
        <w:tc>
          <w:tcPr>
            <w:tcW w:w="40" w:type="dxa"/>
            <w:vAlign w:val="bottom"/>
            <w:tcBorders>
              <w:bottom w:val="single" w:sz="8" w:color="auto"/>
              <w:right w:val="single" w:sz="8" w:color="D9D9D6"/>
            </w:tcBorders>
            <w:shd w:val="clear" w:color="auto" w:fill="D9D9D6"/>
          </w:tcPr>
          <w:p>
            <w:pPr>
              <w:spacing w:after="0"/>
              <w:rPr>
                <w:sz w:val="17"/>
                <w:szCs w:val="17"/>
                <w:color w:val="auto"/>
              </w:rPr>
            </w:pPr>
          </w:p>
        </w:tc>
        <w:tc>
          <w:tcPr>
            <w:tcW w:w="10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81.8%</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$1,953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$1,802</w:t>
            </w:r>
          </w:p>
        </w:tc>
        <w:tc>
          <w:tcPr>
            <w:tcW w:w="40" w:type="dxa"/>
            <w:vAlign w:val="bottom"/>
            <w:tcBorders>
              <w:right w:val="single" w:sz="8" w:color="D9D9D6"/>
            </w:tcBorders>
            <w:shd w:val="clear" w:color="auto" w:fill="D9D9D6"/>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8.4%</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-1953895</wp:posOffset>
            </wp:positionV>
            <wp:extent cx="754380" cy="908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4380" cy="90868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-264795</wp:posOffset>
            </wp:positionV>
            <wp:extent cx="67754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545" cy="265430"/>
                    </a:xfrm>
                    <a:prstGeom prst="rect">
                      <a:avLst/>
                    </a:prstGeom>
                    <a:noFill/>
                  </pic:spPr>
                </pic:pic>
              </a:graphicData>
            </a:graphic>
          </wp:anchor>
        </w:drawing>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decreased due to an unfavorable comparison to the prior year period, which included $1.9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incremental revenue from the Paris Olympics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increased primarily due to growth in Media and Theme Parks, partially offset by a decline in Studios.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60" w:type="dxa"/>
            <w:vAlign w:val="bottom"/>
            <w:tcBorders>
              <w:left w:val="single" w:sz="8" w:color="D9D9D6"/>
            </w:tcBorders>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7"/>
              </w:rPr>
              <w:t>3rd Quarter</w:t>
            </w:r>
          </w:p>
        </w:tc>
        <w:tc>
          <w:tcPr>
            <w:tcW w:w="260" w:type="dxa"/>
            <w:vAlign w:val="bottom"/>
            <w:tcBorders>
              <w:left w:val="single" w:sz="8" w:color="D9D9D6"/>
              <w:bottom w:val="single" w:sz="8" w:color="D9D9D6"/>
            </w:tcBorders>
            <w:shd w:val="clear" w:color="auto" w:fill="D9D9D6"/>
          </w:tcPr>
          <w:p>
            <w:pPr>
              <w:spacing w:after="0"/>
              <w:rPr>
                <w:sz w:val="15"/>
                <w:szCs w:val="15"/>
                <w:color w:val="auto"/>
              </w:rPr>
            </w:pPr>
          </w:p>
        </w:tc>
        <w:tc>
          <w:tcPr>
            <w:tcW w:w="28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60" w:type="dxa"/>
            <w:vAlign w:val="bottom"/>
            <w:tcBorders>
              <w:left w:val="single" w:sz="8" w:color="D9D9D6"/>
            </w:tcBorders>
            <w:shd w:val="clear" w:color="auto" w:fill="D9D9D6"/>
          </w:tcPr>
          <w:p>
            <w:pPr>
              <w:spacing w:after="0"/>
              <w:rPr>
                <w:sz w:val="15"/>
                <w:szCs w:val="15"/>
                <w:color w:val="auto"/>
              </w:rPr>
            </w:pPr>
          </w:p>
        </w:tc>
        <w:tc>
          <w:tcPr>
            <w:tcW w:w="920" w:type="dxa"/>
            <w:vAlign w:val="bottom"/>
            <w:gridSpan w:val="4"/>
            <w:shd w:val="clear" w:color="auto" w:fill="D9D9D6"/>
          </w:tcPr>
          <w:p>
            <w:pPr>
              <w:ind w:left="28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260" w:type="dxa"/>
            <w:vAlign w:val="bottom"/>
            <w:tcBorders>
              <w:top w:val="single" w:sz="8" w:color="D9D9D6"/>
              <w:left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$1,964</w:t>
            </w:r>
          </w:p>
        </w:tc>
        <w:tc>
          <w:tcPr>
            <w:tcW w:w="88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$3,347</w:t>
            </w:r>
          </w:p>
        </w:tc>
        <w:tc>
          <w:tcPr>
            <w:tcW w:w="260" w:type="dxa"/>
            <w:vAlign w:val="bottom"/>
            <w:tcBorders>
              <w:left w:val="single" w:sz="8" w:color="D9D9D6"/>
            </w:tcBorders>
            <w:shd w:val="clear" w:color="auto" w:fill="D9D9D6"/>
          </w:tcPr>
          <w:p>
            <w:pPr>
              <w:spacing w:after="0"/>
              <w:rPr>
                <w:sz w:val="17"/>
                <w:szCs w:val="17"/>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20"/>
              <w:spacing w:after="0" w:line="202" w:lineRule="exact"/>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i w:val="1"/>
                <w:iCs w:val="1"/>
                <w:color w:val="auto"/>
              </w:rPr>
              <w:t>1,964</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1,915</w:t>
            </w:r>
          </w:p>
        </w:tc>
        <w:tc>
          <w:tcPr>
            <w:tcW w:w="2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2,841</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3,272</w:t>
            </w: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15"/>
        </w:trPr>
        <w:tc>
          <w:tcPr>
            <w:tcW w:w="120" w:type="dxa"/>
            <w:vAlign w:val="bottom"/>
            <w:shd w:val="clear" w:color="auto" w:fill="D9D9D6"/>
          </w:tcPr>
          <w:p>
            <w:pPr>
              <w:spacing w:after="0"/>
              <w:rPr>
                <w:sz w:val="18"/>
                <w:szCs w:val="18"/>
                <w:color w:val="auto"/>
              </w:rPr>
            </w:pPr>
          </w:p>
        </w:tc>
        <w:tc>
          <w:tcPr>
            <w:tcW w:w="816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i w:val="1"/>
                <w:iCs w:val="1"/>
                <w:color w:val="auto"/>
              </w:rPr>
              <w:t>2,841</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2,798</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1.5%</w:t>
            </w:r>
          </w:p>
        </w:tc>
        <w:tc>
          <w:tcPr>
            <w:tcW w:w="20" w:type="dxa"/>
            <w:vAlign w:val="bottom"/>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0"/>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1,252</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1,070</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17.0%</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532</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$6,589</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$8,231</w:t>
            </w:r>
          </w:p>
        </w:tc>
        <w:tc>
          <w:tcPr>
            <w:tcW w:w="2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9"/>
        </w:trPr>
        <w:tc>
          <w:tcPr>
            <w:tcW w:w="120" w:type="dxa"/>
            <w:vAlign w:val="bottom"/>
            <w:shd w:val="clear" w:color="auto" w:fill="D9D9D6"/>
          </w:tcPr>
          <w:p>
            <w:pPr>
              <w:spacing w:after="0"/>
              <w:rPr>
                <w:sz w:val="18"/>
                <w:szCs w:val="18"/>
                <w:color w:val="auto"/>
              </w:rPr>
            </w:pPr>
          </w:p>
        </w:tc>
        <w:tc>
          <w:tcPr>
            <w:tcW w:w="816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7</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i w:val="1"/>
                <w:iCs w:val="1"/>
                <w:color w:val="auto"/>
              </w:rPr>
              <w:t>6,589</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6,325</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4.2%</w:t>
            </w:r>
          </w:p>
        </w:tc>
        <w:tc>
          <w:tcPr>
            <w:tcW w:w="20" w:type="dxa"/>
            <w:vAlign w:val="bottom"/>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2"/>
        </w:trPr>
        <w:tc>
          <w:tcPr>
            <w:tcW w:w="120" w:type="dxa"/>
            <w:vAlign w:val="bottom"/>
            <w:tcBorders>
              <w:bottom w:val="single" w:sz="8" w:color="D9D9D6"/>
            </w:tcBorders>
            <w:shd w:val="clear" w:color="auto" w:fill="D9D9D6"/>
          </w:tcPr>
          <w:p>
            <w:pPr>
              <w:spacing w:after="0"/>
              <w:rPr>
                <w:sz w:val="16"/>
                <w:szCs w:val="16"/>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5,758</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7,581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r>
      <w:tr>
        <w:trPr>
          <w:trHeight w:val="236"/>
        </w:trPr>
        <w:tc>
          <w:tcPr>
            <w:tcW w:w="120" w:type="dxa"/>
            <w:vAlign w:val="bottom"/>
            <w:tcBorders>
              <w:bottom w:val="single" w:sz="8" w:color="D9D9D6"/>
            </w:tcBorders>
            <w:shd w:val="clear" w:color="auto" w:fill="D9D9D6"/>
          </w:tcPr>
          <w:p>
            <w:pPr>
              <w:spacing w:after="0"/>
              <w:rPr>
                <w:sz w:val="20"/>
                <w:szCs w:val="20"/>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$832</w:t>
            </w:r>
          </w:p>
        </w:tc>
        <w:tc>
          <w:tcPr>
            <w:tcW w:w="880" w:type="dxa"/>
            <w:vAlign w:val="bottom"/>
            <w:tcBorders>
              <w:bottom w:val="single" w:sz="8" w:color="D9D9D6"/>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$650</w:t>
            </w:r>
          </w:p>
        </w:tc>
        <w:tc>
          <w:tcPr>
            <w:tcW w:w="260" w:type="dxa"/>
            <w:vAlign w:val="bottom"/>
            <w:tcBorders>
              <w:bottom w:val="single" w:sz="8" w:color="D9D9D6"/>
            </w:tcBorders>
          </w:tcPr>
          <w:p>
            <w:pPr>
              <w:spacing w:after="0"/>
              <w:rPr>
                <w:sz w:val="20"/>
                <w:szCs w:val="20"/>
                <w:color w:val="auto"/>
              </w:rPr>
            </w:pPr>
          </w:p>
        </w:tc>
        <w:tc>
          <w:tcPr>
            <w:tcW w:w="780" w:type="dxa"/>
            <w:vAlign w:val="bottom"/>
            <w:tcBorders>
              <w:bottom w:val="single" w:sz="8" w:color="D9D9D6"/>
            </w:tcBorders>
            <w:gridSpan w:val="2"/>
          </w:tcPr>
          <w:p>
            <w:pPr>
              <w:jc w:val="right"/>
              <w:ind w:right="60"/>
              <w:spacing w:after="0"/>
              <w:rPr>
                <w:sz w:val="20"/>
                <w:szCs w:val="20"/>
                <w:color w:val="auto"/>
              </w:rPr>
            </w:pPr>
            <w:r>
              <w:rPr>
                <w:rFonts w:ascii="Arial" w:cs="Arial" w:eastAsia="Arial" w:hAnsi="Arial"/>
                <w:sz w:val="14"/>
                <w:szCs w:val="14"/>
                <w:b w:val="1"/>
                <w:bCs w:val="1"/>
                <w:color w:val="auto"/>
              </w:rPr>
              <w:t>28.0%</w:t>
            </w:r>
          </w:p>
        </w:tc>
        <w:tc>
          <w:tcPr>
            <w:tcW w:w="20" w:type="dxa"/>
            <w:vAlign w:val="bottom"/>
            <w:tcBorders>
              <w:bottom w:val="single" w:sz="8" w:color="D9D9D6"/>
            </w:tcBorders>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-1336675</wp:posOffset>
            </wp:positionV>
            <wp:extent cx="745490" cy="130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5490" cy="1303020"/>
                    </a:xfrm>
                    <a:prstGeom prst="rect">
                      <a:avLst/>
                    </a:prstGeom>
                    <a:noFill/>
                  </pic:spPr>
                </pic:pic>
              </a:graphicData>
            </a:graphic>
          </wp:anchor>
        </w:drawing>
      </w:r>
    </w:p>
    <w:p>
      <w:pPr>
        <w:spacing w:after="0" w:line="27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decreased primarily due to lower domestic advertising and domestic distribution revenue, reflecting the comparison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Paris Olympics in the prior year period. Excluding $1.9 billion of incremental revenue from this event, Media revenue increased 4.2%. Domestic advertising revenue decreased primarily reflecting the Paris Olympics in the prior year period. Excluding the incremental revenue from this event, domestic advertising revenue increased 2.6%, primarily due to an increase in revenue at Peacock. Domestic distribution revenue decreased primarily reflecting the Paris Olympics in the prior year period. Excluding the incremental revenue from this event, domestic distribution revenue increased 1.5%, primarily due to higher revenue at Peacock, partially offset by lower revenue at our linear television networks. International networks revenue increased primarily due to an increase in revenue associated with the distribution of sports networks and the positive impact of foreign currency.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lower operating expenses, which more than offset lower revenue. The decrease in operating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expenses was primarily due to lower sports programming costs associated with the Paris Olympics in the prior year period and a decrease in other sports programming costs for our domestic television networks, mainly reflecting lower sports volumes compared to the prior year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period, partially offset by an increase in sports costs for our international networks. Media results include $1.4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$217 million related to Peacock, compared to $1.5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$436 million in the prior year period, which included amounts attributable to the Paris Olympics.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9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3rd Quarter</w:t>
            </w:r>
          </w:p>
        </w:tc>
        <w:tc>
          <w:tcPr>
            <w:tcW w:w="28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16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60" w:type="dxa"/>
            <w:vAlign w:val="bottom"/>
            <w:tcBorders>
              <w:top w:val="single" w:sz="8" w:color="D9D9D6"/>
            </w:tcBorders>
            <w:shd w:val="clear" w:color="auto" w:fill="D9D9D6"/>
          </w:tcPr>
          <w:p>
            <w:pPr>
              <w:spacing w:after="0"/>
              <w:rPr>
                <w:sz w:val="15"/>
                <w:szCs w:val="15"/>
                <w:color w:val="auto"/>
              </w:rPr>
            </w:pPr>
          </w:p>
        </w:tc>
        <w:tc>
          <w:tcPr>
            <w:tcW w:w="72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60" w:type="dxa"/>
            <w:vAlign w:val="bottom"/>
            <w:tcBorders>
              <w:top w:val="single" w:sz="8" w:color="D9D9D6"/>
            </w:tcBorders>
            <w:shd w:val="clear" w:color="auto" w:fill="D9D9D6"/>
          </w:tcPr>
          <w:p>
            <w:pPr>
              <w:spacing w:after="0"/>
              <w:rPr>
                <w:sz w:val="15"/>
                <w:szCs w:val="15"/>
                <w:color w:val="auto"/>
              </w:rPr>
            </w:pPr>
          </w:p>
        </w:tc>
        <w:tc>
          <w:tcPr>
            <w:tcW w:w="920" w:type="dxa"/>
            <w:vAlign w:val="bottom"/>
            <w:tcBorders>
              <w:top w:val="single" w:sz="8" w:color="D9D9D6"/>
            </w:tcBorders>
            <w:gridSpan w:val="4"/>
            <w:shd w:val="clear" w:color="auto" w:fill="D9D9D6"/>
          </w:tcPr>
          <w:p>
            <w:pPr>
              <w:ind w:left="2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$2,035</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$1,865</w:t>
            </w:r>
          </w:p>
        </w:tc>
        <w:tc>
          <w:tcPr>
            <w:tcW w:w="260" w:type="dxa"/>
            <w:vAlign w:val="bottom"/>
            <w:shd w:val="clear" w:color="auto" w:fill="D9D9D6"/>
          </w:tcPr>
          <w:p>
            <w:pPr>
              <w:spacing w:after="0"/>
              <w:rPr>
                <w:sz w:val="17"/>
                <w:szCs w:val="17"/>
                <w:color w:val="auto"/>
              </w:rPr>
            </w:pPr>
          </w:p>
        </w:tc>
        <w:tc>
          <w:tcPr>
            <w:tcW w:w="7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9.1%</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639</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611</w:t>
            </w:r>
          </w:p>
        </w:tc>
        <w:tc>
          <w:tcPr>
            <w:tcW w:w="260" w:type="dxa"/>
            <w:vAlign w:val="bottom"/>
            <w:shd w:val="clear" w:color="auto" w:fill="D9D9D6"/>
          </w:tcPr>
          <w:p>
            <w:pPr>
              <w:spacing w:after="0"/>
              <w:rPr>
                <w:sz w:val="17"/>
                <w:szCs w:val="17"/>
                <w:color w:val="auto"/>
              </w:rPr>
            </w:pPr>
          </w:p>
        </w:tc>
        <w:tc>
          <w:tcPr>
            <w:tcW w:w="7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350</w:t>
            </w:r>
          </w:p>
        </w:tc>
        <w:tc>
          <w:tcPr>
            <w:tcW w:w="26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(6.9%)</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$3,000</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$2,826</w:t>
            </w:r>
          </w:p>
        </w:tc>
        <w:tc>
          <w:tcPr>
            <w:tcW w:w="260" w:type="dxa"/>
            <w:vAlign w:val="bottom"/>
            <w:shd w:val="clear" w:color="auto" w:fill="D9D9D6"/>
          </w:tcPr>
          <w:p>
            <w:pPr>
              <w:spacing w:after="0"/>
              <w:rPr>
                <w:sz w:val="17"/>
                <w:szCs w:val="17"/>
                <w:color w:val="auto"/>
              </w:rPr>
            </w:pPr>
          </w:p>
        </w:tc>
        <w:tc>
          <w:tcPr>
            <w:tcW w:w="7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6.1%</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2,635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2,359</w:t>
            </w:r>
          </w:p>
        </w:tc>
        <w:tc>
          <w:tcPr>
            <w:tcW w:w="26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11.7%</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$365</w:t>
            </w:r>
          </w:p>
        </w:tc>
        <w:tc>
          <w:tcPr>
            <w:tcW w:w="20" w:type="dxa"/>
            <w:vAlign w:val="bottom"/>
            <w:tcBorders>
              <w:bottom w:val="single" w:sz="8" w:color="D9D9D6"/>
            </w:tcBorders>
            <w:shd w:val="clear" w:color="auto" w:fill="D9D9D6"/>
          </w:tcPr>
          <w:p>
            <w:pPr>
              <w:spacing w:after="0"/>
              <w:rPr>
                <w:sz w:val="20"/>
                <w:szCs w:val="20"/>
                <w:color w:val="auto"/>
              </w:rPr>
            </w:pPr>
          </w:p>
        </w:tc>
        <w:tc>
          <w:tcPr>
            <w:tcW w:w="88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$468</w:t>
            </w:r>
          </w:p>
        </w:tc>
        <w:tc>
          <w:tcPr>
            <w:tcW w:w="260" w:type="dxa"/>
            <w:vAlign w:val="bottom"/>
            <w:tcBorders>
              <w:bottom w:val="single" w:sz="8" w:color="D9D9D6"/>
            </w:tcBorders>
          </w:tcPr>
          <w:p>
            <w:pPr>
              <w:spacing w:after="0"/>
              <w:rPr>
                <w:sz w:val="20"/>
                <w:szCs w:val="20"/>
                <w:color w:val="auto"/>
              </w:rPr>
            </w:pPr>
          </w:p>
        </w:tc>
        <w:tc>
          <w:tcPr>
            <w:tcW w:w="78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(21.9%)</w:t>
            </w:r>
          </w:p>
        </w:tc>
        <w:tc>
          <w:tcPr>
            <w:tcW w:w="20" w:type="dxa"/>
            <w:vAlign w:val="bottom"/>
            <w:tcBorders>
              <w:bottom w:val="single" w:sz="8" w:color="D9D9D6"/>
            </w:tcBorders>
          </w:tcPr>
          <w:p>
            <w:pPr>
              <w:spacing w:after="0"/>
              <w:rPr>
                <w:sz w:val="20"/>
                <w:szCs w:val="20"/>
                <w:color w:val="auto"/>
              </w:rPr>
            </w:pPr>
          </w:p>
        </w:tc>
        <w:tc>
          <w:tcPr>
            <w:tcW w:w="120" w:type="dxa"/>
            <w:vAlign w:val="bottom"/>
            <w:tcBorders>
              <w:bottom w:val="single" w:sz="8" w:color="D9D9D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-299720</wp:posOffset>
            </wp:positionV>
            <wp:extent cx="7454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5490" cy="265430"/>
                    </a:xfrm>
                    <a:prstGeom prst="rect">
                      <a:avLst/>
                    </a:prstGeom>
                    <a:noFill/>
                  </pic:spPr>
                </pic:pic>
              </a:graphicData>
            </a:graphic>
          </wp:anchor>
        </w:drawing>
      </w:r>
    </w:p>
    <w:p>
      <w:pPr>
        <w:spacing w:after="0" w:line="2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primarily due to higher content licensing revenue. Content licensing revenue increased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timing of when content was made available by our television studios, partially offset by the timing of when content was made available by our film studios. Theatrical revenue increased primarily due to higher revenue from an increased number of releases in the current quarter, including the successful release of </w:t>
      </w:r>
      <w:r>
        <w:rPr>
          <w:rFonts w:ascii="Arial" w:cs="Arial" w:eastAsia="Arial" w:hAnsi="Arial"/>
          <w:sz w:val="18"/>
          <w:szCs w:val="18"/>
          <w:i w:val="1"/>
          <w:iCs w:val="1"/>
          <w:color w:val="auto"/>
        </w:rPr>
        <w:t>Jurassic World Rebirth</w:t>
      </w:r>
      <w:r>
        <w:rPr>
          <w:rFonts w:ascii="Arial" w:cs="Arial" w:eastAsia="Arial" w:hAnsi="Arial"/>
          <w:sz w:val="18"/>
          <w:szCs w:val="18"/>
          <w:color w:val="auto"/>
        </w:rPr>
        <w:t>.</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higher operating expenses, which more than offset higher revenue.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driven by higher programming and production expenses, mainly due to higher costs associated with content licensing sales, and higher marketing and promotion expenses due to increased spending on recent and upcoming theatrical film releases.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2"/>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48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183"/>
        </w:trPr>
        <w:tc>
          <w:tcPr>
            <w:tcW w:w="100" w:type="dxa"/>
            <w:vAlign w:val="bottom"/>
            <w:tcBorders>
              <w:top w:val="single" w:sz="8" w:color="D9D9D6"/>
            </w:tcBorders>
            <w:shd w:val="clear" w:color="auto" w:fill="D9D9D6"/>
          </w:tcPr>
          <w:p>
            <w:pPr>
              <w:spacing w:after="0"/>
              <w:rPr>
                <w:sz w:val="15"/>
                <w:szCs w:val="15"/>
                <w:color w:val="auto"/>
              </w:rPr>
            </w:pPr>
          </w:p>
        </w:tc>
        <w:tc>
          <w:tcPr>
            <w:tcW w:w="8280" w:type="dxa"/>
            <w:vAlign w:val="bottom"/>
            <w:tcBorders>
              <w:top w:val="single" w:sz="8" w:color="D9D9D6"/>
            </w:tcBorders>
            <w:shd w:val="clear" w:color="auto" w:fill="D9D9D6"/>
          </w:tcPr>
          <w:p>
            <w:pPr>
              <w:spacing w:after="0"/>
              <w:rPr>
                <w:sz w:val="15"/>
                <w:szCs w:val="15"/>
                <w:color w:val="auto"/>
              </w:rPr>
            </w:pPr>
          </w:p>
        </w:tc>
        <w:tc>
          <w:tcPr>
            <w:tcW w:w="880" w:type="dxa"/>
            <w:vAlign w:val="bottom"/>
            <w:tcBorders>
              <w:top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8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2"/>
            <w:shd w:val="clear" w:color="auto" w:fill="D9D9D6"/>
          </w:tcPr>
          <w:p>
            <w:pPr>
              <w:jc w:val="right"/>
              <w:ind w:right="120"/>
              <w:spacing w:after="0"/>
              <w:rPr>
                <w:sz w:val="20"/>
                <w:szCs w:val="20"/>
                <w:color w:val="auto"/>
              </w:rPr>
            </w:pPr>
            <w:r>
              <w:rPr>
                <w:rFonts w:ascii="Arial" w:cs="Arial" w:eastAsia="Arial" w:hAnsi="Arial"/>
                <w:sz w:val="14"/>
                <w:szCs w:val="14"/>
                <w:color w:val="auto"/>
                <w:w w:val="97"/>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$2,717</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$2,289</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1,759</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1,442</w:t>
            </w:r>
          </w:p>
        </w:tc>
        <w:tc>
          <w:tcPr>
            <w:tcW w:w="10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$958</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$847</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5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primarily due to higher revenue at domestic theme parks, driven by the successful opening of Epic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Universe in May 2025.</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due to operating costs associated with Epic Universe.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third quarter was $271 million, compared to a loss of $200 million in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$580 million, compared to $758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66"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million in the prior year period, and Adjusted EBITDA eliminations were a benefit of $69 million, compared to a benefit of $38 million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774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3rd Quarter</w:t>
            </w:r>
          </w:p>
        </w:tc>
        <w:tc>
          <w:tcPr>
            <w:tcW w:w="160" w:type="dxa"/>
            <w:vAlign w:val="bottom"/>
            <w:tcBorders>
              <w:bottom w:val="single" w:sz="8" w:color="D9D9D6"/>
            </w:tcBorders>
            <w:gridSpan w:val="2"/>
            <w:shd w:val="clear" w:color="auto" w:fill="D9D9D6"/>
          </w:tcPr>
          <w:p>
            <w:pPr>
              <w:spacing w:after="0"/>
              <w:rPr>
                <w:sz w:val="15"/>
                <w:szCs w:val="15"/>
                <w:color w:val="auto"/>
              </w:rPr>
            </w:pPr>
          </w:p>
        </w:tc>
        <w:tc>
          <w:tcPr>
            <w:tcW w:w="58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740" w:type="dxa"/>
            <w:vAlign w:val="bottom"/>
            <w:shd w:val="clear" w:color="auto" w:fill="D9D9D6"/>
          </w:tcPr>
          <w:p>
            <w:pPr>
              <w:spacing w:after="0"/>
              <w:rPr>
                <w:sz w:val="15"/>
                <w:szCs w:val="15"/>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0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$736</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$675</w:t>
            </w:r>
          </w:p>
        </w:tc>
        <w:tc>
          <w:tcPr>
            <w:tcW w:w="20" w:type="dxa"/>
            <w:vAlign w:val="bottom"/>
            <w:shd w:val="clear" w:color="auto" w:fill="D9D9D6"/>
          </w:tcPr>
          <w:p>
            <w:pPr>
              <w:spacing w:after="0"/>
              <w:rPr>
                <w:sz w:val="17"/>
                <w:szCs w:val="17"/>
                <w:color w:val="auto"/>
              </w:rPr>
            </w:pP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9.0%</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1,009</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978</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($273)</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($302)</w:t>
            </w:r>
          </w:p>
        </w:tc>
        <w:tc>
          <w:tcPr>
            <w:tcW w:w="20" w:type="dxa"/>
            <w:vAlign w:val="bottom"/>
            <w:shd w:val="clear" w:color="auto" w:fill="D9D9D6"/>
          </w:tcPr>
          <w:p>
            <w:pPr>
              <w:spacing w:after="0"/>
              <w:rPr>
                <w:sz w:val="17"/>
                <w:szCs w:val="17"/>
                <w:color w:val="auto"/>
              </w:rPr>
            </w:pP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9.8%</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3"/>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($1,456)</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($1,495)</w:t>
            </w:r>
          </w:p>
        </w:tc>
        <w:tc>
          <w:tcPr>
            <w:tcW w:w="20" w:type="dxa"/>
            <w:vAlign w:val="bottom"/>
            <w:shd w:val="clear" w:color="auto" w:fill="D9D9D6"/>
          </w:tcPr>
          <w:p>
            <w:pPr>
              <w:spacing w:after="0"/>
              <w:rPr>
                <w:sz w:val="17"/>
                <w:szCs w:val="17"/>
                <w:color w:val="auto"/>
              </w:rPr>
            </w:pP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(1,437)</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(1,436)</w:t>
            </w:r>
          </w:p>
        </w:tc>
        <w:tc>
          <w:tcPr>
            <w:tcW w:w="2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ind w:lef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($19)</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($59)</w:t>
            </w:r>
          </w:p>
        </w:tc>
        <w:tc>
          <w:tcPr>
            <w:tcW w:w="20" w:type="dxa"/>
            <w:vAlign w:val="bottom"/>
            <w:shd w:val="clear" w:color="auto" w:fill="D9D9D6"/>
          </w:tcPr>
          <w:p>
            <w:pPr>
              <w:spacing w:after="0"/>
              <w:rPr>
                <w:sz w:val="17"/>
                <w:szCs w:val="17"/>
                <w:color w:val="auto"/>
              </w:rPr>
            </w:pP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(67.3%)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7740" w:type="dxa"/>
            <w:vAlign w:val="bottom"/>
            <w:shd w:val="clear" w:color="auto" w:fill="D9D9D6"/>
          </w:tcPr>
          <w:p>
            <w:pPr>
              <w:spacing w:after="0"/>
              <w:rPr>
                <w:sz w:val="4"/>
                <w:szCs w:val="4"/>
                <w:color w:val="auto"/>
              </w:rPr>
            </w:pPr>
          </w:p>
        </w:tc>
        <w:tc>
          <w:tcPr>
            <w:tcW w:w="7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Xfinity Mobile Arena in Philadelphia, Pennsylvania; and Xumo. Corporate &amp; Other Adjusted EBITDA increased primarily due to decreased marketing associated with the Paris Olympics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$1.5 billion, consistent with the prior year period, and Adjusted EBITDA eliminations were a loss of $ 19 million compared to a loss of $59 million in the prior year period. Prior year amounts reflect an increase in eliminations associated with the Paris Olympics.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66"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30, 2025,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October 30, 2025,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13"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380365</wp:posOffset>
            </wp:positionV>
            <wp:extent cx="102870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$31,198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$32,070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$91,397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$91,817</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8,655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24,646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2,196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6,435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31,109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29,615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6,934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6,548</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5,089</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25,665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74,213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73,512</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5,534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17,184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18,304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(1,128)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(3,283)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(3,065)</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9,966</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9,705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4,468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23,607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15,099</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3,249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17,590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11,192</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$17,830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$0.90</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$0.94</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$4.78</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431800</wp:posOffset>
            </wp:positionV>
            <wp:extent cx="102870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$17,590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$11,192</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12,023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10,969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(9,282)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3,250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(566)</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24,802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19,593</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(8,001)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(8,267)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(1,279)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(11,720)</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(10,559)</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2,494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(4,366)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(5,618)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(3,685)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(11,124)</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(6,459)</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1,994</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2,596</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$8,878</w:t>
            </w:r>
          </w:p>
        </w:tc>
      </w:tr>
      <w:tr>
        <w:trPr>
          <w:trHeight w:val="21"/>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389255</wp:posOffset>
            </wp:positionV>
            <wp:extent cx="1028700" cy="403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3225"/>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$9,325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13,214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6,319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28,857</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26,801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12,959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8,324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64,773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62,548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61,406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58,209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23,379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25,599</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13,932</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w:t>
            </w:r>
          </w:p>
        </w:tc>
        <w:tc>
          <w:tcPr>
            <w:tcW w:w="0" w:type="dxa"/>
            <w:vAlign w:val="bottom"/>
          </w:tcPr>
          <w:p>
            <w:pPr>
              <w:spacing w:after="0"/>
              <w:rPr>
                <w:sz w:val="1"/>
                <w:szCs w:val="1"/>
                <w:color w:val="auto"/>
              </w:rPr>
            </w:pPr>
          </w:p>
        </w:tc>
      </w:tr>
      <w:tr>
        <w:trPr>
          <w:trHeight w:val="453"/>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$272,995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$11,689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4,218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10,942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10,679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5,852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248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32,702</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93,211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94,186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28,357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25,227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21,089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20,942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97,081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85,560</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335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97,416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86,038</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$272,995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-88900</wp:posOffset>
            </wp:positionV>
            <wp:extent cx="1028700"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0" cy="4025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0"/>
                <w:szCs w:val="20"/>
                <w:color w:val="auto"/>
              </w:rPr>
            </w:pPr>
          </w:p>
        </w:tc>
        <w:tc>
          <w:tcPr>
            <w:tcW w:w="188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300" w:type="dxa"/>
            <w:vAlign w:val="bottom"/>
          </w:tcPr>
          <w:p>
            <w:pPr>
              <w:spacing w:after="0"/>
              <w:rPr>
                <w:sz w:val="16"/>
                <w:szCs w:val="16"/>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8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$3,332</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$3,629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$17,830</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$11,415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1,218</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6,017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3,906</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1,128</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1,037</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3,283</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(9,705)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2,353</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2,219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6,934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6,548</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Amortization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1,666</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1,659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5,089</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4,421</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277</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$9,669</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$9,735</w:t>
            </w: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$29,484</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$29,261</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$8,693</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$7,021</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$24,802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$19,593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(3,071)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(2,913)</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(8,001)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(8,267)</w:t>
            </w:r>
          </w:p>
        </w:tc>
      </w:tr>
      <w:tr>
        <w:trPr>
          <w:trHeight w:val="204"/>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(677)</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(1,934)</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w:t>
            </w:r>
          </w:p>
        </w:tc>
      </w:tr>
      <w:tr>
        <w:trPr>
          <w:trHeight w:val="237"/>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$4,945</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$3,406</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$14,866</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$9,283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720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$9,669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$9,735</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$29,484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$29,261</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(3,071)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(2,913)</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(8,001)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(8,267)</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(1,934)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(690)</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(2,682)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taxes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(1,420)</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(2,378)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(5,988)</w:t>
            </w:r>
          </w:p>
        </w:tc>
      </w:tr>
      <w:tr>
        <w:trPr>
          <w:trHeight w:val="202"/>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(1,126)</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(783)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(2,652)</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1,014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36"/>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$4,945</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$3,406</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$14,866</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$9,283</w:t>
            </w:r>
          </w:p>
        </w:tc>
      </w:tr>
    </w:tbl>
    <w:p>
      <w:pPr>
        <w:spacing w:after="0" w:line="23" w:lineRule="exact"/>
        <w:rPr>
          <w:sz w:val="20"/>
          <w:szCs w:val="20"/>
          <w:color w:val="auto"/>
        </w:rPr>
      </w:pPr>
    </w:p>
    <w:p>
      <w:pPr>
        <w:jc w:val="both"/>
        <w:ind w:left="360" w:right="20" w:hanging="354"/>
        <w:spacing w:after="0" w:line="213" w:lineRule="auto"/>
        <w:tabs>
          <w:tab w:leader="none" w:pos="360" w:val="left"/>
        </w:tabs>
        <w:numPr>
          <w:ilvl w:val="0"/>
          <w:numId w:val="4"/>
        </w:numPr>
        <w:rPr>
          <w:rFonts w:ascii="Arial" w:cs="Arial" w:eastAsia="Arial" w:hAnsi="Arial"/>
          <w:sz w:val="11"/>
          <w:szCs w:val="11"/>
          <w:color w:val="auto"/>
        </w:rPr>
      </w:pPr>
      <w:r>
        <w:rPr>
          <w:rFonts w:ascii="Arial" w:cs="Arial" w:eastAsia="Arial" w:hAnsi="Arial"/>
          <w:sz w:val="13"/>
          <w:szCs w:val="13"/>
          <w:color w:val="auto"/>
        </w:rPr>
        <w:t>Adjusted EBITDA excludes transaction and transaction-related costs associated with the proposed separation of Versant, as well as other operating and administrative expenses related to our investment portfolio. Transaction costs are incremental costs directly related to effectuating the proposed separation and primarily include legal, audit and advisory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6840" w:type="dxa"/>
            <w:vAlign w:val="bottom"/>
          </w:tcPr>
          <w:p>
            <w:pPr>
              <w:spacing w:after="0"/>
              <w:rPr>
                <w:sz w:val="21"/>
                <w:szCs w:val="21"/>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18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208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7"/>
        </w:trPr>
        <w:tc>
          <w:tcPr>
            <w:tcW w:w="6840" w:type="dxa"/>
            <w:vAlign w:val="bottom"/>
            <w:vMerge w:val="restart"/>
          </w:tcPr>
          <w:p>
            <w:pPr>
              <w:spacing w:after="0"/>
              <w:rPr>
                <w:sz w:val="20"/>
                <w:szCs w:val="20"/>
                <w:color w:val="auto"/>
              </w:rPr>
            </w:pPr>
            <w:r>
              <w:rPr>
                <w:rFonts w:ascii="Arial" w:cs="Arial" w:eastAsia="Arial" w:hAnsi="Arial"/>
                <w:sz w:val="13"/>
                <w:szCs w:val="13"/>
                <w:color w:val="auto"/>
              </w:rPr>
              <w:t>Transaction-related costs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3"/>
        </w:trPr>
        <w:tc>
          <w:tcPr>
            <w:tcW w:w="684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3"/>
                <w:szCs w:val="13"/>
                <w:color w:val="auto"/>
              </w:rPr>
              <w:t>Transaction costs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6840" w:type="dxa"/>
            <w:vAlign w:val="bottom"/>
          </w:tcPr>
          <w:p>
            <w:pPr>
              <w:spacing w:after="0"/>
              <w:rPr>
                <w:sz w:val="20"/>
                <w:szCs w:val="20"/>
                <w:color w:val="auto"/>
              </w:rPr>
            </w:pPr>
            <w:r>
              <w:rPr>
                <w:rFonts w:ascii="Arial" w:cs="Arial" w:eastAsia="Arial" w:hAnsi="Arial"/>
                <w:sz w:val="13"/>
                <w:szCs w:val="13"/>
                <w:color w:val="auto"/>
              </w:rPr>
              <w:t>Costs related to our investment portfolio</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7"/>
        </w:trPr>
        <w:tc>
          <w:tcPr>
            <w:tcW w:w="6840" w:type="dxa"/>
            <w:vAlign w:val="bottom"/>
          </w:tcPr>
          <w:p>
            <w:pPr>
              <w:spacing w:after="0" w:line="146" w:lineRule="exact"/>
              <w:rPr>
                <w:sz w:val="20"/>
                <w:szCs w:val="20"/>
                <w:color w:val="auto"/>
              </w:rPr>
            </w:pPr>
            <w:r>
              <w:rPr>
                <w:rFonts w:ascii="Arial" w:cs="Arial" w:eastAsia="Arial" w:hAnsi="Arial"/>
                <w:sz w:val="13"/>
                <w:szCs w:val="13"/>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1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w:t>
            </w: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360" w:right="60" w:hanging="354"/>
        <w:spacing w:after="0" w:line="218" w:lineRule="auto"/>
        <w:tabs>
          <w:tab w:leader="none" w:pos="360" w:val="left"/>
        </w:tabs>
        <w:numPr>
          <w:ilvl w:val="0"/>
          <w:numId w:val="5"/>
        </w:numPr>
        <w:rPr>
          <w:rFonts w:ascii="Arial" w:cs="Arial" w:eastAsia="Arial" w:hAnsi="Arial"/>
          <w:sz w:val="11"/>
          <w:szCs w:val="11"/>
          <w:color w:val="auto"/>
        </w:rPr>
      </w:pPr>
      <w:r>
        <w:rPr>
          <w:rFonts w:ascii="Arial" w:cs="Arial" w:eastAsia="Arial" w:hAnsi="Arial"/>
          <w:sz w:val="13"/>
          <w:szCs w:val="13"/>
          <w:color w:val="auto"/>
        </w:rPr>
        <w:t>3rd quarter and year to date 2025 includes adjustments of $(116) and $(248) million, respectively, of transaction and transaction-related costs associated with the proposed separation of Versant and $— and $(29) million, respectively, of other operating and administrative expenses related to our investment portfolio, as these amounts are excluded from Adjusted EBITDA. 3rd quarter and year to date 2024 includes adjustments of $2 and $11 million, respectively, of other operating and administrative expenses related to our investment portfolio, as these amounts are excluded from Adjusted EBITDA.</w:t>
      </w:r>
    </w:p>
    <w:p>
      <w:pPr>
        <w:sectPr>
          <w:pgSz w:w="11900" w:h="16838" w:orient="portrait"/>
          <w:cols w:equalWidth="0" w:num="1">
            <w:col w:w="11220"/>
          </w:cols>
          <w:pgMar w:left="340" w:top="8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98"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-140335</wp:posOffset>
            </wp:positionV>
            <wp:extent cx="10287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6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80" w:type="dxa"/>
            <w:vAlign w:val="bottom"/>
          </w:tcPr>
          <w:p>
            <w:pPr>
              <w:spacing w:after="0"/>
              <w:rPr>
                <w:sz w:val="15"/>
                <w:szCs w:val="15"/>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EPS</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46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$0.90</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$17,830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$4.78</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$11,415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56.2%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64.5%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6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23"/>
                <w:szCs w:val="23"/>
                <w:color w:val="auto"/>
              </w:rPr>
            </w:pPr>
          </w:p>
        </w:tc>
        <w:tc>
          <w:tcPr>
            <w:tcW w:w="680" w:type="dxa"/>
            <w:vAlign w:val="bottom"/>
          </w:tcPr>
          <w:p>
            <w:pPr>
              <w:jc w:val="center"/>
              <w:ind w:left="328"/>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5"/>
        </w:trPr>
        <w:tc>
          <w:tcPr>
            <w:tcW w:w="446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680" w:type="dxa"/>
            <w:vAlign w:val="bottom"/>
          </w:tcPr>
          <w:p>
            <w:pPr>
              <w:jc w:val="center"/>
              <w:ind w:left="328"/>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20"/>
              <w:spacing w:after="0"/>
              <w:rPr>
                <w:sz w:val="20"/>
                <w:szCs w:val="20"/>
                <w:color w:val="auto"/>
              </w:rPr>
            </w:pPr>
            <w:r>
              <w:rPr>
                <w:rFonts w:ascii="Arial" w:cs="Arial" w:eastAsia="Arial" w:hAnsi="Arial"/>
                <w:sz w:val="14"/>
                <w:szCs w:val="14"/>
                <w:color w:val="auto"/>
              </w:rPr>
              <w:t>Gain related to investment</w:t>
            </w:r>
            <w:r>
              <w:rPr>
                <w:rFonts w:ascii="Arial" w:cs="Arial" w:eastAsia="Arial" w:hAnsi="Arial"/>
                <w:sz w:val="18"/>
                <w:szCs w:val="18"/>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6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Tax benefit from internal corporate reorganization </w:t>
            </w:r>
            <w:r>
              <w:rPr>
                <w:rFonts w:ascii="Arial" w:cs="Arial" w:eastAsia="Arial" w:hAnsi="Arial"/>
                <w:sz w:val="18"/>
                <w:szCs w:val="18"/>
                <w:color w:val="auto"/>
                <w:vertAlign w:val="superscript"/>
              </w:rPr>
              <w:t>(4)</w:t>
            </w:r>
          </w:p>
        </w:tc>
        <w:tc>
          <w:tcPr>
            <w:tcW w:w="110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6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line="202" w:lineRule="exact"/>
              <w:rPr>
                <w:sz w:val="20"/>
                <w:szCs w:val="20"/>
                <w:color w:val="auto"/>
              </w:rPr>
            </w:pPr>
            <w:r>
              <w:rPr>
                <w:rFonts w:ascii="Arial" w:cs="Arial" w:eastAsia="Arial" w:hAnsi="Arial"/>
                <w:sz w:val="14"/>
                <w:szCs w:val="14"/>
                <w:color w:val="auto"/>
              </w:rPr>
              <w:t>Long-lived asset impairments</w:t>
            </w:r>
            <w:r>
              <w:rPr>
                <w:rFonts w:ascii="Arial" w:cs="Arial" w:eastAsia="Arial" w:hAnsi="Arial"/>
                <w:sz w:val="18"/>
                <w:szCs w:val="18"/>
                <w:color w:val="auto"/>
                <w:vertAlign w:val="superscript"/>
              </w:rPr>
              <w:t>(5)</w:t>
            </w:r>
          </w:p>
        </w:tc>
        <w:tc>
          <w:tcPr>
            <w:tcW w:w="110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6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line="202" w:lineRule="exact"/>
              <w:rPr>
                <w:sz w:val="20"/>
                <w:szCs w:val="20"/>
                <w:color w:val="auto"/>
              </w:rPr>
            </w:pPr>
            <w:r>
              <w:rPr>
                <w:rFonts w:ascii="Arial" w:cs="Arial" w:eastAsia="Arial" w:hAnsi="Arial"/>
                <w:sz w:val="14"/>
                <w:szCs w:val="14"/>
                <w:color w:val="auto"/>
              </w:rPr>
              <w:t>Transaction-related costs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6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4460" w:type="dxa"/>
            <w:vAlign w:val="bottom"/>
          </w:tcPr>
          <w:p>
            <w:pPr>
              <w:ind w:left="120"/>
              <w:spacing w:after="0"/>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6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920" w:type="dxa"/>
            <w:vAlign w:val="bottom"/>
            <w:gridSpan w:val="3"/>
          </w:tcPr>
          <w:p>
            <w:pPr>
              <w:jc w:val="center"/>
              <w:ind w:left="68"/>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$4,125</w:t>
            </w: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$4,337</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$12,909</w:t>
            </w: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$13,243</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center"/>
              <w:ind w:left="88"/>
              <w:spacing w:after="0"/>
              <w:rPr>
                <w:sz w:val="20"/>
                <w:szCs w:val="20"/>
                <w:color w:val="auto"/>
              </w:rPr>
            </w:pPr>
            <w:r>
              <w:rPr>
                <w:rFonts w:ascii="Arial" w:cs="Arial" w:eastAsia="Arial" w:hAnsi="Arial"/>
                <w:sz w:val="14"/>
                <w:szCs w:val="14"/>
                <w:i w:val="1"/>
                <w:iCs w:val="1"/>
                <w:color w:val="auto"/>
              </w:rPr>
              <w: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right="40" w:hanging="252"/>
        <w:spacing w:after="0" w:line="251"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ind w:left="360"/>
              <w:spacing w:after="0"/>
              <w:rPr>
                <w:sz w:val="20"/>
                <w:szCs w:val="20"/>
                <w:color w:val="auto"/>
              </w:rPr>
            </w:pPr>
            <w:r>
              <w:rPr>
                <w:rFonts w:ascii="Arial" w:cs="Arial" w:eastAsia="Arial" w:hAnsi="Arial"/>
                <w:sz w:val="13"/>
                <w:szCs w:val="13"/>
                <w:color w:val="auto"/>
              </w:rPr>
              <w:t>Nine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ind w:left="500"/>
              <w:spacing w:after="0"/>
              <w:rPr>
                <w:sz w:val="20"/>
                <w:szCs w:val="20"/>
                <w:color w:val="auto"/>
              </w:rPr>
            </w:pPr>
            <w:r>
              <w:rPr>
                <w:rFonts w:ascii="Arial" w:cs="Arial" w:eastAsia="Arial" w:hAnsi="Arial"/>
                <w:sz w:val="13"/>
                <w:szCs w:val="13"/>
                <w:color w:val="auto"/>
              </w:rPr>
              <w:t>September 30,</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w:t>
            </w:r>
          </w:p>
        </w:tc>
        <w:tc>
          <w:tcPr>
            <w:tcW w:w="220" w:type="dxa"/>
            <w:vAlign w:val="bottom"/>
          </w:tcPr>
          <w:p>
            <w:pPr>
              <w:spacing w:after="0"/>
              <w:rPr>
                <w:sz w:val="14"/>
                <w:szCs w:val="14"/>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$2,424</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$1,949</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$1,861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$1,494</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4"/>
                <w:szCs w:val="14"/>
                <w:color w:val="auto"/>
              </w:rPr>
            </w:pPr>
          </w:p>
        </w:tc>
        <w:tc>
          <w:tcPr>
            <w:tcW w:w="800" w:type="dxa"/>
            <w:vAlign w:val="bottom"/>
          </w:tcPr>
          <w:p>
            <w:pPr>
              <w:jc w:val="center"/>
              <w:ind w:left="357"/>
              <w:spacing w:after="0"/>
              <w:rPr>
                <w:sz w:val="20"/>
                <w:szCs w:val="20"/>
                <w:color w:val="auto"/>
              </w:rPr>
            </w:pPr>
            <w:r>
              <w:rPr>
                <w:rFonts w:ascii="Arial" w:cs="Arial" w:eastAsia="Arial" w:hAnsi="Arial"/>
                <w:sz w:val="13"/>
                <w:szCs w:val="13"/>
                <w:color w:val="auto"/>
                <w:w w:val="98"/>
              </w:rPr>
              <w:t>($52)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ind w:left="377"/>
              <w:spacing w:after="0"/>
              <w:rPr>
                <w:sz w:val="20"/>
                <w:szCs w:val="20"/>
                <w:color w:val="auto"/>
              </w:rPr>
            </w:pPr>
            <w:r>
              <w:rPr>
                <w:rFonts w:ascii="Arial" w:cs="Arial" w:eastAsia="Arial" w:hAnsi="Arial"/>
                <w:sz w:val="13"/>
                <w:szCs w:val="13"/>
                <w:color w:val="auto"/>
                <w:w w:val="92"/>
              </w:rPr>
              <w:t>152</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c>
          <w:tcPr>
            <w:tcW w:w="220" w:type="dxa"/>
            <w:vAlign w:val="bottom"/>
          </w:tcPr>
          <w:p>
            <w:pPr>
              <w:spacing w:after="0"/>
              <w:rPr>
                <w:sz w:val="14"/>
                <w:szCs w:val="14"/>
                <w:color w:val="auto"/>
              </w:rPr>
            </w:pPr>
          </w:p>
        </w:tc>
        <w:tc>
          <w:tcPr>
            <w:tcW w:w="800" w:type="dxa"/>
            <w:vAlign w:val="bottom"/>
          </w:tcPr>
          <w:p>
            <w:pPr>
              <w:jc w:val="center"/>
              <w:ind w:left="377"/>
              <w:spacing w:after="0"/>
              <w:rPr>
                <w:sz w:val="20"/>
                <w:szCs w:val="20"/>
                <w:color w:val="auto"/>
              </w:rPr>
            </w:pPr>
            <w:r>
              <w:rPr>
                <w:rFonts w:ascii="Arial" w:cs="Arial" w:eastAsia="Arial" w:hAnsi="Arial"/>
                <w:sz w:val="13"/>
                <w:szCs w:val="13"/>
                <w:color w:val="auto"/>
                <w:w w:val="92"/>
              </w:rPr>
              <w:t>101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438</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center"/>
              <w:ind w:left="377"/>
              <w:spacing w:after="0"/>
              <w:rPr>
                <w:sz w:val="20"/>
                <w:szCs w:val="20"/>
                <w:color w:val="auto"/>
              </w:rPr>
            </w:pPr>
            <w:r>
              <w:rPr>
                <w:rFonts w:ascii="Arial" w:cs="Arial" w:eastAsia="Arial" w:hAnsi="Arial"/>
                <w:sz w:val="13"/>
                <w:szCs w:val="13"/>
                <w:color w:val="auto"/>
                <w:w w:val="92"/>
              </w:rPr>
              <w:t>$79</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60" w:right="140" w:hanging="252"/>
        <w:spacing w:after="0" w:line="248"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Year to date 2025 net income attributable to Comcast Corporation includes a $9.4 billion pre-tax gain in other income (loss), net, $7.1 billion net of tax, related to the sale of our interest in Hulu, net of an adjustment for related transaction and other costs of $20 million, $15 million net of tax, recognized in the 3rd quarter of 2025.</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Year to date 2025 net income attributable to Comcast Corporation includes a $177 million income tax benefit due to an internal corporate reorganization.</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Year to date 2025 net income attributable to Comcast Corporation includes $155 million of long-lived asset impairments.</w:t>
      </w:r>
    </w:p>
    <w:p>
      <w:pPr>
        <w:ind w:left="260" w:right="100" w:hanging="252"/>
        <w:spacing w:after="0" w:line="243"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3rd quarter and year to date 2025 net income attributable to Comcast Corporation includes $90 and $166 million, $79 and $146 million net of tax, respectively, of transaction-related costs related to the proposed separation of Versant.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2" w:lineRule="exact"/>
        <w:rPr>
          <w:rFonts w:ascii="Arial" w:cs="Arial" w:eastAsia="Arial" w:hAnsi="Arial"/>
          <w:sz w:val="13"/>
          <w:szCs w:val="13"/>
          <w:color w:val="auto"/>
        </w:rPr>
      </w:pPr>
    </w:p>
    <w:p>
      <w:pPr>
        <w:ind w:left="260" w:right="120" w:hanging="252"/>
        <w:spacing w:after="0" w:line="242"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3rd quarter and year to date 2025 net income attributable to Comcast Corporation includes $26 and $82 million, $23 and $72 million net of tax, respectively, of transaction costs related to the proposed separation of Versant. Transaction costs are incremental costs directly related to effectuating the proposed separation and primarily include legal, audit and advisory fees, and legal entity separation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6114415</wp:posOffset>
            </wp:positionH>
            <wp:positionV relativeFrom="page">
              <wp:posOffset>612140</wp:posOffset>
            </wp:positionV>
            <wp:extent cx="121729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640" w:type="dxa"/>
            <w:vAlign w:val="bottom"/>
          </w:tcPr>
          <w:p>
            <w:pPr>
              <w:spacing w:after="0"/>
              <w:rPr>
                <w:sz w:val="24"/>
                <w:szCs w:val="24"/>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40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September 30, 2024</w:t>
            </w:r>
          </w:p>
        </w:tc>
        <w:tc>
          <w:tcPr>
            <w:tcW w:w="100" w:type="dxa"/>
            <w:vAlign w:val="bottom"/>
          </w:tcPr>
          <w:p>
            <w:pPr>
              <w:spacing w:after="0"/>
              <w:rPr>
                <w:sz w:val="18"/>
                <w:szCs w:val="18"/>
                <w:color w:val="auto"/>
              </w:rPr>
            </w:pPr>
          </w:p>
        </w:tc>
        <w:tc>
          <w:tcPr>
            <w:tcW w:w="240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September 30, 2024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w w:val="98"/>
              </w:rPr>
              <w:t>Effects of</w:t>
            </w:r>
          </w:p>
        </w:tc>
        <w:tc>
          <w:tcPr>
            <w:tcW w:w="1180" w:type="dxa"/>
            <w:vAlign w:val="bottom"/>
            <w:tcBorders>
              <w:right w:val="single" w:sz="8" w:color="auto"/>
            </w:tcBorders>
            <w:gridSpan w:val="2"/>
          </w:tcPr>
          <w:p>
            <w:pPr>
              <w:ind w:left="2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w w:val="98"/>
              </w:rPr>
              <w:t>Effects of</w:t>
            </w:r>
          </w:p>
        </w:tc>
        <w:tc>
          <w:tcPr>
            <w:tcW w:w="860" w:type="dxa"/>
            <w:vAlign w:val="bottom"/>
          </w:tcPr>
          <w:p>
            <w:pPr>
              <w:jc w:val="right"/>
              <w:ind w:right="119"/>
              <w:spacing w:after="0" w:line="163" w:lineRule="exact"/>
              <w:rPr>
                <w:sz w:val="20"/>
                <w:szCs w:val="20"/>
                <w:color w:val="auto"/>
              </w:rPr>
            </w:pPr>
            <w:r>
              <w:rPr>
                <w:rFonts w:ascii="Arial" w:cs="Arial" w:eastAsia="Arial" w:hAnsi="Arial"/>
                <w:sz w:val="16"/>
                <w:szCs w:val="16"/>
                <w:color w:val="auto"/>
                <w:w w:val="99"/>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As Reported</w:t>
            </w: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18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4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860" w:type="dxa"/>
            <w:vAlign w:val="bottom"/>
          </w:tcPr>
          <w:p>
            <w:pPr>
              <w:jc w:val="right"/>
              <w:ind w:right="119"/>
              <w:spacing w:after="0" w:line="162" w:lineRule="exact"/>
              <w:rPr>
                <w:sz w:val="20"/>
                <w:szCs w:val="20"/>
                <w:color w:val="auto"/>
              </w:rPr>
            </w:pPr>
            <w:r>
              <w:rPr>
                <w:rFonts w:ascii="Arial" w:cs="Arial" w:eastAsia="Arial" w:hAnsi="Arial"/>
                <w:sz w:val="16"/>
                <w:szCs w:val="16"/>
                <w:color w:val="auto"/>
                <w:w w:val="98"/>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w w:val="98"/>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$17,866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$18,033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$53,558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$53,898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7,253</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7,255</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$20,291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$20,458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$60,812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$61,153</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$6,904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$20,859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$20,914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1,391</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4,136</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$8,295</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$24,996</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$25,050</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(20) bps</w:t>
            </w:r>
          </w:p>
        </w:tc>
        <w:tc>
          <w:tcPr>
            <w:tcW w:w="1040" w:type="dxa"/>
            <w:vAlign w:val="bottom"/>
          </w:tcPr>
          <w:p>
            <w:pPr>
              <w:jc w:val="right"/>
              <w:spacing w:after="0"/>
              <w:rPr>
                <w:sz w:val="20"/>
                <w:szCs w:val="20"/>
                <w:color w:val="auto"/>
              </w:rPr>
            </w:pPr>
            <w:r>
              <w:rPr>
                <w:rFonts w:ascii="Arial" w:cs="Arial" w:eastAsia="Arial" w:hAnsi="Arial"/>
                <w:sz w:val="16"/>
                <w:szCs w:val="16"/>
                <w:color w:val="auto"/>
              </w:rPr>
              <w:t>38.4%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auto"/>
              </w:rPr>
              <w:t>(10) bps</w:t>
            </w:r>
          </w:p>
        </w:tc>
        <w:tc>
          <w:tcPr>
            <w:tcW w:w="8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57.4%</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 bps</w:t>
            </w:r>
          </w:p>
        </w:tc>
        <w:tc>
          <w:tcPr>
            <w:tcW w:w="1040" w:type="dxa"/>
            <w:vAlign w:val="bottom"/>
          </w:tcPr>
          <w:p>
            <w:pPr>
              <w:jc w:val="right"/>
              <w:spacing w:after="0"/>
              <w:rPr>
                <w:sz w:val="20"/>
                <w:szCs w:val="20"/>
                <w:color w:val="auto"/>
              </w:rPr>
            </w:pPr>
            <w:r>
              <w:rPr>
                <w:rFonts w:ascii="Arial" w:cs="Arial" w:eastAsia="Arial" w:hAnsi="Arial"/>
                <w:sz w:val="16"/>
                <w:szCs w:val="16"/>
                <w:color w:val="auto"/>
              </w:rPr>
              <w:t>57.3%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auto"/>
              </w:rPr>
              <w:t>- bps</w:t>
            </w:r>
          </w:p>
        </w:tc>
        <w:tc>
          <w:tcPr>
            <w:tcW w:w="86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40.9%</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bps</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41.1%</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r>
        <w:trPr>
          <w:trHeight w:val="439"/>
        </w:trPr>
        <w:tc>
          <w:tcPr>
            <w:tcW w:w="4640" w:type="dxa"/>
            <w:vAlign w:val="bottom"/>
          </w:tcPr>
          <w:p>
            <w:pPr>
              <w:spacing w:after="0"/>
              <w:rPr>
                <w:sz w:val="24"/>
                <w:szCs w:val="24"/>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40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2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September 30, 2024</w:t>
            </w:r>
          </w:p>
        </w:tc>
        <w:tc>
          <w:tcPr>
            <w:tcW w:w="100" w:type="dxa"/>
            <w:vAlign w:val="bottom"/>
          </w:tcPr>
          <w:p>
            <w:pPr>
              <w:spacing w:after="0"/>
              <w:rPr>
                <w:sz w:val="18"/>
                <w:szCs w:val="18"/>
                <w:color w:val="auto"/>
              </w:rPr>
            </w:pPr>
          </w:p>
        </w:tc>
        <w:tc>
          <w:tcPr>
            <w:tcW w:w="240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September 30, 2024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w w:val="98"/>
              </w:rPr>
              <w:t>Effects of</w:t>
            </w:r>
          </w:p>
        </w:tc>
        <w:tc>
          <w:tcPr>
            <w:tcW w:w="1180" w:type="dxa"/>
            <w:vAlign w:val="bottom"/>
            <w:tcBorders>
              <w:right w:val="single" w:sz="8" w:color="auto"/>
            </w:tcBorders>
            <w:gridSpan w:val="2"/>
          </w:tcPr>
          <w:p>
            <w:pPr>
              <w:ind w:left="2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w w:val="98"/>
              </w:rPr>
              <w:t>Effects of</w:t>
            </w:r>
          </w:p>
        </w:tc>
        <w:tc>
          <w:tcPr>
            <w:tcW w:w="860" w:type="dxa"/>
            <w:vAlign w:val="bottom"/>
          </w:tcPr>
          <w:p>
            <w:pPr>
              <w:jc w:val="right"/>
              <w:ind w:right="119"/>
              <w:spacing w:after="0" w:line="163" w:lineRule="exact"/>
              <w:rPr>
                <w:sz w:val="20"/>
                <w:szCs w:val="20"/>
                <w:color w:val="auto"/>
              </w:rPr>
            </w:pPr>
            <w:r>
              <w:rPr>
                <w:rFonts w:ascii="Arial" w:cs="Arial" w:eastAsia="Arial" w:hAnsi="Arial"/>
                <w:sz w:val="16"/>
                <w:szCs w:val="16"/>
                <w:color w:val="auto"/>
                <w:w w:val="99"/>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As Reported</w:t>
            </w: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Foreign</w:t>
            </w:r>
          </w:p>
        </w:tc>
        <w:tc>
          <w:tcPr>
            <w:tcW w:w="118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4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860" w:type="dxa"/>
            <w:vAlign w:val="bottom"/>
          </w:tcPr>
          <w:p>
            <w:pPr>
              <w:jc w:val="right"/>
              <w:ind w:right="119"/>
              <w:spacing w:after="0" w:line="162" w:lineRule="exact"/>
              <w:rPr>
                <w:sz w:val="20"/>
                <w:szCs w:val="20"/>
                <w:color w:val="auto"/>
              </w:rPr>
            </w:pPr>
            <w:r>
              <w:rPr>
                <w:rFonts w:ascii="Arial" w:cs="Arial" w:eastAsia="Arial" w:hAnsi="Arial"/>
                <w:sz w:val="16"/>
                <w:szCs w:val="16"/>
                <w:color w:val="auto"/>
                <w:w w:val="98"/>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Currency</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w w:val="98"/>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00" w:type="dxa"/>
            <w:vAlign w:val="bottom"/>
          </w:tcPr>
          <w:p>
            <w:pPr>
              <w:jc w:val="right"/>
              <w:spacing w:after="0"/>
              <w:rPr>
                <w:sz w:val="20"/>
                <w:szCs w:val="20"/>
                <w:color w:val="auto"/>
              </w:rPr>
            </w:pPr>
            <w:r>
              <w:rPr>
                <w:rFonts w:ascii="Arial" w:cs="Arial" w:eastAsia="Arial" w:hAnsi="Arial"/>
                <w:sz w:val="16"/>
                <w:szCs w:val="16"/>
                <w:color w:val="auto"/>
              </w:rPr>
              <w:t>$6,400</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$6,400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$19,276</w:t>
            </w:r>
          </w:p>
        </w:tc>
        <w:tc>
          <w:tcPr>
            <w:tcW w:w="8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$19,276</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00" w:type="dxa"/>
            <w:vAlign w:val="bottom"/>
          </w:tcPr>
          <w:p>
            <w:pPr>
              <w:jc w:val="right"/>
              <w:spacing w:after="0"/>
              <w:rPr>
                <w:sz w:val="20"/>
                <w:szCs w:val="20"/>
                <w:color w:val="auto"/>
              </w:rPr>
            </w:pPr>
            <w:r>
              <w:rPr>
                <w:rFonts w:ascii="Arial" w:cs="Arial" w:eastAsia="Arial" w:hAnsi="Arial"/>
                <w:sz w:val="16"/>
                <w:szCs w:val="16"/>
                <w:color w:val="auto"/>
              </w:rPr>
              <w:t>1,093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3,084</w:t>
            </w:r>
          </w:p>
        </w:tc>
        <w:tc>
          <w:tcPr>
            <w:tcW w:w="8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11"/>
        </w:trPr>
        <w:tc>
          <w:tcPr>
            <w:tcW w:w="464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$8,644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$8,688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$25,599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$25,694</w:t>
            </w: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Video</w:t>
            </w:r>
          </w:p>
        </w:tc>
        <w:tc>
          <w:tcPr>
            <w:tcW w:w="1000" w:type="dxa"/>
            <w:vAlign w:val="bottom"/>
          </w:tcPr>
          <w:p>
            <w:pPr>
              <w:jc w:val="right"/>
              <w:spacing w:after="0"/>
              <w:rPr>
                <w:sz w:val="20"/>
                <w:szCs w:val="20"/>
                <w:color w:val="auto"/>
              </w:rPr>
            </w:pPr>
            <w:r>
              <w:rPr>
                <w:rFonts w:ascii="Arial" w:cs="Arial" w:eastAsia="Arial" w:hAnsi="Arial"/>
                <w:sz w:val="16"/>
                <w:szCs w:val="16"/>
                <w:color w:val="auto"/>
              </w:rPr>
              <w:t>6,938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21,055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21,242</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0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$17,866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$18,033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$53,558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$53,898</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000" w:type="dxa"/>
            <w:vAlign w:val="bottom"/>
          </w:tcPr>
          <w:p>
            <w:pPr>
              <w:jc w:val="right"/>
              <w:spacing w:after="0"/>
              <w:rPr>
                <w:sz w:val="20"/>
                <w:szCs w:val="20"/>
                <w:color w:val="auto"/>
              </w:rPr>
            </w:pPr>
            <w:r>
              <w:rPr>
                <w:rFonts w:ascii="Arial" w:cs="Arial" w:eastAsia="Arial" w:hAnsi="Arial"/>
                <w:sz w:val="16"/>
                <w:szCs w:val="16"/>
                <w:color w:val="auto"/>
              </w:rPr>
              <w:t>$4,102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$12,756</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$12,862</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19,943</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20,123</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$10,962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$11,105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$32,699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$32,984</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$6,904</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$6,928</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$20,859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$20,914</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 bps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(10) bps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40" w:top="100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64770</wp:posOffset>
            </wp:positionV>
            <wp:extent cx="10287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280" w:type="dxa"/>
            <w:vAlign w:val="bottom"/>
            <w:tcBorders>
              <w:right w:val="single" w:sz="8" w:color="auto"/>
            </w:tcBorders>
            <w:gridSpan w:val="6"/>
            <w:vMerge w:val="restart"/>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6"/>
                <w:szCs w:val="16"/>
                <w:color w:val="auto"/>
              </w:rPr>
            </w:pPr>
          </w:p>
        </w:tc>
        <w:tc>
          <w:tcPr>
            <w:tcW w:w="3200" w:type="dxa"/>
            <w:vAlign w:val="bottom"/>
            <w:gridSpan w:val="6"/>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3280" w:type="dxa"/>
            <w:vAlign w:val="bottom"/>
            <w:tcBorders>
              <w:right w:val="single" w:sz="8" w:color="auto"/>
            </w:tcBorders>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10"/>
        </w:trPr>
        <w:tc>
          <w:tcPr>
            <w:tcW w:w="4620" w:type="dxa"/>
            <w:vAlign w:val="bottom"/>
          </w:tcPr>
          <w:p>
            <w:pPr>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$6,589</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$8,231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$19,470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$20,926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16"/>
                <w:szCs w:val="16"/>
                <w:color w:val="auto"/>
              </w:rPr>
              <w:t>Paris Olympics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620" w:type="dxa"/>
            <w:vAlign w:val="bottom"/>
          </w:tcPr>
          <w:p>
            <w:pPr>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$6,589</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$19,470</w:t>
            </w:r>
          </w:p>
        </w:tc>
        <w:tc>
          <w:tcPr>
            <w:tcW w:w="10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Domestic Advertising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326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Borders>
              <w:left w:val="single" w:sz="8" w:color="auto"/>
            </w:tcBorders>
          </w:tcPr>
          <w:p>
            <w:pPr>
              <w:spacing w:after="0"/>
              <w:rPr>
                <w:sz w:val="21"/>
                <w:szCs w:val="21"/>
                <w:color w:val="auto"/>
              </w:rPr>
            </w:pPr>
          </w:p>
        </w:tc>
        <w:tc>
          <w:tcPr>
            <w:tcW w:w="3200" w:type="dxa"/>
            <w:vAlign w:val="bottom"/>
            <w:gridSpan w:val="6"/>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60" w:type="dxa"/>
            <w:vAlign w:val="bottom"/>
            <w:gridSpan w:val="6"/>
            <w:vMerge w:val="continue"/>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10"/>
        </w:trPr>
        <w:tc>
          <w:tcPr>
            <w:tcW w:w="4640" w:type="dxa"/>
            <w:vAlign w:val="bottom"/>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$1,964</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$5,698</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18"/>
        </w:trPr>
        <w:tc>
          <w:tcPr>
            <w:tcW w:w="4640" w:type="dxa"/>
            <w:vAlign w:val="bottom"/>
          </w:tcPr>
          <w:p>
            <w:pPr>
              <w:ind w:left="20"/>
              <w:spacing w:after="0"/>
              <w:rPr>
                <w:sz w:val="20"/>
                <w:szCs w:val="20"/>
                <w:color w:val="auto"/>
              </w:rPr>
            </w:pPr>
            <w:r>
              <w:rPr>
                <w:rFonts w:ascii="Arial" w:cs="Arial" w:eastAsia="Arial" w:hAnsi="Arial"/>
                <w:sz w:val="16"/>
                <w:szCs w:val="16"/>
                <w:color w:val="auto"/>
              </w:rPr>
              <w:t>Paris Olympics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40" w:type="dxa"/>
            <w:vAlign w:val="bottom"/>
          </w:tcPr>
          <w:p>
            <w:pPr>
              <w:ind w:left="20"/>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$1,964</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$5,698</w:t>
            </w:r>
          </w:p>
        </w:tc>
        <w:tc>
          <w:tcPr>
            <w:tcW w:w="10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004EA8"/>
            </w:tcBorders>
            <w:gridSpan w:val="8"/>
          </w:tcPr>
          <w:p>
            <w:pPr>
              <w:ind w:left="20"/>
              <w:spacing w:after="0"/>
              <w:rPr>
                <w:sz w:val="20"/>
                <w:szCs w:val="20"/>
                <w:color w:val="auto"/>
              </w:rPr>
            </w:pPr>
            <w:r>
              <w:rPr>
                <w:rFonts w:ascii="Arial" w:cs="Arial" w:eastAsia="Arial" w:hAnsi="Arial"/>
                <w:sz w:val="19"/>
                <w:szCs w:val="19"/>
                <w:b w:val="1"/>
                <w:bCs w:val="1"/>
                <w:color w:val="828282"/>
              </w:rPr>
              <w:t>Reconciliation of Media Domestic Distribution Revenue Excluding Olympics (Unaudited)</w:t>
            </w:r>
          </w:p>
        </w:tc>
        <w:tc>
          <w:tcPr>
            <w:tcW w:w="940" w:type="dxa"/>
            <w:vAlign w:val="bottom"/>
            <w:tcBorders>
              <w:bottom w:val="single" w:sz="8" w:color="004EA8"/>
            </w:tcBorders>
          </w:tcPr>
          <w:p>
            <w:pPr>
              <w:spacing w:after="0"/>
              <w:rPr>
                <w:sz w:val="20"/>
                <w:szCs w:val="20"/>
                <w:color w:val="auto"/>
              </w:rPr>
            </w:pPr>
          </w:p>
        </w:tc>
        <w:tc>
          <w:tcPr>
            <w:tcW w:w="100" w:type="dxa"/>
            <w:vAlign w:val="bottom"/>
            <w:tcBorders>
              <w:bottom w:val="single" w:sz="8" w:color="004EA8"/>
            </w:tcBorders>
          </w:tcPr>
          <w:p>
            <w:pPr>
              <w:spacing w:after="0"/>
              <w:rPr>
                <w:sz w:val="20"/>
                <w:szCs w:val="20"/>
                <w:color w:val="auto"/>
              </w:rPr>
            </w:pPr>
          </w:p>
        </w:tc>
        <w:tc>
          <w:tcPr>
            <w:tcW w:w="940" w:type="dxa"/>
            <w:vAlign w:val="bottom"/>
            <w:tcBorders>
              <w:bottom w:val="single" w:sz="8" w:color="004EA8"/>
            </w:tcBorders>
          </w:tcPr>
          <w:p>
            <w:pPr>
              <w:spacing w:after="0"/>
              <w:rPr>
                <w:sz w:val="20"/>
                <w:szCs w:val="20"/>
                <w:color w:val="auto"/>
              </w:rPr>
            </w:pPr>
          </w:p>
        </w:tc>
        <w:tc>
          <w:tcPr>
            <w:tcW w:w="100" w:type="dxa"/>
            <w:vAlign w:val="bottom"/>
            <w:tcBorders>
              <w:bottom w:val="single" w:sz="8" w:color="004EA8"/>
            </w:tcBorders>
          </w:tcPr>
          <w:p>
            <w:pPr>
              <w:spacing w:after="0"/>
              <w:rPr>
                <w:sz w:val="20"/>
                <w:szCs w:val="20"/>
                <w:color w:val="auto"/>
              </w:rPr>
            </w:pPr>
          </w:p>
        </w:tc>
        <w:tc>
          <w:tcPr>
            <w:tcW w:w="160" w:type="dxa"/>
            <w:vAlign w:val="bottom"/>
            <w:tcBorders>
              <w:bottom w:val="single" w:sz="8" w:color="004EA8"/>
            </w:tcBorders>
          </w:tcPr>
          <w:p>
            <w:pPr>
              <w:spacing w:after="0"/>
              <w:rPr>
                <w:sz w:val="20"/>
                <w:szCs w:val="20"/>
                <w:color w:val="auto"/>
              </w:rPr>
            </w:pPr>
          </w:p>
        </w:tc>
        <w:tc>
          <w:tcPr>
            <w:tcW w:w="960" w:type="dxa"/>
            <w:vAlign w:val="bottom"/>
            <w:tcBorders>
              <w:bottom w:val="single" w:sz="8" w:color="004EA8"/>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326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0"/>
                <w:szCs w:val="20"/>
                <w:color w:val="auto"/>
              </w:rPr>
            </w:pPr>
          </w:p>
        </w:tc>
        <w:tc>
          <w:tcPr>
            <w:tcW w:w="32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97"/>
        </w:trPr>
        <w:tc>
          <w:tcPr>
            <w:tcW w:w="4640" w:type="dxa"/>
            <w:vAlign w:val="bottom"/>
          </w:tcPr>
          <w:p>
            <w:pPr>
              <w:spacing w:after="0"/>
              <w:rPr>
                <w:sz w:val="24"/>
                <w:szCs w:val="24"/>
                <w:color w:val="auto"/>
              </w:rPr>
            </w:pPr>
          </w:p>
        </w:tc>
        <w:tc>
          <w:tcPr>
            <w:tcW w:w="3260" w:type="dxa"/>
            <w:vAlign w:val="bottom"/>
            <w:gridSpan w:val="6"/>
            <w:vMerge w:val="continue"/>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32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260" w:type="dxa"/>
            <w:vAlign w:val="bottom"/>
            <w:gridSpan w:val="6"/>
            <w:vMerge w:val="continue"/>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59"/>
        </w:trPr>
        <w:tc>
          <w:tcPr>
            <w:tcW w:w="4640" w:type="dxa"/>
            <w:vAlign w:val="bottom"/>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$2,841</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$8,575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18"/>
        </w:trPr>
        <w:tc>
          <w:tcPr>
            <w:tcW w:w="4640" w:type="dxa"/>
            <w:vAlign w:val="bottom"/>
          </w:tcPr>
          <w:p>
            <w:pPr>
              <w:ind w:left="20"/>
              <w:spacing w:after="0"/>
              <w:rPr>
                <w:sz w:val="20"/>
                <w:szCs w:val="20"/>
                <w:color w:val="auto"/>
              </w:rPr>
            </w:pPr>
            <w:r>
              <w:rPr>
                <w:rFonts w:ascii="Arial" w:cs="Arial" w:eastAsia="Arial" w:hAnsi="Arial"/>
                <w:sz w:val="16"/>
                <w:szCs w:val="16"/>
                <w:color w:val="auto"/>
              </w:rPr>
              <w:t>Paris Olympics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40" w:type="dxa"/>
            <w:vAlign w:val="bottom"/>
          </w:tcPr>
          <w:p>
            <w:pPr>
              <w:ind w:left="20"/>
              <w:spacing w:after="0"/>
              <w:rPr>
                <w:sz w:val="20"/>
                <w:szCs w:val="20"/>
                <w:color w:val="auto"/>
              </w:rPr>
            </w:pPr>
            <w:r>
              <w:rPr>
                <w:rFonts w:ascii="Arial" w:cs="Arial" w:eastAsia="Arial" w:hAnsi="Arial"/>
                <w:sz w:val="16"/>
                <w:szCs w:val="16"/>
                <w:color w:val="auto"/>
              </w:rPr>
              <w:t>Revenue excluding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$2,841</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$8,575</w:t>
            </w:r>
          </w:p>
        </w:tc>
        <w:tc>
          <w:tcPr>
            <w:tcW w:w="10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979"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2025-10-30T06:29:27Z</dcterms:created>
  <dcterms:modified xsi:type="dcterms:W3CDTF">2025-10-30T06:29:27Z</dcterms:modified>
</cp:coreProperties>
</file>