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267970</wp:posOffset>
            </wp:positionH>
            <wp:positionV relativeFrom="page">
              <wp:posOffset>483235</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448945</wp:posOffset>
            </wp:positionV>
            <wp:extent cx="7012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FORM 10-Q</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0" w:lineRule="exact"/>
        <w:rPr>
          <w:sz w:val="24"/>
          <w:szCs w:val="24"/>
          <w:color w:val="auto"/>
        </w:rPr>
      </w:pPr>
    </w:p>
    <w:p>
      <w:pPr>
        <w:ind w:left="980" w:hanging="810"/>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940" w:hanging="770"/>
        <w:spacing w:after="0"/>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20"/>
        <w:spacing w:after="0"/>
        <w:tabs>
          <w:tab w:leader="none" w:pos="70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105410</wp:posOffset>
            </wp:positionV>
            <wp:extent cx="318008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9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color w:val="auto"/>
                <w:w w:val="99"/>
              </w:rPr>
              <w:t>Exact Name of Registrant; State of</w:t>
            </w:r>
          </w:p>
        </w:tc>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4160" w:type="dxa"/>
            <w:vAlign w:val="bottom"/>
          </w:tcPr>
          <w:p>
            <w:pPr>
              <w:spacing w:after="0"/>
              <w:rPr>
                <w:sz w:val="15"/>
                <w:szCs w:val="15"/>
                <w:color w:val="auto"/>
              </w:rPr>
            </w:pPr>
          </w:p>
        </w:tc>
        <w:tc>
          <w:tcPr>
            <w:tcW w:w="2940" w:type="dxa"/>
            <w:vAlign w:val="bottom"/>
            <w:gridSpan w:val="6"/>
          </w:tcPr>
          <w:p>
            <w:pPr>
              <w:jc w:val="center"/>
              <w:ind w:right="60"/>
              <w:spacing w:after="0" w:line="176" w:lineRule="exact"/>
              <w:rPr>
                <w:sz w:val="20"/>
                <w:szCs w:val="20"/>
                <w:color w:val="auto"/>
              </w:rPr>
            </w:pPr>
            <w:r>
              <w:rPr>
                <w:rFonts w:ascii="Times New Roman" w:cs="Times New Roman" w:eastAsia="Times New Roman" w:hAnsi="Times New Roman"/>
                <w:sz w:val="18"/>
                <w:szCs w:val="18"/>
                <w:color w:val="auto"/>
                <w:w w:val="99"/>
              </w:rPr>
              <w:t>Incorporation; Address and Telephone</w:t>
            </w:r>
          </w:p>
        </w:tc>
        <w:tc>
          <w:tcPr>
            <w:tcW w:w="4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4160" w:type="dxa"/>
            <w:vAlign w:val="bottom"/>
            <w:tcBorders>
              <w:bottom w:val="single" w:sz="8" w:color="auto"/>
            </w:tcBorders>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4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8"/>
                <w:szCs w:val="18"/>
                <w:color w:val="auto"/>
              </w:rPr>
              <w:t>Number of Principal Executive Offices</w:t>
            </w:r>
          </w:p>
        </w:tc>
        <w:tc>
          <w:tcPr>
            <w:tcW w:w="4080" w:type="dxa"/>
            <w:vAlign w:val="bottom"/>
            <w:tcBorders>
              <w:bottom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20" w:type="dxa"/>
            <w:vAlign w:val="bottom"/>
          </w:tcPr>
          <w:p>
            <w:pPr>
              <w:spacing w:after="0"/>
              <w:rPr>
                <w:sz w:val="21"/>
                <w:szCs w:val="21"/>
                <w:color w:val="auto"/>
              </w:rPr>
            </w:pPr>
          </w:p>
        </w:tc>
      </w:tr>
      <w:tr>
        <w:trPr>
          <w:trHeight w:val="232"/>
        </w:trPr>
        <w:tc>
          <w:tcPr>
            <w:tcW w:w="4160" w:type="dxa"/>
            <w:vAlign w:val="bottom"/>
          </w:tcPr>
          <w:p>
            <w:pPr>
              <w:jc w:val="right"/>
              <w:ind w:right="2130"/>
              <w:spacing w:after="0"/>
              <w:rPr>
                <w:sz w:val="20"/>
                <w:szCs w:val="20"/>
                <w:color w:val="auto"/>
              </w:rPr>
            </w:pPr>
            <w:r>
              <w:rPr>
                <w:rFonts w:ascii="Times New Roman" w:cs="Times New Roman" w:eastAsia="Times New Roman" w:hAnsi="Times New Roman"/>
                <w:sz w:val="18"/>
                <w:szCs w:val="18"/>
                <w:b w:val="1"/>
                <w:bCs w:val="1"/>
                <w:color w:val="auto"/>
              </w:rPr>
              <w:t>001-32871</w:t>
            </w:r>
          </w:p>
        </w:tc>
        <w:tc>
          <w:tcPr>
            <w:tcW w:w="220" w:type="dxa"/>
            <w:vAlign w:val="bottom"/>
          </w:tcPr>
          <w:p>
            <w:pPr>
              <w:spacing w:after="0"/>
              <w:rPr>
                <w:sz w:val="20"/>
                <w:szCs w:val="20"/>
                <w:color w:val="auto"/>
              </w:rPr>
            </w:pPr>
          </w:p>
        </w:tc>
        <w:tc>
          <w:tcPr>
            <w:tcW w:w="27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COMCAST CORPORATION</w:t>
            </w:r>
          </w:p>
        </w:tc>
        <w:tc>
          <w:tcPr>
            <w:tcW w:w="408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27-0000798</w:t>
            </w:r>
          </w:p>
        </w:tc>
        <w:tc>
          <w:tcPr>
            <w:tcW w:w="20" w:type="dxa"/>
            <w:vAlign w:val="bottom"/>
          </w:tcPr>
          <w:p>
            <w:pPr>
              <w:spacing w:after="0"/>
              <w:rPr>
                <w:sz w:val="20"/>
                <w:szCs w:val="20"/>
                <w:color w:val="auto"/>
              </w:rPr>
            </w:pPr>
          </w:p>
        </w:tc>
      </w:tr>
      <w:tr>
        <w:trPr>
          <w:trHeight w:val="266"/>
        </w:trPr>
        <w:tc>
          <w:tcPr>
            <w:tcW w:w="4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Philadelphia, PA 19103-2838</w:t>
            </w:r>
          </w:p>
        </w:tc>
        <w:tc>
          <w:tcPr>
            <w:tcW w:w="4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(215) 286-1700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20" w:type="dxa"/>
            <w:vAlign w:val="bottom"/>
          </w:tcPr>
          <w:p>
            <w:pPr>
              <w:spacing w:after="0"/>
              <w:rPr>
                <w:sz w:val="24"/>
                <w:szCs w:val="24"/>
                <w:color w:val="auto"/>
              </w:rPr>
            </w:pPr>
          </w:p>
        </w:tc>
      </w:tr>
      <w:tr>
        <w:trPr>
          <w:trHeight w:val="218"/>
        </w:trPr>
        <w:tc>
          <w:tcPr>
            <w:tcW w:w="41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080" w:type="dxa"/>
            <w:vAlign w:val="bottom"/>
            <w:tcBorders>
              <w:top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CMCS27</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CMCS29A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CMCS32</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CMCS32A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CMCS36</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CMCS36A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CMCS40</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29"/>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CMCS40A</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20" w:type="dxa"/>
            <w:vAlign w:val="bottom"/>
          </w:tcPr>
          <w:p>
            <w:pPr>
              <w:spacing w:after="0"/>
              <w:rPr>
                <w:sz w:val="19"/>
                <w:szCs w:val="19"/>
                <w:color w:val="auto"/>
              </w:rPr>
            </w:pPr>
          </w:p>
        </w:tc>
      </w:tr>
      <w:tr>
        <w:trPr>
          <w:trHeight w:val="230"/>
        </w:trPr>
        <w:tc>
          <w:tcPr>
            <w:tcW w:w="416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rPr>
              <w:t>CCGBP29</w:t>
            </w:r>
          </w:p>
        </w:tc>
        <w:tc>
          <w:tcPr>
            <w:tcW w:w="408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Pr>
          <w:p>
            <w:pPr>
              <w:spacing w:after="0"/>
              <w:rPr>
                <w:sz w:val="19"/>
                <w:szCs w:val="19"/>
                <w:color w:val="auto"/>
              </w:rPr>
            </w:pPr>
          </w:p>
        </w:tc>
      </w:tr>
      <w:tr>
        <w:trPr>
          <w:trHeight w:val="234"/>
        </w:trPr>
        <w:tc>
          <w:tcPr>
            <w:tcW w:w="4380" w:type="dxa"/>
            <w:vAlign w:val="bottom"/>
            <w:tcBorders>
              <w:bottom w:val="single" w:sz="8" w:color="auto"/>
            </w:tcBorders>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9"/>
              </w:rPr>
              <w:t>2.0% Exchangeable Subordinated Debentures due 2029</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CCZ</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center"/>
              <w:ind w:right="430"/>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20" w:type="dxa"/>
            <w:vAlign w:val="bottom"/>
            <w:tcBorders>
              <w:bottom w:val="single" w:sz="8" w:color="auto"/>
            </w:tcBorders>
          </w:tcPr>
          <w:p>
            <w:pPr>
              <w:spacing w:after="0"/>
              <w:rPr>
                <w:sz w:val="20"/>
                <w:szCs w:val="20"/>
                <w:color w:val="auto"/>
              </w:rPr>
            </w:pPr>
          </w:p>
        </w:tc>
      </w:tr>
    </w:tbl>
    <w:p>
      <w:pPr>
        <w:spacing w:after="0" w:line="194"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5"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17"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w:t>
            </w:r>
          </w:p>
        </w:tc>
        <w:tc>
          <w:tcPr>
            <w:tcW w:w="500" w:type="dxa"/>
            <w:vAlign w:val="bottom"/>
          </w:tcPr>
          <w:p>
            <w:pPr>
              <w:ind w:left="160"/>
              <w:spacing w:after="0" w:line="171" w:lineRule="exact"/>
              <w:rPr>
                <w:sz w:val="20"/>
                <w:szCs w:val="20"/>
                <w:color w:val="auto"/>
              </w:rPr>
            </w:pPr>
            <w:r>
              <w:rPr>
                <w:rFonts w:ascii="MS PGothic" w:cs="MS PGothic" w:eastAsia="MS PGothic" w:hAnsi="MS PGothic"/>
                <w:sz w:val="17"/>
                <w:szCs w:val="17"/>
                <w:color w:val="auto"/>
              </w:rPr>
              <w:t>☒</w:t>
            </w:r>
          </w:p>
        </w:tc>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Accelerated filer</w:t>
            </w:r>
          </w:p>
        </w:tc>
        <w:tc>
          <w:tcPr>
            <w:tcW w:w="360" w:type="dxa"/>
            <w:vAlign w:val="bottom"/>
          </w:tcPr>
          <w:p>
            <w:pPr>
              <w:ind w:left="80"/>
              <w:spacing w:after="0" w:line="171" w:lineRule="exact"/>
              <w:rPr>
                <w:sz w:val="20"/>
                <w:szCs w:val="20"/>
                <w:color w:val="auto"/>
              </w:rPr>
            </w:pPr>
            <w:r>
              <w:rPr>
                <w:rFonts w:ascii="MS PGothic" w:cs="MS PGothic" w:eastAsia="MS PGothic" w:hAnsi="MS PGothic"/>
                <w:sz w:val="17"/>
                <w:szCs w:val="17"/>
                <w:color w:val="auto"/>
              </w:rPr>
              <w:t>☐</w:t>
            </w:r>
          </w:p>
        </w:tc>
        <w:tc>
          <w:tcPr>
            <w:tcW w:w="16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Non-accelerated filer</w:t>
            </w:r>
          </w:p>
        </w:tc>
        <w:tc>
          <w:tcPr>
            <w:tcW w:w="420" w:type="dxa"/>
            <w:vAlign w:val="bottom"/>
          </w:tcPr>
          <w:p>
            <w:pPr>
              <w:ind w:left="60"/>
              <w:spacing w:after="0" w:line="171" w:lineRule="exact"/>
              <w:rPr>
                <w:sz w:val="20"/>
                <w:szCs w:val="20"/>
                <w:color w:val="auto"/>
              </w:rPr>
            </w:pPr>
            <w:r>
              <w:rPr>
                <w:rFonts w:ascii="MS PGothic" w:cs="MS PGothic" w:eastAsia="MS PGothic" w:hAnsi="MS PGothic"/>
                <w:sz w:val="17"/>
                <w:szCs w:val="17"/>
                <w:color w:val="auto"/>
              </w:rPr>
              <w:t>☐</w:t>
            </w: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Smaller reporting</w:t>
            </w:r>
          </w:p>
        </w:tc>
        <w:tc>
          <w:tcPr>
            <w:tcW w:w="6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rPr>
              <w:t>☐</w:t>
            </w: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Emerging growth</w:t>
            </w:r>
          </w:p>
        </w:tc>
        <w:tc>
          <w:tcPr>
            <w:tcW w:w="500" w:type="dxa"/>
            <w:vAlign w:val="bottom"/>
          </w:tcPr>
          <w:p>
            <w:pPr>
              <w:ind w:left="3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20"/>
                <w:szCs w:val="20"/>
                <w:color w:val="auto"/>
              </w:rPr>
            </w:pPr>
            <w:r>
              <w:rPr>
                <w:rFonts w:ascii="Times New Roman" w:cs="Times New Roman" w:eastAsia="Times New Roman" w:hAnsi="Times New Roman"/>
                <w:sz w:val="17"/>
                <w:szCs w:val="17"/>
                <w:color w:val="auto"/>
              </w:rPr>
              <w:t>filer</w:t>
            </w:r>
          </w:p>
        </w:tc>
        <w:tc>
          <w:tcPr>
            <w:tcW w:w="5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company</w:t>
            </w:r>
          </w:p>
        </w:tc>
        <w:tc>
          <w:tcPr>
            <w:tcW w:w="60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company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1" w:lineRule="exact"/>
        <w:rPr>
          <w:sz w:val="24"/>
          <w:szCs w:val="24"/>
          <w:color w:val="auto"/>
        </w:rPr>
      </w:pPr>
    </w:p>
    <w:p>
      <w:pPr>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April 15, 2025, there were 3,724,259,552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203200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168910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3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93"/>
        </w:trPr>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tcBorders>
              <w:bottom w:val="single" w:sz="8" w:color="0000FF"/>
            </w:tcBorders>
            <w:gridSpan w:val="11"/>
          </w:tcPr>
          <w:p>
            <w:pPr>
              <w:spacing w:after="0" w:line="188" w:lineRule="exact"/>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4780" w:type="dxa"/>
            <w:vAlign w:val="bottom"/>
            <w:gridSpan w:val="17"/>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(Unaudited)</w:t>
            </w:r>
          </w:p>
        </w:tc>
        <w:tc>
          <w:tcPr>
            <w:tcW w:w="2140" w:type="dxa"/>
            <w:vAlign w:val="bottom"/>
            <w:gridSpan w:val="7"/>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(Unaudited)</w:t>
            </w: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760" w:type="dxa"/>
            <w:vAlign w:val="bottom"/>
            <w:tcBorders>
              <w:top w:val="single" w:sz="8" w:color="0000FF"/>
            </w:tcBorders>
            <w:gridSpan w:val="5"/>
          </w:tcPr>
          <w:p>
            <w:pPr>
              <w:spacing w:after="0"/>
              <w:rPr>
                <w:sz w:val="18"/>
                <w:szCs w:val="18"/>
                <w:color w:val="auto"/>
              </w:rPr>
            </w:pPr>
          </w:p>
        </w:tc>
        <w:tc>
          <w:tcPr>
            <w:tcW w:w="1840" w:type="dxa"/>
            <w:vAlign w:val="bottom"/>
            <w:gridSpan w:val="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Equity (Unaudited)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0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60" w:type="dxa"/>
            <w:vAlign w:val="bottom"/>
            <w:gridSpan w:val="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394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1: Condensed Consolidated Financial Statements</w:t>
            </w:r>
          </w:p>
        </w:tc>
        <w:tc>
          <w:tcPr>
            <w:tcW w:w="540" w:type="dxa"/>
            <w:vAlign w:val="bottom"/>
            <w:tcBorders>
              <w:top w:val="single" w:sz="8" w:color="0000FF"/>
            </w:tcBorders>
            <w:gridSpan w:val="2"/>
          </w:tcPr>
          <w:p>
            <w:pPr>
              <w:spacing w:after="0"/>
              <w:rPr>
                <w:sz w:val="18"/>
                <w:szCs w:val="18"/>
                <w:color w:val="auto"/>
              </w:rPr>
            </w:pPr>
          </w:p>
        </w:tc>
        <w:tc>
          <w:tcPr>
            <w:tcW w:w="1560" w:type="dxa"/>
            <w:vAlign w:val="bottom"/>
            <w:gridSpan w:val="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2: Segment Information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Note 3: Revenue</w:t>
            </w:r>
          </w:p>
        </w:tc>
        <w:tc>
          <w:tcPr>
            <w:tcW w:w="900" w:type="dxa"/>
            <w:vAlign w:val="bottom"/>
            <w:tcBorders>
              <w:top w:val="single" w:sz="8" w:color="0000FF"/>
            </w:tcBorders>
            <w:gridSpan w:val="3"/>
          </w:tcPr>
          <w:p>
            <w:pPr>
              <w:spacing w:after="0"/>
              <w:rPr>
                <w:sz w:val="18"/>
                <w:szCs w:val="18"/>
                <w:color w:val="auto"/>
              </w:rPr>
            </w:pPr>
          </w:p>
        </w:tc>
        <w:tc>
          <w:tcPr>
            <w:tcW w:w="3920" w:type="dxa"/>
            <w:vAlign w:val="bottom"/>
            <w:gridSpan w:val="1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4: Programming and Production Costs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 5: Debt</w:t>
            </w:r>
          </w:p>
        </w:tc>
        <w:tc>
          <w:tcPr>
            <w:tcW w:w="2220" w:type="dxa"/>
            <w:vAlign w:val="bottom"/>
            <w:tcBorders>
              <w:top w:val="single" w:sz="8" w:color="0000FF"/>
            </w:tcBorders>
            <w:gridSpan w:val="9"/>
          </w:tcPr>
          <w:p>
            <w:pPr>
              <w:spacing w:after="0"/>
              <w:rPr>
                <w:sz w:val="18"/>
                <w:szCs w:val="18"/>
                <w:color w:val="auto"/>
              </w:rPr>
            </w:pPr>
          </w:p>
        </w:tc>
        <w:tc>
          <w:tcPr>
            <w:tcW w:w="2880" w:type="dxa"/>
            <w:vAlign w:val="bottom"/>
            <w:gridSpan w:val="1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 6: Significant Transactions</w:t>
            </w:r>
          </w:p>
        </w:tc>
        <w:tc>
          <w:tcPr>
            <w:tcW w:w="3700" w:type="dxa"/>
            <w:vAlign w:val="bottom"/>
            <w:gridSpan w:val="14"/>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7: Investments and Variable Interest Entities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 8: Equity and Share-Based Compensation</w:t>
            </w:r>
          </w:p>
        </w:tc>
        <w:tc>
          <w:tcPr>
            <w:tcW w:w="160" w:type="dxa"/>
            <w:vAlign w:val="bottom"/>
            <w:tcBorders>
              <w:top w:val="single" w:sz="8" w:color="0000FF"/>
            </w:tcBorders>
            <w:gridSpan w:val="2"/>
          </w:tcPr>
          <w:p>
            <w:pPr>
              <w:spacing w:after="0"/>
              <w:rPr>
                <w:sz w:val="18"/>
                <w:szCs w:val="18"/>
                <w:color w:val="auto"/>
              </w:rPr>
            </w:pPr>
          </w:p>
        </w:tc>
        <w:tc>
          <w:tcPr>
            <w:tcW w:w="2460" w:type="dxa"/>
            <w:vAlign w:val="bottom"/>
            <w:gridSpan w:val="8"/>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 9: Supplemental Financial Information</w:t>
            </w:r>
          </w:p>
        </w:tc>
        <w:tc>
          <w:tcPr>
            <w:tcW w:w="2840" w:type="dxa"/>
            <w:vAlign w:val="bottom"/>
            <w:gridSpan w:val="11"/>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20" w:type="dxa"/>
            <w:vAlign w:val="bottom"/>
          </w:tcPr>
          <w:p>
            <w:pPr>
              <w:spacing w:after="0"/>
              <w:rPr>
                <w:sz w:val="18"/>
                <w:szCs w:val="18"/>
                <w:color w:val="auto"/>
              </w:rPr>
            </w:pP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10: Commitments and Contingencies</w:t>
            </w:r>
          </w:p>
        </w:tc>
        <w:tc>
          <w:tcPr>
            <w:tcW w:w="2960" w:type="dxa"/>
            <w:vAlign w:val="bottom"/>
            <w:gridSpan w:val="13"/>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2C2C2C"/>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5"/>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5080" w:type="dxa"/>
            <w:vAlign w:val="bottom"/>
            <w:gridSpan w:val="20"/>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120" w:type="dxa"/>
            <w:vAlign w:val="bottom"/>
            <w:gridSpan w:val="22"/>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7"/>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6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34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2120" w:type="dxa"/>
            <w:vAlign w:val="bottom"/>
            <w:gridSpan w:val="6"/>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4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is for the three months ended March 31, 2025.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 Unless indicated otherwise, throughout this Quarterly Report on Form 10-Q, we refer to Comcast and its consolidated subsidiaries as “Comcast,” “we,” “us” and “our.”</w:t>
      </w:r>
    </w:p>
    <w:p>
      <w:pPr>
        <w:spacing w:after="0" w:line="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words such as “believe,” “project,” “expect,” “anticipate,” “estimate,” “intend,” “potential,” “strategy,” “future,” “opportunity,” “commit,” “plan,” “goal,” “may,” “should,” “could,” “will,” “would,” “will be,” “will continue,” “will likely result” and similar expressions. In evaluating these statements, you should consider various factors, including the risks and uncertainties we describe in the “Risk Factors” sections of our Forms 10-K and 10-Q and in other reports we file with the SEC.</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these factors could cause our actual results to differ materially from those expressed or implied by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63" w:lineRule="exact"/>
        <w:rPr>
          <w:sz w:val="20"/>
          <w:szCs w:val="20"/>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operate in highly competitive and dynamic industries, and our businesses and results of operations could be adversely affected if we do not compete effectively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continue to adversely affect our businesses and challenge existing business models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consumer acceptance of our content, and our businesses may be adversely affected if our content fails to achieve sufficient consumer acceptance</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expenses for our video services are increasing on a per subscriber basis, which could adversely affect our video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necessary hardware, software and operational support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keeping pace with technological developments</w:t>
      </w:r>
    </w:p>
    <w:p>
      <w:pPr>
        <w:spacing w:after="0" w:line="63" w:lineRule="exact"/>
        <w:rPr>
          <w:rFonts w:ascii="Times New Roman" w:cs="Times New Roman" w:eastAsia="Times New Roman" w:hAnsi="Times New Roman"/>
          <w:sz w:val="18"/>
          <w:szCs w:val="18"/>
          <w:color w:val="auto"/>
        </w:rPr>
      </w:pPr>
    </w:p>
    <w:p>
      <w:pPr>
        <w:jc w:val="both"/>
        <w:ind w:left="660" w:right="9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initiatives present many risks, and we may not realize the financial and strategic goals that we had contemplated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relating to doing business internationally that could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and other uncontrollable events could adversely affect our business, reputation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63" w:lineRule="exact"/>
        <w:rPr>
          <w:rFonts w:ascii="Times New Roman" w:cs="Times New Roman" w:eastAsia="Times New Roman" w:hAnsi="Times New Roman"/>
          <w:sz w:val="18"/>
          <w:szCs w:val="18"/>
          <w:color w:val="auto"/>
        </w:rPr>
      </w:pPr>
    </w:p>
    <w:p>
      <w:pPr>
        <w:ind w:left="660" w:right="98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local and foreign authorities, which impose additional costs and restrictions on our businesses</w:t>
      </w:r>
    </w:p>
    <w:p>
      <w:pPr>
        <w:spacing w:after="0" w:line="1" w:lineRule="exact"/>
        <w:rPr>
          <w:rFonts w:ascii="Times New Roman" w:cs="Times New Roman" w:eastAsia="Times New Roman" w:hAnsi="Times New Roman"/>
          <w:sz w:val="18"/>
          <w:szCs w:val="18"/>
          <w:color w:val="auto"/>
        </w:rPr>
      </w:pPr>
    </w:p>
    <w:p>
      <w:pPr>
        <w:ind w:left="660" w:right="9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ind w:left="328" w:hanging="328"/>
        <w:spacing w:after="0" w:line="266" w:lineRule="auto"/>
        <w:tabs>
          <w:tab w:leader="none" w:pos="3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779145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8"/>
          </w:cols>
          <w:pgMar w:left="652" w:top="1417"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r>
      <w:tr>
        <w:trPr>
          <w:trHeight w:val="192"/>
        </w:trPr>
        <w:tc>
          <w:tcPr>
            <w:tcW w:w="8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March 31,</w:t>
            </w:r>
          </w:p>
        </w:tc>
        <w:tc>
          <w:tcPr>
            <w:tcW w:w="840" w:type="dxa"/>
            <w:vAlign w:val="bottom"/>
            <w:tcBorders>
              <w:bottom w:val="single" w:sz="8" w:color="auto"/>
            </w:tcBorders>
          </w:tcPr>
          <w:p>
            <w:pPr>
              <w:spacing w:after="0"/>
              <w:rPr>
                <w:sz w:val="16"/>
                <w:szCs w:val="16"/>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w w:val="99"/>
              </w:rPr>
              <w:t>2024</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29,887</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30,058</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8,415</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8,823</w:t>
            </w:r>
          </w:p>
        </w:tc>
      </w:tr>
      <w:tr>
        <w:trPr>
          <w:trHeight w:val="229"/>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Marketing and promotion</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2,071</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29"/>
        </w:trPr>
        <w:tc>
          <w:tcPr>
            <w:tcW w:w="8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9,893</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w:t>
            </w:r>
          </w:p>
        </w:tc>
      </w:tr>
      <w:tr>
        <w:trPr>
          <w:trHeight w:val="230"/>
        </w:trPr>
        <w:tc>
          <w:tcPr>
            <w:tcW w:w="8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2,231</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29"/>
        </w:trPr>
        <w:tc>
          <w:tcPr>
            <w:tcW w:w="83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1,618</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3"/>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24,228</w:t>
            </w:r>
          </w:p>
        </w:tc>
        <w:tc>
          <w:tcPr>
            <w:tcW w:w="6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5,658</w:t>
            </w:r>
          </w:p>
        </w:tc>
        <w:tc>
          <w:tcPr>
            <w:tcW w:w="6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(1,050)</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(116)</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4,492</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r>
      <w:tr>
        <w:trPr>
          <w:trHeight w:val="229"/>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(1,196)</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3,296</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30"/>
        </w:trPr>
        <w:tc>
          <w:tcPr>
            <w:tcW w:w="8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w:t>
            </w:r>
          </w:p>
        </w:tc>
        <w:tc>
          <w:tcPr>
            <w:tcW w:w="6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3,375</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0.90</w:t>
            </w:r>
          </w:p>
        </w:tc>
        <w:tc>
          <w:tcPr>
            <w:tcW w:w="6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0.97</w:t>
            </w:r>
          </w:p>
        </w:tc>
      </w:tr>
      <w:tr>
        <w:trPr>
          <w:trHeight w:val="236"/>
        </w:trPr>
        <w:tc>
          <w:tcPr>
            <w:tcW w:w="8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0.89</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3,296</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$74 and $(21)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948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1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gains (losses), net of deferred taxes of $1, and $(1)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1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Realized (gains) losses reclassified to net income, net of deferred taxes of $5 and $(1)</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1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obligations and other, net of deferred taxes of $18 and $5</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851</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4,147</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Comcast Corporation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4,222</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3,429</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3,296</w:t>
            </w: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3,849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382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935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Film and television costs,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(327)</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8,294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7,848</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(2,252)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(622)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sales of businesses and investments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(145)</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30"/>
        </w:trPr>
        <w:tc>
          <w:tcPr>
            <w:tcW w:w="81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19</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(2,958)</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(3,511)</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and repayments of debt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r>
      <w:tr>
        <w:trPr>
          <w:trHeight w:val="230"/>
        </w:trPr>
        <w:tc>
          <w:tcPr>
            <w:tcW w:w="8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(4,075)</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on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1,275</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7,377</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8,652</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6,586</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380" w:type="dxa"/>
            <w:vAlign w:val="bottom"/>
          </w:tcPr>
          <w:p>
            <w:pPr>
              <w:spacing w:after="0"/>
              <w:rPr>
                <w:sz w:val="13"/>
                <w:szCs w:val="13"/>
                <w:color w:val="auto"/>
              </w:rPr>
            </w:pPr>
          </w:p>
        </w:tc>
        <w:tc>
          <w:tcPr>
            <w:tcW w:w="1260" w:type="dxa"/>
            <w:vAlign w:val="bottom"/>
          </w:tcPr>
          <w:p>
            <w:pPr>
              <w:jc w:val="right"/>
              <w:ind w:right="431"/>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8,593</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12,881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5,840</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27,314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and television costs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12,774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12,541</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8,524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$60,145 and $59,534</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63,292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62,548</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59,094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58,209</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rights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59,365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59,365</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$35,773 and $33,994</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24,943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12,464</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267,770</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11,545</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3,766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11,000</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debt</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6,848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 on sale of investment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9,167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42,325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39,581</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92,274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25,136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20,735</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244</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4,607,644,021 and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4,651,093,045; outstanding, 3,734,852,993 and 3,778,302,017</w:t>
            </w:r>
          </w:p>
        </w:tc>
        <w:tc>
          <w:tcPr>
            <w:tcW w:w="38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37,832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57,473</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0" w:type="dxa"/>
            <w:vAlign w:val="bottom"/>
          </w:tcPr>
          <w:p>
            <w:pPr>
              <w:spacing w:after="0"/>
              <w:rPr>
                <w:sz w:val="1"/>
                <w:szCs w:val="1"/>
                <w:color w:val="auto"/>
              </w:rPr>
            </w:pPr>
          </w:p>
        </w:tc>
      </w:tr>
      <w:tr>
        <w:trPr>
          <w:trHeight w:val="229"/>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872,791,028 Class A common shares</w:t>
            </w:r>
          </w:p>
        </w:tc>
        <w:tc>
          <w:tcPr>
            <w:tcW w:w="380" w:type="dxa"/>
            <w:vAlign w:val="bottom"/>
          </w:tcPr>
          <w:p>
            <w:pPr>
              <w:spacing w:after="0"/>
              <w:rPr>
                <w:sz w:val="19"/>
                <w:szCs w:val="19"/>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(1,197)</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Comcast Corporation shareholders’ equity</w:t>
            </w:r>
          </w:p>
        </w:tc>
        <w:tc>
          <w:tcPr>
            <w:tcW w:w="380" w:type="dxa"/>
            <w:vAlign w:val="bottom"/>
          </w:tcPr>
          <w:p>
            <w:pPr>
              <w:spacing w:after="0"/>
              <w:rPr>
                <w:sz w:val="19"/>
                <w:szCs w:val="19"/>
                <w:color w:val="auto"/>
              </w:rPr>
            </w:pPr>
          </w:p>
        </w:tc>
        <w:tc>
          <w:tcPr>
            <w:tcW w:w="1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86,638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418</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87,056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86,038</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267,770</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266,211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3"/>
          </w:tcPr>
          <w:p>
            <w:pPr>
              <w:jc w:val="right"/>
              <w:ind w:right="731"/>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March 31,</w:t>
            </w:r>
          </w:p>
        </w:tc>
        <w:tc>
          <w:tcPr>
            <w:tcW w:w="1000" w:type="dxa"/>
            <w:vAlign w:val="bottom"/>
            <w:tcBorders>
              <w:bottom w:val="single" w:sz="8" w:color="auto"/>
            </w:tcBorders>
          </w:tcPr>
          <w:p>
            <w:pPr>
              <w:spacing w:after="0"/>
              <w:rPr>
                <w:sz w:val="17"/>
                <w:szCs w:val="17"/>
                <w:color w:val="auto"/>
              </w:rPr>
            </w:pPr>
          </w:p>
        </w:tc>
      </w:tr>
      <w:tr>
        <w:trPr>
          <w:trHeight w:val="196"/>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r>
      <w:tr>
        <w:trPr>
          <w:trHeight w:val="41"/>
        </w:trPr>
        <w:tc>
          <w:tcPr>
            <w:tcW w:w="8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30"/>
        </w:trPr>
        <w:tc>
          <w:tcPr>
            <w:tcW w:w="8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Additional Paid-In Capital</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29"/>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38,102</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Issuances of common stock under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2"/>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37,832</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38,274</w:t>
            </w:r>
          </w:p>
        </w:tc>
      </w:tr>
      <w:tr>
        <w:trPr>
          <w:trHeight w:val="229"/>
        </w:trPr>
        <w:tc>
          <w:tcPr>
            <w:tcW w:w="81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34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1000" w:type="dxa"/>
            <w:vAlign w:val="bottom"/>
            <w:tcBorders>
              <w:top w:val="single" w:sz="8" w:color="CCEEFF"/>
            </w:tcBorders>
          </w:tcPr>
          <w:p>
            <w:pPr>
              <w:spacing w:after="0"/>
              <w:rPr>
                <w:sz w:val="19"/>
                <w:szCs w:val="19"/>
                <w:color w:val="auto"/>
              </w:rPr>
            </w:pPr>
          </w:p>
        </w:tc>
      </w:tr>
      <w:tr>
        <w:trPr>
          <w:trHeight w:val="230"/>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Repurchases of common stock under repurchase program and employee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w:t>
            </w:r>
          </w:p>
        </w:tc>
      </w:tr>
      <w:tr>
        <w:trPr>
          <w:trHeight w:val="230"/>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Dividends declared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30"/>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23"/>
        </w:trPr>
        <w:tc>
          <w:tcPr>
            <w:tcW w:w="8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57,473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53,425</w:t>
            </w:r>
          </w:p>
        </w:tc>
      </w:tr>
      <w:tr>
        <w:trPr>
          <w:trHeight w:val="34"/>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Treasury Stock at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beginning and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(7,517)</w:t>
            </w:r>
          </w:p>
        </w:tc>
      </w:tr>
      <w:tr>
        <w:trPr>
          <w:trHeight w:val="75"/>
        </w:trPr>
        <w:tc>
          <w:tcPr>
            <w:tcW w:w="8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230"/>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30"/>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3"/>
        </w:trPr>
        <w:tc>
          <w:tcPr>
            <w:tcW w:w="8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(1,197)</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r>
      <w:tr>
        <w:trPr>
          <w:trHeight w:val="34"/>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8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1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r>
      <w:tr>
        <w:trPr>
          <w:trHeight w:val="216"/>
        </w:trPr>
        <w:tc>
          <w:tcPr>
            <w:tcW w:w="8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87,056</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83,049</w:t>
            </w:r>
          </w:p>
        </w:tc>
      </w:tr>
      <w:tr>
        <w:trPr>
          <w:trHeight w:val="237"/>
        </w:trPr>
        <w:tc>
          <w:tcPr>
            <w:tcW w:w="8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dividends declared per common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200"/>
        <w:spacing w:after="0" w:line="285"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2024 Annual Report on Form 10-K.</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we announced our intention to create SpinCo, a new independent publicly traded company comprised of select domestic cable television networks along with complementary digital assets through a tax-free spin-off. We are targeting to complete the spin-off by the end of 2025, subject to the satisfaction of customary conditions, including obtaining final approval from our Board of Directors, satisfactory completion of SpinCo financings, receipt of tax opinions and receipt of any regulatory approvals. There can be no assurance that a separation transaction will occur, or, if one does, of its terms or timing. The condensed consolidated financial statements and related notes do not reflect the proposed spin-off.</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Refer to Note 3 for a discussion of the changes in our presentation of disaggregated revenue.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Disclosures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We will adopt the updated accounting guidance in our Annual Report on Form 10-K for the year ending December 31, 2025.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about certain costs and expenses. The updated accounting guidance, among other things, requires quantitative disclosures for employee compensation, selling expenses and purchases of inventory. The updated guidance is effective beginning in our Annual Report on Form 10-K for the year ending December 31, 2027.</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Segment Information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global media and technology company with five segments: Residential Connectivity &amp; Platforms, Business Services Connectivity, Media, Studios and Theme Parks.</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data by segment is presented in the tables below. We do not present asset information for our segments as this information is not used to allocate resources.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color w:val="auto"/>
              </w:rPr>
              <w:t>Three Months Ended March 31, 2025</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r>
        <w:trPr>
          <w:trHeight w:val="790"/>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6"/>
              <w:spacing w:after="0" w:line="133" w:lineRule="exact"/>
              <w:rPr>
                <w:sz w:val="20"/>
                <w:szCs w:val="20"/>
                <w:color w:val="auto"/>
              </w:rPr>
            </w:pPr>
            <w:r>
              <w:rPr>
                <w:rFonts w:ascii="Times New Roman" w:cs="Times New Roman" w:eastAsia="Times New Roman" w:hAnsi="Times New Roman"/>
                <w:sz w:val="14"/>
                <w:szCs w:val="14"/>
                <w:color w:val="auto"/>
              </w:rPr>
              <w:t>Residential</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Business Services</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2"/>
                <w:szCs w:val="12"/>
                <w:color w:val="auto"/>
              </w:rPr>
            </w:pPr>
          </w:p>
        </w:tc>
        <w:tc>
          <w:tcPr>
            <w:tcW w:w="1080" w:type="dxa"/>
            <w:vAlign w:val="bottom"/>
          </w:tcPr>
          <w:p>
            <w:pPr>
              <w:jc w:val="center"/>
              <w:ind w:right="16"/>
              <w:spacing w:after="0" w:line="145" w:lineRule="exact"/>
              <w:rPr>
                <w:sz w:val="20"/>
                <w:szCs w:val="20"/>
                <w:color w:val="auto"/>
              </w:rPr>
            </w:pPr>
            <w:r>
              <w:rPr>
                <w:rFonts w:ascii="Times New Roman" w:cs="Times New Roman" w:eastAsia="Times New Roman" w:hAnsi="Times New Roman"/>
                <w:sz w:val="14"/>
                <w:szCs w:val="14"/>
                <w:color w:val="auto"/>
              </w:rPr>
              <w:t>Connectivity &amp;</w:t>
            </w: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Media</w:t>
            </w:r>
          </w:p>
        </w:tc>
        <w:tc>
          <w:tcPr>
            <w:tcW w:w="300" w:type="dxa"/>
            <w:vAlign w:val="bottom"/>
          </w:tcPr>
          <w:p>
            <w:pPr>
              <w:spacing w:after="0"/>
              <w:rPr>
                <w:sz w:val="12"/>
                <w:szCs w:val="12"/>
                <w:color w:val="auto"/>
              </w:rPr>
            </w:pPr>
          </w:p>
        </w:tc>
        <w:tc>
          <w:tcPr>
            <w:tcW w:w="9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color w:val="auto"/>
              </w:rPr>
              <w:t>Studios</w:t>
            </w:r>
          </w:p>
        </w:tc>
        <w:tc>
          <w:tcPr>
            <w:tcW w:w="22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color w:val="auto"/>
              </w:rPr>
              <w:t>Theme Parks</w:t>
            </w:r>
          </w:p>
        </w:tc>
        <w:tc>
          <w:tcPr>
            <w:tcW w:w="300" w:type="dxa"/>
            <w:vAlign w:val="bottom"/>
          </w:tcPr>
          <w:p>
            <w:pPr>
              <w:spacing w:after="0"/>
              <w:rPr>
                <w:sz w:val="12"/>
                <w:szCs w:val="12"/>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color w:val="auto"/>
              </w:rPr>
              <w:t>Platforms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color w:val="auto"/>
              </w:rPr>
              <w:t>Connectivity</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Intersegment revenue</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0" w:type="dxa"/>
            <w:vAlign w:val="bottom"/>
          </w:tcPr>
          <w:p>
            <w:pPr>
              <w:spacing w:after="0"/>
              <w:rPr>
                <w:sz w:val="1"/>
                <w:szCs w:val="1"/>
                <w:color w:val="auto"/>
              </w:rPr>
            </w:pPr>
          </w:p>
        </w:tc>
      </w:tr>
      <w:tr>
        <w:trPr>
          <w:trHeight w:val="223"/>
        </w:trPr>
        <w:tc>
          <w:tcPr>
            <w:tcW w:w="3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w:t>
            </w:r>
            <w:r>
              <w:rPr>
                <w:rFonts w:ascii="Times New Roman" w:cs="Times New Roman" w:eastAsia="Times New Roman" w:hAnsi="Times New Roman"/>
                <w:sz w:val="23"/>
                <w:szCs w:val="23"/>
                <w:color w:val="auto"/>
                <w:vertAlign w:val="superscript"/>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(a)</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revenue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30,058</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Less segment expenses:</w:t>
            </w:r>
            <w:r>
              <w:rPr>
                <w:rFonts w:ascii="Times New Roman" w:cs="Times New Roman" w:eastAsia="Times New Roman" w:hAnsi="Times New Roman"/>
                <w:sz w:val="23"/>
                <w:szCs w:val="23"/>
                <w:color w:val="auto"/>
                <w:vertAlign w:val="superscript"/>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(d)</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segment Adjusted EBITDA</w:t>
            </w:r>
            <w:r>
              <w:rPr>
                <w:rFonts w:ascii="Times New Roman" w:cs="Times New Roman" w:eastAsia="Times New Roman" w:hAnsi="Times New Roman"/>
                <w:sz w:val="23"/>
                <w:szCs w:val="23"/>
                <w:color w:val="auto"/>
                <w:vertAlign w:val="superscript"/>
              </w:rPr>
              <w:t>(e)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9,920</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total segment Adjusted EBITDA</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Media, Studios and Theme Parks headquarters and</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3"/>
                <w:szCs w:val="23"/>
                <w:color w:val="auto"/>
                <w:vertAlign w:val="superscript"/>
              </w:rPr>
              <w:t>(b)(e)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40" w:hanging="332"/>
        <w:spacing w:after="0" w:line="29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most significant intersegment revenue transactions include distribution revenue in Media related to fees from Residential Connectivity &amp; Platforms for the rights to distribute television programming, and content licensing revenue in Studios for licenses of owned content to Media.</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1"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operations of our Sky-branded video services and television networks in Germany; Comcast Spectacor, which owns the Philadelphia Flyers and the Wells Fargo Center arena in Philadelphia, Pennsylvania; and Xumo, our consolidated streaming platform joint venture with Charter Communications. Corporate and other also includes overhead and personnel costs for Corporate.</w:t>
      </w:r>
    </w:p>
    <w:p>
      <w:pPr>
        <w:spacing w:after="0" w:line="8" w:lineRule="exact"/>
        <w:rPr>
          <w:rFonts w:ascii="Times New Roman" w:cs="Times New Roman" w:eastAsia="Times New Roman" w:hAnsi="Times New Roman"/>
          <w:sz w:val="14"/>
          <w:szCs w:val="14"/>
          <w:color w:val="auto"/>
        </w:rPr>
      </w:pPr>
    </w:p>
    <w:p>
      <w:pPr>
        <w:ind w:left="34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our chief operating decision maker. Intersegment expenses are included in the amounts shown.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for each segment primarily includes:</w:t>
      </w:r>
    </w:p>
    <w:p>
      <w:pPr>
        <w:spacing w:after="0" w:line="82" w:lineRule="exact"/>
        <w:rPr>
          <w:rFonts w:ascii="Times New Roman" w:cs="Times New Roman" w:eastAsia="Times New Roman" w:hAnsi="Times New Roman"/>
          <w:sz w:val="14"/>
          <w:szCs w:val="14"/>
          <w:color w:val="auto"/>
        </w:rPr>
      </w:pPr>
    </w:p>
    <w:p>
      <w:pPr>
        <w:jc w:val="both"/>
        <w:ind w:left="34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and Business Services Connectivity: technical and support; direct product costs; marketing and promotion; customer service; administrative personnel costs; franchise and other regulatory fees; fees paid to third parties where we sell advertising on their behalf; bad debt; and other business, headquarters and support costs, including building and office expenses, taxes and billing costs necessary to operate the Residential Connectivity &amp; Platforms and Business Services Connectivity segments. Our chief operating decision maker uses aggregate expense information to manage the operations of the Business Services Connectivity segment.</w:t>
      </w:r>
    </w:p>
    <w:p>
      <w:pPr>
        <w:spacing w:after="0" w:line="9"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Media and Studios: salaries, employee benefits, rent and other overhead expenses.</w:t>
      </w:r>
    </w:p>
    <w:p>
      <w:pPr>
        <w:spacing w:after="0" w:line="41" w:lineRule="exact"/>
        <w:rPr>
          <w:rFonts w:ascii="Times New Roman" w:cs="Times New Roman" w:eastAsia="Times New Roman" w:hAnsi="Times New Roman"/>
          <w:sz w:val="14"/>
          <w:szCs w:val="14"/>
          <w:color w:val="auto"/>
        </w:rPr>
      </w:pPr>
    </w:p>
    <w:p>
      <w:pPr>
        <w:ind w:left="340"/>
        <w:spacing w:after="0" w:line="29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Theme Parks: theme park operations, including repairs and maintenance and related administrative expenses; food, beverage and merchandise costs; labor costs; and sales and marketing costs. Our chief operating decision maker uses aggregate expense information to manage the operations of the Theme Parks segment.</w:t>
      </w:r>
    </w:p>
    <w:p>
      <w:pPr>
        <w:spacing w:after="0" w:line="1" w:lineRule="exact"/>
        <w:rPr>
          <w:rFonts w:ascii="Times New Roman" w:cs="Times New Roman" w:eastAsia="Times New Roman" w:hAnsi="Times New Roman"/>
          <w:sz w:val="14"/>
          <w:szCs w:val="14"/>
          <w:color w:val="auto"/>
        </w:rPr>
      </w:pPr>
    </w:p>
    <w:p>
      <w:pPr>
        <w:ind w:left="340" w:right="20" w:hanging="332"/>
        <w:spacing w:after="0" w:line="281"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segments. From time to time we may report the impact of certain events, gains, losses or other charges related to our segments within Corporate and other.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overhead, personnel costs and other costs necessary to operate the Media, Studios and Theme Parks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Revenue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March 31,</w:t>
            </w:r>
          </w:p>
        </w:tc>
        <w:tc>
          <w:tcPr>
            <w:tcW w:w="920" w:type="dxa"/>
            <w:vAlign w:val="bottom"/>
            <w:tcBorders>
              <w:bottom w:val="single" w:sz="8" w:color="auto"/>
            </w:tcBorders>
          </w:tcPr>
          <w:p>
            <w:pPr>
              <w:spacing w:after="0"/>
              <w:rPr>
                <w:sz w:val="16"/>
                <w:szCs w:val="16"/>
                <w:color w:val="auto"/>
              </w:rPr>
            </w:pPr>
          </w:p>
        </w:tc>
      </w:tr>
      <w:tr>
        <w:trPr>
          <w:trHeight w:val="20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1"/>
              <w:spacing w:after="0" w:line="202" w:lineRule="exact"/>
              <w:rPr>
                <w:sz w:val="20"/>
                <w:szCs w:val="20"/>
                <w:color w:val="auto"/>
              </w:rPr>
            </w:pPr>
            <w:r>
              <w:rPr>
                <w:rFonts w:ascii="Times New Roman" w:cs="Times New Roman" w:eastAsia="Times New Roman" w:hAnsi="Times New Roman"/>
                <w:sz w:val="14"/>
                <w:szCs w:val="14"/>
                <w:color w:val="auto"/>
                <w:w w:val="91"/>
              </w:rPr>
              <w:t>2024</w:t>
            </w:r>
            <w:r>
              <w:rPr>
                <w:rFonts w:ascii="Times New Roman" w:cs="Times New Roman" w:eastAsia="Times New Roman" w:hAnsi="Times New Roman"/>
                <w:sz w:val="18"/>
                <w:szCs w:val="18"/>
                <w:color w:val="auto"/>
                <w:w w:val="91"/>
                <w:vertAlign w:val="superscript"/>
              </w:rPr>
              <w:t>(a)</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 broadband</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6,558</w:t>
            </w:r>
          </w:p>
        </w:tc>
        <w:tc>
          <w:tcPr>
            <w:tcW w:w="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 wireless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1,123</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30"/>
        </w:trPr>
        <w:tc>
          <w:tcPr>
            <w:tcW w:w="8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1,132</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8,813</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8,451</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6,718</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881</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1,230</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Connectivity &amp; Platforms Segment</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17,642</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Business Services Connectivity Segment</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2,496</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advertising</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1,886</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distribution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2,922</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networks</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1,162</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29"/>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470</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Media Segment</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6,440</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w:t>
            </w:r>
          </w:p>
        </w:tc>
      </w:tr>
      <w:tr>
        <w:trPr>
          <w:trHeight w:val="108"/>
        </w:trPr>
        <w:tc>
          <w:tcPr>
            <w:tcW w:w="8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licensing</w:t>
            </w:r>
          </w:p>
        </w:tc>
        <w:tc>
          <w:tcPr>
            <w:tcW w:w="34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2,174</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Theatrical</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286</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366</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Studios Segment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2,826</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108"/>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Theme Parks Segment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1,876</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r>
      <w:tr>
        <w:trPr>
          <w:trHeight w:val="108"/>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752</w:t>
            </w: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Eliminations</w:t>
            </w:r>
            <w:r>
              <w:rPr>
                <w:rFonts w:ascii="Times New Roman" w:cs="Times New Roman" w:eastAsia="Times New Roman" w:hAnsi="Times New Roman"/>
                <w:sz w:val="23"/>
                <w:szCs w:val="23"/>
                <w:color w:val="auto"/>
                <w:vertAlign w:val="superscript"/>
              </w:rPr>
              <w:t>(b)</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(2,146)</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29,887</w:t>
            </w:r>
          </w:p>
        </w:tc>
        <w:tc>
          <w:tcPr>
            <w:tcW w:w="6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30,058</w:t>
            </w:r>
          </w:p>
        </w:tc>
      </w:tr>
    </w:tbl>
    <w:p>
      <w:pPr>
        <w:spacing w:after="0" w:line="139" w:lineRule="exact"/>
        <w:rPr>
          <w:sz w:val="20"/>
          <w:szCs w:val="20"/>
          <w:color w:val="auto"/>
        </w:rPr>
      </w:pPr>
    </w:p>
    <w:p>
      <w:pPr>
        <w:ind w:left="340" w:hanging="332"/>
        <w:spacing w:after="0" w:line="302" w:lineRule="auto"/>
        <w:tabs>
          <w:tab w:leader="none" w:pos="33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direct to consumer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pacing w:after="0" w:line="1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for additional information on intersegment revenue transactions.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 below summarizes our accounts receivable and other balances that are not separately presented in our condensed consolidated balance sheets that relate to the recognition of revenue and collection of the related cash.</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20" w:type="dxa"/>
            <w:vAlign w:val="bottom"/>
          </w:tcPr>
          <w:p>
            <w:pPr>
              <w:spacing w:after="0"/>
              <w:rPr>
                <w:sz w:val="13"/>
                <w:szCs w:val="13"/>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gross</w:t>
            </w:r>
          </w:p>
        </w:tc>
        <w:tc>
          <w:tcPr>
            <w:tcW w:w="18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13,603</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0" w:type="dxa"/>
            <w:vAlign w:val="bottom"/>
          </w:tcPr>
          <w:p>
            <w:pPr>
              <w:spacing w:after="0"/>
              <w:rPr>
                <w:sz w:val="1"/>
                <w:szCs w:val="1"/>
                <w:color w:val="auto"/>
              </w:rPr>
            </w:pPr>
          </w:p>
        </w:tc>
      </w:tr>
      <w:tr>
        <w:trPr>
          <w:trHeight w:val="229"/>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3"/>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12,881</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13,661</w:t>
            </w:r>
          </w:p>
        </w:tc>
        <w:tc>
          <w:tcPr>
            <w:tcW w:w="0" w:type="dxa"/>
            <w:vAlign w:val="bottom"/>
          </w:tcPr>
          <w:p>
            <w:pPr>
              <w:spacing w:after="0"/>
              <w:rPr>
                <w:sz w:val="1"/>
                <w:szCs w:val="1"/>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1,806</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30"/>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revenue (included in other noncurrent liabilities)</w:t>
            </w:r>
          </w:p>
        </w:tc>
        <w:tc>
          <w:tcPr>
            <w:tcW w:w="1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664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accounts receivables include amounts not yet billed related to equipment installment plans, as summarized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60" w:type="dxa"/>
            <w:vAlign w:val="bottom"/>
          </w:tcPr>
          <w:p>
            <w:pPr>
              <w:spacing w:after="0"/>
              <w:rPr>
                <w:sz w:val="13"/>
                <w:szCs w:val="13"/>
                <w:color w:val="auto"/>
              </w:rPr>
            </w:pP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6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1,869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Noncurrent receivables, net (included in other noncurrent assets, net)</w:t>
            </w:r>
          </w:p>
        </w:tc>
        <w:tc>
          <w:tcPr>
            <w:tcW w:w="1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8"/>
                <w:szCs w:val="18"/>
                <w:color w:val="auto"/>
              </w:rPr>
              <w:t>1,211</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3,081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Programming and Production Costs</w:t>
      </w:r>
    </w:p>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Video distribution programming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2,659</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and television content:</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3"/>
                <w:szCs w:val="23"/>
                <w:color w:val="auto"/>
                <w:vertAlign w:val="superscript"/>
              </w:rPr>
              <w:t>(a)</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2,656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r>
      <w:tr>
        <w:trPr>
          <w:trHeight w:val="230"/>
        </w:trPr>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40" w:type="dxa"/>
            <w:vAlign w:val="bottom"/>
          </w:tcPr>
          <w:p>
            <w:pPr>
              <w:spacing w:after="0"/>
              <w:rPr>
                <w:sz w:val="19"/>
                <w:szCs w:val="19"/>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2,804</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r>
      <w:tr>
        <w:trPr>
          <w:trHeight w:val="229"/>
        </w:trPr>
        <w:tc>
          <w:tcPr>
            <w:tcW w:w="8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295</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8,415</w:t>
            </w:r>
          </w:p>
        </w:tc>
        <w:tc>
          <w:tcPr>
            <w:tcW w:w="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8,823</w:t>
            </w:r>
          </w:p>
        </w:tc>
      </w:tr>
    </w:tbl>
    <w:p>
      <w:pPr>
        <w:spacing w:after="0" w:line="180" w:lineRule="exact"/>
        <w:rPr>
          <w:sz w:val="20"/>
          <w:szCs w:val="20"/>
          <w:color w:val="auto"/>
        </w:rPr>
      </w:pPr>
    </w:p>
    <w:p>
      <w:pPr>
        <w:ind w:right="360" w:firstLine="8"/>
        <w:spacing w:after="0" w:line="302" w:lineRule="auto"/>
        <w:tabs>
          <w:tab w:leader="none" w:pos="19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$2.2 billion and $2.1 billion for the three months ended March 31, 2025 and 2024, respectively, as well as participations and residuals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Film and Television Costs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0" w:type="dxa"/>
            <w:vAlign w:val="bottom"/>
          </w:tcPr>
          <w:p>
            <w:pPr>
              <w:spacing w:after="0"/>
              <w:rPr>
                <w:sz w:val="13"/>
                <w:szCs w:val="13"/>
                <w:color w:val="auto"/>
              </w:rPr>
            </w:pPr>
          </w:p>
        </w:tc>
        <w:tc>
          <w:tcPr>
            <w:tcW w:w="1240" w:type="dxa"/>
            <w:vAlign w:val="bottom"/>
          </w:tcPr>
          <w:p>
            <w:pPr>
              <w:jc w:val="right"/>
              <w:ind w:right="41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440" w:type="dxa"/>
            <w:vAlign w:val="bottom"/>
            <w:tcBorders>
              <w:bottom w:val="single" w:sz="8" w:color="auto"/>
            </w:tcBorders>
            <w:vMerge w:val="continue"/>
          </w:tcPr>
          <w:p>
            <w:pPr>
              <w:spacing w:after="0"/>
              <w:rPr>
                <w:sz w:val="16"/>
                <w:szCs w:val="16"/>
                <w:color w:val="auto"/>
              </w:rPr>
            </w:pPr>
          </w:p>
        </w:tc>
        <w:tc>
          <w:tcPr>
            <w:tcW w:w="30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3,367</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Completed, not released</w:t>
            </w: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3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4,504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7,905</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4,869</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Film and television costs</w:t>
            </w:r>
          </w:p>
        </w:tc>
        <w:tc>
          <w:tcPr>
            <w:tcW w:w="30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12,774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12,541</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Debt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our debt had a carrying value of $99.1 billion and an estimated fair value of $90.6 billion. As of December 31, 2024, our debt had a carrying value of $99.1 billion and an estimated fair value of $89.8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Significant Transactions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2025, we acquired Nitel, a network-as-a-service managed service provider, for total cash consideration of $1.3 billion. The acquisition will enhance our ability to serve and provide connectivity solutions to enterprise customers. Nitel’s results of operations will be included in our condensed consolidated results of operations following the date of acquisition and will be reported in our Business Services Connectivity segment. The assets and liabilities acquired as a result of the transaction will be recorded at their estimated fair values; however, due to the limited time since the acquisition date, the initial acquisition accounting is incomplete.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Investments and Variable Interest Entities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Other Income (Loss), Net</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(194)</w:t>
            </w:r>
          </w:p>
        </w:tc>
        <w:tc>
          <w:tcPr>
            <w:tcW w:w="6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340" w:type="dxa"/>
            <w:vAlign w:val="bottom"/>
          </w:tcPr>
          <w:p>
            <w:pPr>
              <w:spacing w:after="0"/>
              <w:rPr>
                <w:sz w:val="19"/>
                <w:szCs w:val="19"/>
                <w:color w:val="auto"/>
              </w:rPr>
            </w:pPr>
          </w:p>
        </w:tc>
        <w:tc>
          <w:tcPr>
            <w:tcW w:w="11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Pr>
          <w:p>
            <w:pPr>
              <w:spacing w:after="0"/>
              <w:rPr>
                <w:sz w:val="19"/>
                <w:szCs w:val="19"/>
                <w:color w:val="auto"/>
              </w:rPr>
            </w:pP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(51)</w:t>
            </w:r>
          </w:p>
        </w:tc>
      </w:tr>
      <w:tr>
        <w:trPr>
          <w:trHeight w:val="229"/>
        </w:trPr>
        <w:tc>
          <w:tcPr>
            <w:tcW w:w="8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rPr>
              <w:t>(116)</w:t>
            </w:r>
          </w:p>
        </w:tc>
        <w:tc>
          <w:tcPr>
            <w:tcW w:w="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298</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unrealized gains (losses), net recognized in the three months ended March 31, 2025 and 2024 that related to marketable and nonmarketable equity securities still held as of the end of each reporting period was $(30) million and $(70) million,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160" w:type="dxa"/>
            <w:vAlign w:val="bottom"/>
          </w:tcPr>
          <w:p>
            <w:pPr>
              <w:spacing w:after="0"/>
              <w:rPr>
                <w:sz w:val="13"/>
                <w:szCs w:val="13"/>
                <w:color w:val="auto"/>
              </w:rPr>
            </w:pPr>
          </w:p>
        </w:tc>
        <w:tc>
          <w:tcPr>
            <w:tcW w:w="1240" w:type="dxa"/>
            <w:vAlign w:val="bottom"/>
          </w:tcPr>
          <w:p>
            <w:pPr>
              <w:jc w:val="right"/>
              <w:ind w:right="414"/>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5280" w:type="dxa"/>
            <w:vAlign w:val="bottom"/>
            <w:tcBorders>
              <w:bottom w:val="single" w:sz="8" w:color="auto"/>
            </w:tcBorders>
            <w:vMerge w:val="continue"/>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w:t>
            </w:r>
          </w:p>
        </w:tc>
        <w:tc>
          <w:tcPr>
            <w:tcW w:w="3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7,150</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3160" w:type="dxa"/>
            <w:vAlign w:val="bottom"/>
          </w:tcPr>
          <w:p>
            <w:pPr>
              <w:spacing w:after="0"/>
              <w:rPr>
                <w:sz w:val="19"/>
                <w:szCs w:val="19"/>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Nonmarketable equity securities</w:t>
            </w:r>
          </w:p>
        </w:tc>
        <w:tc>
          <w:tcPr>
            <w:tcW w:w="3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1,202</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investments</w:t>
            </w:r>
          </w:p>
        </w:tc>
        <w:tc>
          <w:tcPr>
            <w:tcW w:w="3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8,551</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0" w:type="dxa"/>
            <w:vAlign w:val="bottom"/>
          </w:tcPr>
          <w:p>
            <w:pPr>
              <w:spacing w:after="0"/>
              <w:rPr>
                <w:sz w:val="1"/>
                <w:szCs w:val="1"/>
                <w:color w:val="auto"/>
              </w:rPr>
            </w:pPr>
          </w:p>
        </w:tc>
      </w:tr>
      <w:tr>
        <w:trPr>
          <w:trHeight w:val="229"/>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Current investments</w:t>
            </w:r>
          </w:p>
        </w:tc>
        <w:tc>
          <w:tcPr>
            <w:tcW w:w="3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investments</w:t>
            </w:r>
          </w:p>
        </w:tc>
        <w:tc>
          <w:tcPr>
            <w:tcW w:w="31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8,524</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8,647</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cash distributions received from equity method investments presented within operating activities in the condensed consolidated statements of cash flows in the three months ended March 31, 2025 and 2024 was $27 million and $32 million,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Atairos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both the three months ended March 31, 2025 and 2024, we made cash capital contributions totaling $13 million. As of March 31, 2025 and December 31, 2024, our investment, inclusive of advances classified within other investments, was $4.9 billion and $5.1 billion, respectively. As of March 31, 2025, our remaining unfunded capital commitment was $1.4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investments also includes certain short-term instruments. We had no short-term instruments as of March 31, 2025 and December 31, 2024. There were no proceeds from or purchases of short-term instruments for the three months ended March 31, 2025. Proceeds from short-term instruments were $255 million and purchases of short-term instruments were $257 million for the three months ended March 31,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Variable Interest Entity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Universal Beijing Resort</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own a 30% interest in a Universal theme park and resort in Beijing, China (“Universal Beijing Resort”).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March 31, 2025, Universal Beijing Resort had $3.5 billion of debt outstanding, including $3.1 billion principal amount of a term loan outstanding under the debt financing agreement. As of December 31, 2024, Universal Beijing Resort had $3.4 billion of debt outstanding, including $3.0 billion principal amount of a term loan outstanding under the debt financing agreement.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both March 31, 2025 and December 31, 2024, our condensed consolidated balance sheets included assets and liabilities of Universal Beijing Resort totaling $7.3 billion and $7.0 billion, respectively. The assets and liabilities of Universal Beijing Resort primarily consist of property and equipment, operating lease assets and liabilities, and debt.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Equity and Share-Based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Weighted-Average Common Shares Outstanding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21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160" w:type="dxa"/>
            <w:vAlign w:val="bottom"/>
            <w:tcBorders>
              <w:bottom w:val="single" w:sz="8" w:color="auto"/>
            </w:tcBorders>
          </w:tcPr>
          <w:p>
            <w:pPr>
              <w:jc w:val="right"/>
              <w:ind w:right="1218"/>
              <w:spacing w:after="0"/>
              <w:rPr>
                <w:sz w:val="20"/>
                <w:szCs w:val="20"/>
                <w:color w:val="auto"/>
              </w:rPr>
            </w:pPr>
            <w:r>
              <w:rPr>
                <w:rFonts w:ascii="Times New Roman" w:cs="Times New Roman" w:eastAsia="Times New Roman" w:hAnsi="Times New Roman"/>
                <w:sz w:val="14"/>
                <w:szCs w:val="14"/>
                <w:color w:val="auto"/>
              </w:rPr>
              <w:t>2025</w:t>
            </w: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216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3,768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160" w:type="dxa"/>
            <w:vAlign w:val="bottom"/>
          </w:tcPr>
          <w:p>
            <w:pPr>
              <w:jc w:val="right"/>
              <w:ind w:right="718"/>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16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rPr>
              <w:t>3,784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w:t>
            </w:r>
          </w:p>
        </w:tc>
      </w:tr>
      <w:tr>
        <w:trPr>
          <w:trHeight w:val="223"/>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Antidilutive securities</w:t>
            </w:r>
          </w:p>
        </w:tc>
        <w:tc>
          <w:tcPr>
            <w:tcW w:w="216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rPr>
              <w:t>218</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Weighted-average common shares outstanding used in calculating diluted earnings per common share attributable to Comcast Corporation shareholders (“diluted EPS”) considers the impact of potentially dilutive securities using the treasury stock method. Antidilutive securities represent the number of potential common shares related to share-based compensation awards that were excluded from diluted EPS because their effect would have been antidilutive.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40" w:type="dxa"/>
            <w:vAlign w:val="bottom"/>
          </w:tcPr>
          <w:p>
            <w:pPr>
              <w:spacing w:after="0"/>
              <w:rPr>
                <w:sz w:val="13"/>
                <w:szCs w:val="13"/>
                <w:color w:val="auto"/>
              </w:rPr>
            </w:pP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rPr>
              <w:t>March 31,</w:t>
            </w:r>
          </w:p>
        </w:tc>
        <w:tc>
          <w:tcPr>
            <w:tcW w:w="32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680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color w:val="auto"/>
              </w:rPr>
              <w:t>2025</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(1,530)</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gains (losses) on cash flow hedges</w:t>
            </w:r>
          </w:p>
        </w:tc>
        <w:tc>
          <w:tcPr>
            <w:tcW w:w="1640" w:type="dxa"/>
            <w:vAlign w:val="bottom"/>
          </w:tcPr>
          <w:p>
            <w:pPr>
              <w:spacing w:after="0"/>
              <w:rPr>
                <w:sz w:val="19"/>
                <w:szCs w:val="19"/>
                <w:color w:val="auto"/>
              </w:rPr>
            </w:pPr>
          </w:p>
        </w:tc>
        <w:tc>
          <w:tcPr>
            <w:tcW w:w="1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gains (losses) on employee benefit obligations and other</w:t>
            </w:r>
          </w:p>
        </w:tc>
        <w:tc>
          <w:tcPr>
            <w:tcW w:w="16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deferred taxes</w:t>
            </w:r>
          </w:p>
        </w:tc>
        <w:tc>
          <w:tcPr>
            <w:tcW w:w="1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(1,197)</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restricted share units (“RSUs”) and stock options to certain employees and directors as part of our long-term incentive compensation structure. Additionally, through our employee stock purchase plans, employees are able to purchase shares of our common stock at a discount through payroll deductions.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we granted 40 million RSUs and 1 million stock options under our annual management awards program. The weighted-average fair values associated with these grants were $35.78 per RSU and $7.21 per stock option. During the three months ended March 31, 2025 and 2024, share-based compensation expense recognized in our condensed consolidated statements of income was $321 million and $303 million, respectively. As of March 31, 2025, we had unrecognized pretax compensation expense of $3.0 billion related to unvested RSUs and unvested stock options.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Supplemental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Payments for Interest and Income Taxes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674</w:t>
            </w:r>
          </w:p>
        </w:tc>
        <w:tc>
          <w:tcPr>
            <w:tcW w:w="6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Income taxes</w:t>
            </w:r>
            <w:r>
              <w:rPr>
                <w:rFonts w:ascii="Times New Roman" w:cs="Times New Roman" w:eastAsia="Times New Roman" w:hAnsi="Times New Roman"/>
                <w:sz w:val="23"/>
                <w:szCs w:val="23"/>
                <w:color w:val="auto"/>
                <w:vertAlign w:val="superscript"/>
              </w:rPr>
              <w:t>(a)</w:t>
            </w:r>
          </w:p>
        </w:tc>
        <w:tc>
          <w:tcPr>
            <w:tcW w:w="8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Cash payments for income taxes for the three months ended March 31, 2025 include $220 million related to the purchase of third-party transferable tax credits.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Activities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w:t>
      </w:r>
    </w:p>
    <w:p>
      <w:pPr>
        <w:spacing w:after="0" w:line="7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$2.1 billion of property and equipment and intangible assets that were accrued but unpaid</w:t>
      </w:r>
    </w:p>
    <w:p>
      <w:pPr>
        <w:spacing w:after="0" w:line="90" w:lineRule="exact"/>
        <w:rPr>
          <w:rFonts w:ascii="Times New Roman" w:cs="Times New Roman" w:eastAsia="Times New Roman" w:hAnsi="Times New Roman"/>
          <w:sz w:val="18"/>
          <w:szCs w:val="18"/>
          <w:color w:val="auto"/>
        </w:rPr>
      </w:pPr>
    </w:p>
    <w:p>
      <w:pPr>
        <w:ind w:right="2400" w:firstLine="332"/>
        <w:spacing w:after="0" w:line="328"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$0.33 per common share paid in April 2025 During the three months ended March 31, 2024:</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$2.0 billion of property and equipment and intangible assets that were accrued but unpaid</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a liability of $1.2 billion for a quarterly cash dividend of $0.31 per common share paid in April 2024</w:t>
      </w:r>
    </w:p>
    <w:p>
      <w:pPr>
        <w:spacing w:after="0" w:line="6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Cash, Cash Equivalents and Restricted Cash</w:t>
      </w:r>
    </w:p>
    <w:p>
      <w:pPr>
        <w:spacing w:after="0" w:line="11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in the condensed consolidated balance sheets to the total of the amounts reported in our condensed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tcPr>
          <w:p>
            <w:pPr>
              <w:spacing w:after="0"/>
              <w:rPr>
                <w:sz w:val="13"/>
                <w:szCs w:val="13"/>
                <w:color w:val="auto"/>
              </w:rPr>
            </w:pPr>
          </w:p>
        </w:tc>
        <w:tc>
          <w:tcPr>
            <w:tcW w:w="1240" w:type="dxa"/>
            <w:vAlign w:val="bottom"/>
          </w:tcPr>
          <w:p>
            <w:pPr>
              <w:jc w:val="right"/>
              <w:ind w:right="417"/>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696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8,593</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current assets and other noncurrent assets, net</w:t>
            </w:r>
          </w:p>
        </w:tc>
        <w:tc>
          <w:tcPr>
            <w:tcW w:w="1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b w:val="1"/>
                <w:bCs w:val="1"/>
                <w:color w:val="auto"/>
              </w:rPr>
              <w:t>8,652</w:t>
            </w: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760"/>
        <w:spacing w:after="0" w:line="267"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condensed consolidated financial statements and related notes (“Notes”) included in this Quarterly Report on Form 10-Q and our 2024 Annual Report on Form 10-K.</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global media and technology company with two primary businesses: Connectivity &amp; Platforms and Content &amp; Experiences. We present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of (1) our Connectivity &amp; Platforms business in two segments: Residential Connectivity &amp; Platforms and Business Services Connectivity;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our Content &amp; Experiences business in three segments: Media, Studios and Theme Parks.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Uncertain economic conditions, including as a result of geopolitical dynamics, changes in trade policies and foreign exchange rates could adversely affect demand for our products or services and have a negative impact on our results of operations. For a discussion of these factors and other risks, refer to Risk Factors in Item 1A of our 2024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91"/>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30,058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8,823</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2,018</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and administrative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9,857</w:t>
            </w:r>
          </w:p>
        </w:tc>
        <w:tc>
          <w:tcPr>
            <w:tcW w:w="118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2,175</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1,376</w:t>
            </w: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24,248</w:t>
            </w:r>
          </w:p>
        </w:tc>
        <w:tc>
          <w:tcPr>
            <w:tcW w:w="11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5,810</w:t>
            </w:r>
          </w:p>
        </w:tc>
        <w:tc>
          <w:tcPr>
            <w:tcW w:w="11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8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(1,002)</w:t>
            </w:r>
          </w:p>
        </w:tc>
        <w:tc>
          <w:tcPr>
            <w:tcW w:w="11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298</w:t>
            </w: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5,105</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(1,328)</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380" w:type="dxa"/>
            <w:vAlign w:val="bottom"/>
          </w:tcPr>
          <w:p>
            <w:pPr>
              <w:spacing w:after="0"/>
              <w:rPr>
                <w:sz w:val="19"/>
                <w:szCs w:val="19"/>
                <w:color w:val="auto"/>
              </w:rPr>
            </w:pP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3,777</w:t>
            </w: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(79)</w:t>
            </w:r>
          </w:p>
        </w:tc>
        <w:tc>
          <w:tcPr>
            <w:tcW w:w="118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3,375</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3,857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 attributable to Comcast Corporation shareholders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0.90</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 attributable to Comcast Corporation shareholders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0.97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3,959</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3,992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74"/>
        </w:trPr>
        <w:tc>
          <w:tcPr>
            <w:tcW w:w="73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9,532</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9,355</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55" w:lineRule="exact"/>
        <w:rPr>
          <w:sz w:val="20"/>
          <w:szCs w:val="20"/>
          <w:color w:val="auto"/>
        </w:rPr>
      </w:pPr>
    </w:p>
    <w:p>
      <w:pPr>
        <w:ind w:left="260" w:hanging="252"/>
        <w:spacing w:after="0" w:line="294" w:lineRule="auto"/>
        <w:tabs>
          <w:tab w:leader="none" w:pos="25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23 for additional information, including our definition and our use of Adjusted EBITDA, and for a reconciliation from net income attributable to Comcast Corporation to Adjusted EBITDA.</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revenue </w:t>
      </w:r>
      <w:r>
        <w:rPr>
          <w:rFonts w:ascii="Times New Roman" w:cs="Times New Roman" w:eastAsia="Times New Roman" w:hAnsi="Times New Roman"/>
          <w:sz w:val="18"/>
          <w:szCs w:val="18"/>
          <w:color w:val="auto"/>
        </w:rPr>
        <w:t>remained consistent for the three months ended March 31, 2025 compared to the same period in 2024 primarily due to decreases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in the Connectivity &amp; Platforms business and Corporate and Other, offset by an increase in the Content &amp; Experiences business. Revenue for our segments and other businesses is discussed separately below under the heading “Segment Operating Results.”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Consolidated costs and expenses</w:t>
      </w:r>
      <w:r>
        <w:rPr>
          <w:rFonts w:ascii="Times New Roman" w:cs="Times New Roman" w:eastAsia="Times New Roman" w:hAnsi="Times New Roman"/>
          <w:sz w:val="18"/>
          <w:szCs w:val="18"/>
          <w:color w:val="auto"/>
        </w:rPr>
        <w:t>, excluding depreciation and amortization expense, decreased for the three months ended March 31, 2025</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compared to the same period in 2024 primarily due to decreases in the Connectivity &amp; Platforms business and Corporate and Other, partially offset by an increase in the Content &amp; Experiences business. Costs and expenses for our segments and our corporate operations and other businesses are discussed separately below under the heading “Segment Operating Results.”</w:t>
      </w:r>
    </w:p>
    <w:p>
      <w:pPr>
        <w:spacing w:after="0" w:line="7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depreciation and amortization expense </w:t>
      </w:r>
      <w:r>
        <w:rPr>
          <w:rFonts w:ascii="Times New Roman" w:cs="Times New Roman" w:eastAsia="Times New Roman" w:hAnsi="Times New Roman"/>
          <w:sz w:val="18"/>
          <w:szCs w:val="18"/>
          <w:color w:val="auto"/>
        </w:rPr>
        <w:t>increased for the three months ended March 31, 2025 compared to the same period in 2024</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primarily due to increased amortization of certain acquisition-related intangible assets related to the linear media business.</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from acquisition-related intangible assets totaled $789 million and $569 million for the three months ended March 31, 2025 and 2024, respectively. Amounts primarily relate to customer relationship intangible assets recorded in connection with the Sky transaction in 2018 and the NBCUniversal transaction in 2011.</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interest expense </w:t>
      </w:r>
      <w:r>
        <w:rPr>
          <w:rFonts w:ascii="Times New Roman" w:cs="Times New Roman" w:eastAsia="Times New Roman" w:hAnsi="Times New Roman"/>
          <w:sz w:val="18"/>
          <w:szCs w:val="18"/>
          <w:color w:val="auto"/>
        </w:rPr>
        <w:t>increased for the three months ended March 31, 2025 primarily due to an increase in average debt outstanding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higher weighted-average interest rates in the current year period.</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Consolidated investment and other income (loss), net </w:t>
      </w:r>
      <w:r>
        <w:rPr>
          <w:rFonts w:ascii="Times New Roman" w:cs="Times New Roman" w:eastAsia="Times New Roman" w:hAnsi="Times New Roman"/>
          <w:sz w:val="18"/>
          <w:szCs w:val="18"/>
          <w:color w:val="auto"/>
        </w:rPr>
        <w:t>decreased for the three months ended March 31, 2025 compared to the same period in</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2024.</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r>
      <w:tr>
        <w:trPr>
          <w:trHeight w:val="192"/>
        </w:trPr>
        <w:tc>
          <w:tcPr>
            <w:tcW w:w="8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color w:val="auto"/>
              </w:rPr>
              <w:t>2025</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2024</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(losses) of investees,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gains (losses) on equity securities,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tcPr>
          <w:p>
            <w:pPr>
              <w:spacing w:after="0"/>
              <w:rPr>
                <w:sz w:val="19"/>
                <w:szCs w:val="19"/>
                <w:color w:val="auto"/>
              </w:rPr>
            </w:pPr>
          </w:p>
        </w:tc>
        <w:tc>
          <w:tcPr>
            <w:tcW w:w="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8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102</w:t>
            </w:r>
          </w:p>
        </w:tc>
        <w:tc>
          <w:tcPr>
            <w:tcW w:w="6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 and other income (loss),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298</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equity in net income (losses) of investees, net was primarily due to our investment in Atairos. The income (losses) at Atairos were driven by fair value adjustments on its underlying investments with income (loss) of $(169) million and $195 million for the three months ended March 31, 2025 and 2024, respectively.</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realized and unrealized gains (losses) on equity securities, net for the three months ended March 31, 2025 was primarily due to lower losses on nonmarketable securities in the current year period.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other income (loss), net for the three months ended March 31, 2025 primarily resulted from a gain related to an equity method investment and from higher income from insurance contracts in the prior year period.</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Consolidated income tax expense </w:t>
      </w:r>
      <w:r>
        <w:rPr>
          <w:rFonts w:ascii="Times New Roman" w:cs="Times New Roman" w:eastAsia="Times New Roman" w:hAnsi="Times New Roman"/>
          <w:sz w:val="18"/>
          <w:szCs w:val="18"/>
          <w:color w:val="auto"/>
        </w:rPr>
        <w:t>for the three months ended March 31, 2025 and 2024 reflects an effective income tax rate that differs from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federal statutory rate due to state and foreign income taxes and adjustments associated with uncertain tax positions. The decrease in income tax expense for the three months ended March 31, 2025 compared to the same period in 2024 was primarily driven by lower domestic income before income taxes.</w:t>
      </w:r>
    </w:p>
    <w:p>
      <w:pPr>
        <w:spacing w:after="0" w:line="6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 xml:space="preserve">Consolidated net income (loss) attributable to noncontrolling interests </w:t>
      </w:r>
      <w:r>
        <w:rPr>
          <w:rFonts w:ascii="Times New Roman" w:cs="Times New Roman" w:eastAsia="Times New Roman" w:hAnsi="Times New Roman"/>
          <w:sz w:val="18"/>
          <w:szCs w:val="18"/>
          <w:color w:val="auto"/>
        </w:rPr>
        <w:t>is consistent for the three months ended March 31, 2025 compared to</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the same period in 2024.</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segment operating results are presented based on how we assess operating performance and internally report financial information. See Note 2 for additional information on our segments.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Connectivity &amp; Platforms Results of Operations</w:t>
      </w:r>
    </w:p>
    <w:p>
      <w:pPr>
        <w:spacing w:after="0" w:line="11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792"/>
              <w:spacing w:after="0"/>
              <w:rPr>
                <w:sz w:val="20"/>
                <w:szCs w:val="20"/>
                <w:color w:val="auto"/>
              </w:rPr>
            </w:pPr>
            <w:r>
              <w:rPr>
                <w:rFonts w:ascii="Times New Roman" w:cs="Times New Roman" w:eastAsia="Times New Roman" w:hAnsi="Times New Roman"/>
                <w:sz w:val="14"/>
                <w:szCs w:val="14"/>
                <w:color w:val="auto"/>
              </w:rPr>
              <w:t>Three Months Ended</w:t>
            </w:r>
          </w:p>
        </w:tc>
        <w:tc>
          <w:tcPr>
            <w:tcW w:w="11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color w:val="auto"/>
              </w:rPr>
              <w:t>Change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(b)</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color w:val="auto"/>
              </w:rPr>
              <w:t>2024</w:t>
            </w: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17,642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17,868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2,496</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2,407</w:t>
            </w:r>
          </w:p>
        </w:tc>
        <w:tc>
          <w:tcPr>
            <w:tcW w:w="11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3.7</w:t>
            </w: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20,138</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20,275</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6,918</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6,852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1,422</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1,366</w:t>
            </w:r>
          </w:p>
        </w:tc>
        <w:tc>
          <w:tcPr>
            <w:tcW w:w="110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4.1</w:t>
            </w:r>
          </w:p>
        </w:tc>
        <w:tc>
          <w:tcPr>
            <w:tcW w:w="12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8,340</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8,218</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spacing w:after="0"/>
              <w:rPr>
                <w:sz w:val="19"/>
                <w:szCs w:val="19"/>
                <w:color w:val="auto"/>
              </w:rPr>
            </w:pP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39.2 %</w:t>
            </w:r>
          </w:p>
        </w:tc>
        <w:tc>
          <w:tcPr>
            <w:tcW w:w="380" w:type="dxa"/>
            <w:vAlign w:val="bottom"/>
          </w:tcPr>
          <w:p>
            <w:pPr>
              <w:spacing w:after="0"/>
              <w:rPr>
                <w:sz w:val="19"/>
                <w:szCs w:val="19"/>
                <w:color w:val="auto"/>
              </w:rPr>
            </w:pPr>
          </w:p>
        </w:tc>
        <w:tc>
          <w:tcPr>
            <w:tcW w:w="1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38.3 %</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bps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bps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57.0</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56.7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bps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bps</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41.4 %</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40.5 %</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 bps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 bps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20" w:hanging="252"/>
        <w:spacing w:after="0" w:line="281" w:lineRule="auto"/>
        <w:tabs>
          <w:tab w:leader="none" w:pos="25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Adjusted EBITDA margin is Adjusted EBITDA as a percentage of revenue. We believe this metric is useful particularly as we continue to focus on growing our higher-margin businesses and improving overall operating cost management. The changes reflect the year-over-year basis point changes in the rounded Adjusted EBITDA margins.</w:t>
      </w:r>
    </w:p>
    <w:p>
      <w:pPr>
        <w:spacing w:after="0" w:line="1" w:lineRule="exact"/>
        <w:rPr>
          <w:rFonts w:ascii="Times New Roman" w:cs="Times New Roman" w:eastAsia="Times New Roman" w:hAnsi="Times New Roman"/>
          <w:sz w:val="14"/>
          <w:szCs w:val="14"/>
          <w:color w:val="auto"/>
        </w:rPr>
      </w:pPr>
    </w:p>
    <w:p>
      <w:pPr>
        <w:ind w:left="260" w:hanging="252"/>
        <w:spacing w:after="0" w:line="285" w:lineRule="auto"/>
        <w:tabs>
          <w:tab w:leader="none" w:pos="25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23 for additional information, including our definition and our use of constant currency, and for a reconciliation of constant currency amounts.</w:t>
      </w:r>
    </w:p>
    <w:p>
      <w:pPr>
        <w:jc w:val="both"/>
        <w:spacing w:after="0" w:line="237" w:lineRule="auto"/>
        <w:rPr>
          <w:sz w:val="20"/>
          <w:szCs w:val="20"/>
          <w:color w:val="auto"/>
        </w:rPr>
      </w:pPr>
      <w:r>
        <w:rPr>
          <w:rFonts w:ascii="Times New Roman" w:cs="Times New Roman" w:eastAsia="Times New Roman" w:hAnsi="Times New Roman"/>
          <w:sz w:val="18"/>
          <w:szCs w:val="18"/>
          <w:color w:val="auto"/>
        </w:rPr>
        <w:t>We continue to focus on growing our higher-margin connectivity businesses while managing overall operating costs. We also continue to invest in our network to support higher-speed broadband offerings and to expand the number of homes and businesses passed. Our customer relationship additions/(losses) continue to be negatively impacted by an increasingly competitive environment. We are focused on increasing our residential connectivity revenue through growth in average domestic broadband revenue per customer, as well as growth in domestic wireless and international connectivity revenue. At the same time, we expect continued declines in video revenue as a result of domestic customer net losses due to shifting video consumption patterns and the competitive environment, although customer net losses typically mitigate the impact of continued rate increases on programming expenses. We also expect continued declines in other revenue related to declines in wireline voice revenue. We are also focused on growing our Business Services Connectivity segment revenue by offering competitive services, including enterprise solutions.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Net Additions / (Losses)</w:t>
            </w:r>
          </w:p>
        </w:tc>
        <w:tc>
          <w:tcPr>
            <w:tcW w:w="0" w:type="dxa"/>
            <w:vAlign w:val="bottom"/>
          </w:tcPr>
          <w:p>
            <w:pPr>
              <w:spacing w:after="0"/>
              <w:rPr>
                <w:sz w:val="1"/>
                <w:szCs w:val="1"/>
                <w:color w:val="auto"/>
              </w:rPr>
            </w:pPr>
          </w:p>
        </w:tc>
      </w:tr>
      <w:tr>
        <w:trPr>
          <w:trHeight w:val="23"/>
        </w:trPr>
        <w:tc>
          <w:tcPr>
            <w:tcW w:w="68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860" w:type="dxa"/>
            <w:vAlign w:val="bottom"/>
          </w:tcPr>
          <w:p>
            <w:pPr>
              <w:spacing w:after="0"/>
              <w:rPr>
                <w:sz w:val="11"/>
                <w:szCs w:val="11"/>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800" w:type="dxa"/>
            <w:vAlign w:val="bottom"/>
          </w:tcPr>
          <w:p>
            <w:pPr>
              <w:spacing w:after="0"/>
              <w:rPr>
                <w:sz w:val="11"/>
                <w:szCs w:val="11"/>
                <w:color w:val="auto"/>
              </w:rPr>
            </w:pPr>
          </w:p>
        </w:tc>
        <w:tc>
          <w:tcPr>
            <w:tcW w:w="20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596"/>
              <w:spacing w:after="0"/>
              <w:rPr>
                <w:sz w:val="20"/>
                <w:szCs w:val="20"/>
                <w:color w:val="auto"/>
              </w:rPr>
            </w:pPr>
            <w:r>
              <w:rPr>
                <w:rFonts w:ascii="Times New Roman" w:cs="Times New Roman" w:eastAsia="Times New Roman" w:hAnsi="Times New Roman"/>
                <w:sz w:val="14"/>
                <w:szCs w:val="14"/>
                <w:color w:val="auto"/>
              </w:rPr>
              <w:t>March 31,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2025</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2024</w:t>
            </w:r>
          </w:p>
        </w:tc>
        <w:tc>
          <w:tcPr>
            <w:tcW w:w="13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color w:val="auto"/>
              </w:rPr>
              <w:t>2025</w:t>
            </w: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1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Domestic Residential Connectivity &amp; Platforms customer relationships</w:t>
            </w:r>
            <w:r>
              <w:rPr>
                <w:rFonts w:ascii="Times New Roman" w:cs="Times New Roman" w:eastAsia="Times New Roman" w:hAnsi="Times New Roman"/>
                <w:sz w:val="23"/>
                <w:szCs w:val="23"/>
                <w:color w:val="auto"/>
                <w:vertAlign w:val="superscript"/>
              </w:rPr>
              <w:t>(a)</w:t>
            </w: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30,969</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31,555</w:t>
            </w: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(204)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International Residential Connectivity &amp; Platforms customer relationships</w:t>
            </w:r>
            <w:r>
              <w:rPr>
                <w:rFonts w:ascii="Times New Roman" w:cs="Times New Roman" w:eastAsia="Times New Roman" w:hAnsi="Times New Roman"/>
                <w:sz w:val="23"/>
                <w:szCs w:val="23"/>
                <w:color w:val="auto"/>
                <w:vertAlign w:val="superscript"/>
              </w:rPr>
              <w:t>(a)</w:t>
            </w:r>
          </w:p>
        </w:tc>
        <w:tc>
          <w:tcPr>
            <w:tcW w:w="15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17,800</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17,782</w:t>
            </w:r>
          </w:p>
        </w:tc>
        <w:tc>
          <w:tcPr>
            <w:tcW w:w="13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68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Business Services Connectivity customer relationships</w:t>
            </w:r>
            <w:r>
              <w:rPr>
                <w:rFonts w:ascii="Times New Roman" w:cs="Times New Roman" w:eastAsia="Times New Roman" w:hAnsi="Times New Roman"/>
                <w:sz w:val="23"/>
                <w:szCs w:val="23"/>
                <w:color w:val="auto"/>
                <w:vertAlign w:val="superscript"/>
              </w:rPr>
              <w:t>(b)</w:t>
            </w: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2,613</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2,634</w:t>
            </w: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Connectivity &amp; Platforms customer relationships</w:t>
            </w:r>
          </w:p>
        </w:tc>
        <w:tc>
          <w:tcPr>
            <w:tcW w:w="156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51,381</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51,971</w:t>
            </w:r>
          </w:p>
        </w:tc>
        <w:tc>
          <w:tcPr>
            <w:tcW w:w="13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(228)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Broadband</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customers</w:t>
            </w:r>
          </w:p>
        </w:tc>
        <w:tc>
          <w:tcPr>
            <w:tcW w:w="15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29,190</w:t>
            </w:r>
          </w:p>
        </w:tc>
        <w:tc>
          <w:tcPr>
            <w:tcW w:w="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29,693</w:t>
            </w:r>
          </w:p>
        </w:tc>
        <w:tc>
          <w:tcPr>
            <w:tcW w:w="13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customers</w:t>
            </w: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2,453</w:t>
            </w:r>
          </w:p>
        </w:tc>
        <w:tc>
          <w:tcPr>
            <w:tcW w:w="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2,495</w:t>
            </w: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broadband customers</w:t>
            </w:r>
          </w:p>
        </w:tc>
        <w:tc>
          <w:tcPr>
            <w:tcW w:w="156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31,643</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32,188</w:t>
            </w:r>
          </w:p>
        </w:tc>
        <w:tc>
          <w:tcPr>
            <w:tcW w:w="13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(199)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Wireless</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domestic wireless lines</w:t>
            </w:r>
            <w:r>
              <w:rPr>
                <w:rFonts w:ascii="Times New Roman" w:cs="Times New Roman" w:eastAsia="Times New Roman" w:hAnsi="Times New Roman"/>
                <w:sz w:val="23"/>
                <w:szCs w:val="23"/>
                <w:color w:val="auto"/>
                <w:vertAlign w:val="superscript"/>
              </w:rPr>
              <w:t>(c)</w:t>
            </w:r>
          </w:p>
        </w:tc>
        <w:tc>
          <w:tcPr>
            <w:tcW w:w="156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8,148</w:t>
            </w:r>
          </w:p>
        </w:tc>
        <w:tc>
          <w:tcPr>
            <w:tcW w:w="8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6,877</w:t>
            </w:r>
          </w:p>
        </w:tc>
        <w:tc>
          <w:tcPr>
            <w:tcW w:w="134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323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23"/>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Video</w:t>
            </w:r>
          </w:p>
        </w:tc>
        <w:tc>
          <w:tcPr>
            <w:tcW w:w="1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domestic video customers</w:t>
            </w:r>
          </w:p>
        </w:tc>
        <w:tc>
          <w:tcPr>
            <w:tcW w:w="156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12,096</w:t>
            </w:r>
          </w:p>
        </w:tc>
        <w:tc>
          <w:tcPr>
            <w:tcW w:w="8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13,618</w:t>
            </w:r>
          </w:p>
        </w:tc>
        <w:tc>
          <w:tcPr>
            <w:tcW w:w="13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(427)</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homes and businesses passed</w:t>
            </w:r>
            <w:r>
              <w:rPr>
                <w:rFonts w:ascii="Times New Roman" w:cs="Times New Roman" w:eastAsia="Times New Roman" w:hAnsi="Times New Roman"/>
                <w:sz w:val="23"/>
                <w:szCs w:val="23"/>
                <w:color w:val="auto"/>
                <w:vertAlign w:val="superscript"/>
              </w:rPr>
              <w:t>(d)</w:t>
            </w:r>
          </w:p>
        </w:tc>
        <w:tc>
          <w:tcPr>
            <w:tcW w:w="15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63,967</w:t>
            </w: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62,729</w:t>
            </w: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bottom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Domestic broadband penetration of homes and businesses passed</w:t>
            </w:r>
            <w:r>
              <w:rPr>
                <w:rFonts w:ascii="Times New Roman" w:cs="Times New Roman" w:eastAsia="Times New Roman" w:hAnsi="Times New Roman"/>
                <w:sz w:val="23"/>
                <w:szCs w:val="23"/>
                <w:color w:val="auto"/>
                <w:vertAlign w:val="superscript"/>
              </w:rPr>
              <w:t>(e)</w:t>
            </w:r>
          </w:p>
        </w:tc>
        <w:tc>
          <w:tcPr>
            <w:tcW w:w="156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49.3 %</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260" w:hanging="252"/>
        <w:spacing w:after="0" w:line="271" w:lineRule="auto"/>
        <w:tabs>
          <w:tab w:leader="none" w:pos="257"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Residential Connectivity &amp; Platforms customer relationships generally represent the number of residential customer locations that subscribe to at least one of our services. International Residential Connectivity &amp; Platforms customer relationships represent customers receiving Sky services in the United Kingdom and Italy. Because each of our services includes a variety of product tiers, which may change from time to time, net additions or losses in any one period will reflect a mix of customers at various tiers.</w:t>
      </w:r>
    </w:p>
    <w:p>
      <w:pPr>
        <w:spacing w:after="0" w:line="8" w:lineRule="exact"/>
        <w:rPr>
          <w:rFonts w:ascii="Times New Roman" w:cs="Times New Roman" w:eastAsia="Times New Roman" w:hAnsi="Times New Roman"/>
          <w:sz w:val="14"/>
          <w:szCs w:val="14"/>
          <w:color w:val="auto"/>
        </w:rPr>
      </w:pPr>
    </w:p>
    <w:p>
      <w:pPr>
        <w:jc w:val="both"/>
        <w:ind w:left="260" w:hanging="252"/>
        <w:spacing w:after="0" w:line="271" w:lineRule="auto"/>
        <w:tabs>
          <w:tab w:leader="none" w:pos="2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Services Connectivity customer metrics are generally counted based on the number of locations receiving services, including locations within our network in the United States, as well as locations outside of our network both in the United States and internationally. Certain arrangements whereby third parties provide connectivity services leveraging our network are also generally counted based on the number of locations served.</w:t>
      </w:r>
    </w:p>
    <w:p>
      <w:pPr>
        <w:spacing w:after="0" w:line="8"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wireless lines represent the number of residential and business customers’ wireless devices. An individual customer relationship may have multiple wireless lines.</w:t>
      </w:r>
    </w:p>
    <w:p>
      <w:pPr>
        <w:spacing w:after="0" w:line="41" w:lineRule="exact"/>
        <w:rPr>
          <w:rFonts w:ascii="Times New Roman" w:cs="Times New Roman" w:eastAsia="Times New Roman" w:hAnsi="Times New Roman"/>
          <w:sz w:val="14"/>
          <w:szCs w:val="14"/>
          <w:color w:val="auto"/>
        </w:rPr>
      </w:pPr>
    </w:p>
    <w:p>
      <w:pPr>
        <w:ind w:left="260" w:hanging="252"/>
        <w:spacing w:after="0" w:line="281" w:lineRule="auto"/>
        <w:tabs>
          <w:tab w:leader="none" w:pos="25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Connectivity &amp; Platforms domestic homes and businesses are considered passed if we can connect them to our network in the United States without further extending the transmission lines. Homes and businesses passed is an estimate based on the best available information.</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domestic customers located within our network by the number of domestic homes and businesses passed.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3"/>
          </w:tcPr>
          <w:p>
            <w:pPr>
              <w:jc w:val="right"/>
              <w:ind w:right="736"/>
              <w:spacing w:after="0"/>
              <w:rPr>
                <w:sz w:val="20"/>
                <w:szCs w:val="20"/>
                <w:color w:val="auto"/>
              </w:rPr>
            </w:pPr>
            <w:r>
              <w:rPr>
                <w:rFonts w:ascii="Times New Roman" w:cs="Times New Roman" w:eastAsia="Times New Roman" w:hAnsi="Times New Roman"/>
                <w:sz w:val="14"/>
                <w:szCs w:val="14"/>
                <w:color w:val="auto"/>
              </w:rPr>
              <w:t>Three Months Ended</w:t>
            </w:r>
          </w:p>
        </w:tc>
        <w:tc>
          <w:tcPr>
            <w:tcW w:w="1220" w:type="dxa"/>
            <w:vAlign w:val="bottom"/>
            <w:vMerge w:val="restart"/>
          </w:tcPr>
          <w:p>
            <w:pPr>
              <w:jc w:val="right"/>
              <w:ind w:right="439"/>
              <w:spacing w:after="0"/>
              <w:rPr>
                <w:sz w:val="20"/>
                <w:szCs w:val="20"/>
                <w:color w:val="auto"/>
              </w:rPr>
            </w:pPr>
            <w:r>
              <w:rPr>
                <w:rFonts w:ascii="Times New Roman" w:cs="Times New Roman" w:eastAsia="Times New Roman" w:hAnsi="Times New Roman"/>
                <w:sz w:val="14"/>
                <w:szCs w:val="14"/>
                <w:color w:val="auto"/>
              </w:rPr>
              <w:t>Change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60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0" w:type="dxa"/>
            <w:vAlign w:val="bottom"/>
          </w:tcPr>
          <w:p>
            <w:pPr>
              <w:spacing w:after="0"/>
              <w:rPr>
                <w:sz w:val="1"/>
                <w:szCs w:val="1"/>
                <w:color w:val="auto"/>
              </w:rPr>
            </w:pPr>
          </w:p>
        </w:tc>
      </w:tr>
      <w:tr>
        <w:trPr>
          <w:trHeight w:val="189"/>
        </w:trPr>
        <w:tc>
          <w:tcPr>
            <w:tcW w:w="6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revenue per customer relationship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129.84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175"/>
        </w:trPr>
        <w:tc>
          <w:tcPr>
            <w:tcW w:w="6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relationship</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52.62</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302" w:lineRule="auto"/>
        <w:tabs>
          <w:tab w:leader="none" w:pos="25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23 for additional information, including our definition and our use of constant currency, and for a reconciliation of constant currency amounts.</w:t>
      </w:r>
    </w:p>
    <w:p>
      <w:pPr>
        <w:spacing w:after="0" w:line="2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monthly total revenue per customer relationship is impacted by rate adjustments and changes in the types and levels of services received by our residential and business customers, as well as changes in advertising and other revenue and in foreign currency exchange rates. While revenue from our individual service offerings is also impacted by changes in the allocation of revenue among services sold in a bundle, the allocation does not impact average monthly total revenue per customer relationship. Each of our services has a different contribution to Adjusted EBITDA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Connectivity &amp; Platforms — Supplemental Costs and Expenses Information</w:t>
      </w:r>
    </w:p>
    <w:p>
      <w:pPr>
        <w:spacing w:after="0" w:line="1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Connectivity &amp; Platforms supplemental costs and expenses information in the table below is presented on an aggregate basis across the Connectivity &amp; Platforms segments as the segments use certain shared infrastructure, including our network in the United States. Costs and expenses information reported separately for the Residential Connectivity &amp; Platforms and Business Services Connectivity segments includes each segment’s direct costs and an allocation of shared costs.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1"/>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spacing w:after="0" w:line="201" w:lineRule="exact"/>
              <w:rPr>
                <w:sz w:val="20"/>
                <w:szCs w:val="20"/>
                <w:color w:val="auto"/>
              </w:rPr>
            </w:pPr>
            <w:r>
              <w:rPr>
                <w:rFonts w:ascii="Times New Roman" w:cs="Times New Roman" w:eastAsia="Times New Roman" w:hAnsi="Times New Roman"/>
                <w:sz w:val="14"/>
                <w:szCs w:val="14"/>
                <w:color w:val="auto"/>
                <w:w w:val="98"/>
              </w:rPr>
              <w:t>Change</w:t>
            </w:r>
            <w:r>
              <w:rPr>
                <w:rFonts w:ascii="Times New Roman" w:cs="Times New Roman" w:eastAsia="Times New Roman" w:hAnsi="Times New Roman"/>
                <w:sz w:val="18"/>
                <w:szCs w:val="18"/>
                <w:color w:val="auto"/>
                <w:w w:val="98"/>
                <w:vertAlign w:val="superscript"/>
              </w:rPr>
              <w:t>(g)</w:t>
            </w:r>
          </w:p>
        </w:tc>
        <w:tc>
          <w:tcPr>
            <w:tcW w:w="0" w:type="dxa"/>
            <w:vAlign w:val="bottom"/>
          </w:tcPr>
          <w:p>
            <w:pPr>
              <w:spacing w:after="0"/>
              <w:rPr>
                <w:sz w:val="1"/>
                <w:szCs w:val="1"/>
                <w:color w:val="auto"/>
              </w:rPr>
            </w:pPr>
          </w:p>
        </w:tc>
      </w:tr>
      <w:tr>
        <w:trPr>
          <w:trHeight w:val="189"/>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2025</w:t>
            </w:r>
          </w:p>
        </w:tc>
        <w:tc>
          <w:tcPr>
            <w:tcW w:w="4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(a)</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4,107</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4,405</w:t>
            </w: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(6.8) %</w:t>
            </w: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6"/>
              </w:rPr>
              <w:t>(6.4) %</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Technical and support</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1,874</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1,959</w:t>
            </w:r>
          </w:p>
        </w:tc>
        <w:tc>
          <w:tcPr>
            <w:tcW w:w="12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Direct product costs</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1,625</w:t>
            </w:r>
          </w:p>
        </w:tc>
        <w:tc>
          <w:tcPr>
            <w:tcW w:w="44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1,514</w:t>
            </w: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7.3</w:t>
            </w:r>
          </w:p>
        </w:tc>
        <w:tc>
          <w:tcPr>
            <w:tcW w:w="13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Marketing and promotion</w:t>
            </w:r>
            <w:r>
              <w:rPr>
                <w:rFonts w:ascii="Times New Roman" w:cs="Times New Roman" w:eastAsia="Times New Roman" w:hAnsi="Times New Roman"/>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1,173</w:t>
            </w:r>
          </w:p>
        </w:tc>
        <w:tc>
          <w:tcPr>
            <w:tcW w:w="1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4.6</w:t>
            </w:r>
          </w:p>
        </w:tc>
        <w:tc>
          <w:tcPr>
            <w:tcW w:w="1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8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Customer service</w:t>
            </w:r>
            <w:r>
              <w:rPr>
                <w:rFonts w:ascii="Times New Roman" w:cs="Times New Roman" w:eastAsia="Times New Roman" w:hAnsi="Times New Roman"/>
                <w:sz w:val="23"/>
                <w:szCs w:val="23"/>
                <w:color w:val="auto"/>
                <w:vertAlign w:val="superscript"/>
              </w:rPr>
              <w:t>(e)</w:t>
            </w:r>
          </w:p>
        </w:tc>
        <w:tc>
          <w:tcPr>
            <w:tcW w:w="2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680</w:t>
            </w:r>
          </w:p>
        </w:tc>
        <w:tc>
          <w:tcPr>
            <w:tcW w:w="440" w:type="dxa"/>
            <w:vAlign w:val="bottom"/>
          </w:tcPr>
          <w:p>
            <w:pPr>
              <w:spacing w:after="0"/>
              <w:rPr>
                <w:sz w:val="19"/>
                <w:szCs w:val="19"/>
                <w:color w:val="auto"/>
              </w:rPr>
            </w:pPr>
          </w:p>
        </w:tc>
        <w:tc>
          <w:tcPr>
            <w:tcW w:w="10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709</w:t>
            </w:r>
          </w:p>
        </w:tc>
        <w:tc>
          <w:tcPr>
            <w:tcW w:w="12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(4.2)</w:t>
            </w: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(f)</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2,285</w:t>
            </w:r>
          </w:p>
        </w:tc>
        <w:tc>
          <w:tcPr>
            <w:tcW w:w="4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2,297</w:t>
            </w:r>
          </w:p>
        </w:tc>
        <w:tc>
          <w:tcPr>
            <w:tcW w:w="12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11,798</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12,058</w:t>
            </w:r>
          </w:p>
        </w:tc>
        <w:tc>
          <w:tcPr>
            <w:tcW w:w="12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(2.2)%</w:t>
            </w:r>
          </w:p>
        </w:tc>
        <w:tc>
          <w:tcPr>
            <w:tcW w:w="13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98"/>
              </w:rPr>
              <w:t>(1.8)%</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60" w:hanging="252"/>
        <w:spacing w:after="0" w:line="275"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expenses, which represent our most significant operating expense, are the fees we incur to provide video services to our customers, and primarily include fees related to the distribution of television network programming and fees charged for retransmission of the signals from local broadcast television stations. These expenses also include the costs of content on the Sky-branded entertainment television networks, including amortization of licensed content.</w:t>
      </w:r>
    </w:p>
    <w:p>
      <w:pPr>
        <w:ind w:left="260" w:right="20" w:hanging="252"/>
        <w:spacing w:after="0" w:line="281" w:lineRule="auto"/>
        <w:tabs>
          <w:tab w:leader="none" w:pos="2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Technical and support expenses primarily consists of costs for labor to complete service call and installation activities; and costs for network operations and satellite transmission, product development, fulfillment and provisioning.</w:t>
      </w:r>
    </w:p>
    <w:p>
      <w:pPr>
        <w:spacing w:after="0" w:line="1" w:lineRule="exact"/>
        <w:rPr>
          <w:rFonts w:ascii="Times New Roman" w:cs="Times New Roman" w:eastAsia="Times New Roman" w:hAnsi="Times New Roman"/>
          <w:sz w:val="14"/>
          <w:szCs w:val="14"/>
          <w:color w:val="auto"/>
        </w:rPr>
      </w:pPr>
    </w:p>
    <w:p>
      <w:pPr>
        <w:ind w:left="260" w:right="20" w:hanging="252"/>
        <w:spacing w:after="0" w:line="291" w:lineRule="auto"/>
        <w:tabs>
          <w:tab w:leader="none" w:pos="25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product costs primarily consists of access fees related to using wireless and broadband networks owned by third parties to deliver our services and costs of products sold, including wireless devices and Sky Glass smart televisions.</w:t>
      </w:r>
    </w:p>
    <w:p>
      <w:pPr>
        <w:spacing w:after="0" w:line="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 expenses primarily consists of the costs associated with attracting new customers and promoting our service offerings.</w:t>
      </w:r>
    </w:p>
    <w:p>
      <w:pPr>
        <w:spacing w:after="0" w:line="41" w:lineRule="exact"/>
        <w:rPr>
          <w:rFonts w:ascii="Times New Roman" w:cs="Times New Roman" w:eastAsia="Times New Roman" w:hAnsi="Times New Roman"/>
          <w:sz w:val="14"/>
          <w:szCs w:val="14"/>
          <w:color w:val="auto"/>
        </w:rPr>
      </w:pPr>
    </w:p>
    <w:p>
      <w:pPr>
        <w:ind w:left="240" w:hanging="232"/>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service expenses primarily consists of the personnel and other costs associated with customer service and certain selling activities.</w:t>
      </w:r>
    </w:p>
    <w:p>
      <w:pPr>
        <w:spacing w:after="0" w:line="41" w:lineRule="exact"/>
        <w:rPr>
          <w:rFonts w:ascii="Times New Roman" w:cs="Times New Roman" w:eastAsia="Times New Roman" w:hAnsi="Times New Roman"/>
          <w:sz w:val="14"/>
          <w:szCs w:val="14"/>
          <w:color w:val="auto"/>
        </w:rPr>
      </w:pPr>
    </w:p>
    <w:p>
      <w:pPr>
        <w:ind w:left="260" w:hanging="252"/>
        <w:spacing w:after="0" w:line="291" w:lineRule="auto"/>
        <w:tabs>
          <w:tab w:leader="none" w:pos="255"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primarily consists of administrative personnel costs; franchise and other regulatory fees; fees paid to third parties where we sell advertising on their behalf; bad debt; building and office expenses, taxes and billing costs; and other business, headquarters and support costs necessary to operate the Connectivity &amp; Platforms business.</w:t>
      </w:r>
    </w:p>
    <w:p>
      <w:pPr>
        <w:spacing w:after="0" w:line="1" w:lineRule="exact"/>
        <w:rPr>
          <w:rFonts w:ascii="Times New Roman" w:cs="Times New Roman" w:eastAsia="Times New Roman" w:hAnsi="Times New Roman"/>
          <w:sz w:val="14"/>
          <w:szCs w:val="14"/>
          <w:color w:val="auto"/>
        </w:rPr>
      </w:pPr>
    </w:p>
    <w:p>
      <w:pPr>
        <w:ind w:left="260" w:hanging="252"/>
        <w:spacing w:after="0" w:line="297" w:lineRule="auto"/>
        <w:tabs>
          <w:tab w:leader="none" w:pos="2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23 for additional information, including our definition and our use of constant currency, and for a reconciliation of constant currency amounts.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Residential Connectivity &amp; Platforms Segment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3"/>
          </w:tcPr>
          <w:p>
            <w:pPr>
              <w:jc w:val="right"/>
              <w:ind w:right="771"/>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Change</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202"/>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31"/>
              <w:spacing w:after="0" w:line="196" w:lineRule="exact"/>
              <w:rPr>
                <w:sz w:val="20"/>
                <w:szCs w:val="20"/>
                <w:color w:val="auto"/>
              </w:rPr>
            </w:pPr>
            <w:r>
              <w:rPr>
                <w:rFonts w:ascii="Times New Roman" w:cs="Times New Roman" w:eastAsia="Times New Roman" w:hAnsi="Times New Roman"/>
                <w:sz w:val="14"/>
                <w:szCs w:val="14"/>
                <w:color w:val="auto"/>
              </w:rPr>
              <w:t>2024</w:t>
            </w:r>
            <w:r>
              <w:rPr>
                <w:rFonts w:ascii="Times New Roman" w:cs="Times New Roman" w:eastAsia="Times New Roman" w:hAnsi="Times New Roman"/>
                <w:sz w:val="18"/>
                <w:szCs w:val="18"/>
                <w:color w:val="auto"/>
                <w:vertAlign w:val="superscript"/>
              </w:rPr>
              <w:t>(b)</w:t>
            </w:r>
          </w:p>
        </w:tc>
        <w:tc>
          <w:tcPr>
            <w:tcW w:w="12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6,558</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6,446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1,123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972</w:t>
            </w:r>
          </w:p>
        </w:tc>
        <w:tc>
          <w:tcPr>
            <w:tcW w:w="12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15.6</w:t>
            </w: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1,132</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1,033</w:t>
            </w: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9.5</w:t>
            </w: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8,813</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8,451</w:t>
            </w:r>
          </w:p>
        </w:tc>
        <w:tc>
          <w:tcPr>
            <w:tcW w:w="126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4.3</w:t>
            </w:r>
          </w:p>
        </w:tc>
        <w:tc>
          <w:tcPr>
            <w:tcW w:w="1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6,718</w:t>
            </w:r>
          </w:p>
        </w:tc>
        <w:tc>
          <w:tcPr>
            <w:tcW w:w="400" w:type="dxa"/>
            <w:vAlign w:val="bottom"/>
          </w:tcPr>
          <w:p>
            <w:pPr>
              <w:spacing w:after="0"/>
              <w:rPr>
                <w:sz w:val="19"/>
                <w:szCs w:val="19"/>
                <w:color w:val="auto"/>
              </w:rPr>
            </w:pPr>
          </w:p>
        </w:tc>
        <w:tc>
          <w:tcPr>
            <w:tcW w:w="11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7,104</w:t>
            </w:r>
          </w:p>
        </w:tc>
        <w:tc>
          <w:tcPr>
            <w:tcW w:w="12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(5.4)</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951</w:t>
            </w:r>
          </w:p>
        </w:tc>
        <w:tc>
          <w:tcPr>
            <w:tcW w:w="12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(7.4)</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1,230</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1,362</w:t>
            </w:r>
          </w:p>
        </w:tc>
        <w:tc>
          <w:tcPr>
            <w:tcW w:w="12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17,642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17,868</w:t>
            </w:r>
          </w:p>
        </w:tc>
        <w:tc>
          <w:tcPr>
            <w:tcW w:w="12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(1.3)</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4,107</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4,405</w:t>
            </w:r>
          </w:p>
        </w:tc>
        <w:tc>
          <w:tcPr>
            <w:tcW w:w="12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(6.8)</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6,617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6,611</w:t>
            </w:r>
          </w:p>
        </w:tc>
        <w:tc>
          <w:tcPr>
            <w:tcW w:w="12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10,724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11,016</w:t>
            </w:r>
          </w:p>
        </w:tc>
        <w:tc>
          <w:tcPr>
            <w:tcW w:w="12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(2.7)</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6,918</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6,852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60" w:right="20" w:hanging="252"/>
        <w:spacing w:after="0" w:line="281" w:lineRule="auto"/>
        <w:tabs>
          <w:tab w:leader="none" w:pos="25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23 for additional information, including our definition and our use of constant currency, and for a reconciliation of constant currency amounts.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25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first quarter of 2025, commission revenue from the sale of certain direct to consumer (“DTC”) streaming services and revenue related to certain equipment are presented in video revenue. Previously, these amounts were presented in domestic broadband and international connectivity. Prior periods have been reclassified to reflect the current year presentation.</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Revenue</w:t>
      </w:r>
    </w:p>
    <w:p>
      <w:pPr>
        <w:spacing w:after="0" w:line="11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broadband revenue </w:t>
      </w:r>
      <w:r>
        <w:rPr>
          <w:rFonts w:ascii="Times New Roman" w:cs="Times New Roman" w:eastAsia="Times New Roman" w:hAnsi="Times New Roman"/>
          <w:sz w:val="18"/>
          <w:szCs w:val="18"/>
          <w:color w:val="auto"/>
        </w:rPr>
        <w:t>increased for the three months ended March 31, 2025 compared to the same period in 2024 due to an increase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average rates, which offset a decline in the number of domestic broadband customers.</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Domestic wireless revenue </w:t>
      </w:r>
      <w:r>
        <w:rPr>
          <w:rFonts w:ascii="Times New Roman" w:cs="Times New Roman" w:eastAsia="Times New Roman" w:hAnsi="Times New Roman"/>
          <w:sz w:val="18"/>
          <w:szCs w:val="18"/>
          <w:color w:val="auto"/>
        </w:rPr>
        <w:t>increased for the three months ended March 31, 2025 compared to the same period in 2024 primarily due to an increase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the number of customer lines and device sales.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International connectivity revenue </w:t>
      </w:r>
      <w:r>
        <w:rPr>
          <w:rFonts w:ascii="Times New Roman" w:cs="Times New Roman" w:eastAsia="Times New Roman" w:hAnsi="Times New Roman"/>
          <w:sz w:val="18"/>
          <w:szCs w:val="18"/>
          <w:color w:val="auto"/>
        </w:rPr>
        <w:t>increased for the three months ended March 31, 2025 compared to the same period in 2024 due to an increase in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broadband revenue resulting from an increase in average rates and an increase in wireless revenue resulting from an increase in the sale of wireless services.</w:t>
      </w:r>
    </w:p>
    <w:p>
      <w:pPr>
        <w:spacing w:after="0" w:line="15"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Video revenue </w:t>
      </w:r>
      <w:r>
        <w:rPr>
          <w:rFonts w:ascii="Times New Roman" w:cs="Times New Roman" w:eastAsia="Times New Roman" w:hAnsi="Times New Roman"/>
          <w:sz w:val="18"/>
          <w:szCs w:val="18"/>
          <w:color w:val="auto"/>
        </w:rPr>
        <w:t>decreased for the three months ended March 31, 2025 compared to the same period in 2024 due to a decline in the overall number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video customers, partially offset by an overall increase in average rates.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Advertising revenue </w:t>
      </w:r>
      <w:r>
        <w:rPr>
          <w:rFonts w:ascii="Times New Roman" w:cs="Times New Roman" w:eastAsia="Times New Roman" w:hAnsi="Times New Roman"/>
          <w:sz w:val="18"/>
          <w:szCs w:val="18"/>
          <w:color w:val="auto"/>
        </w:rPr>
        <w:t>decreased for the three months ended March 31, 2025 compared to the same period in 2024 due to lower international advertising</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and lower domestic political and nonpolitical advertising.</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revenue </w:t>
      </w:r>
      <w:r>
        <w:rPr>
          <w:rFonts w:ascii="Times New Roman" w:cs="Times New Roman" w:eastAsia="Times New Roman" w:hAnsi="Times New Roman"/>
          <w:sz w:val="18"/>
          <w:szCs w:val="18"/>
          <w:color w:val="auto"/>
        </w:rPr>
        <w:t>decreased for the three months ended March 31, 2025 compared to the same period in 2024 primarily due to a decrease in residential</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wireline voice revenue driven by a decline in the number of customers.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Connectivity &amp; Platforms Segment – Costs and Expenses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 xml:space="preserve">Programming expenses </w:t>
      </w:r>
      <w:r>
        <w:rPr>
          <w:rFonts w:ascii="Times New Roman" w:cs="Times New Roman" w:eastAsia="Times New Roman" w:hAnsi="Times New Roman"/>
          <w:sz w:val="18"/>
          <w:szCs w:val="18"/>
          <w:color w:val="auto"/>
        </w:rPr>
        <w:t>decreased for the three months ended March 31, 2025 compared to the same period in 2024 primarily due to a decline in the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number of domestic video subscribers, partially offset by rate increases under our domestic programming contracts and an increase in programming expenses for our international sports networks.</w:t>
      </w:r>
    </w:p>
    <w:p>
      <w:pPr>
        <w:spacing w:after="0" w:line="1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Other expenses </w:t>
      </w:r>
      <w:r>
        <w:rPr>
          <w:rFonts w:ascii="Times New Roman" w:cs="Times New Roman" w:eastAsia="Times New Roman" w:hAnsi="Times New Roman"/>
          <w:sz w:val="18"/>
          <w:szCs w:val="18"/>
          <w:color w:val="auto"/>
        </w:rPr>
        <w:t>remained consistent for the three months ended March 31, 2025 compared to the same period in 2024 primarily due to increased direct</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product costs and increased spending on marketing and promotion, offset by lower technical and support and customer service expenses.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Services Connectivity Segment Results of Operations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1260" w:type="dxa"/>
            <w:vAlign w:val="bottom"/>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color w:val="auto"/>
              </w:rPr>
              <w:t>2025</w:t>
            </w:r>
          </w:p>
        </w:tc>
        <w:tc>
          <w:tcPr>
            <w:tcW w:w="6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color w:val="auto"/>
              </w:rPr>
              <w:t>2024</w:t>
            </w:r>
          </w:p>
        </w:tc>
        <w:tc>
          <w:tcPr>
            <w:tcW w:w="12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2,496</w:t>
            </w:r>
          </w:p>
        </w:tc>
        <w:tc>
          <w:tcPr>
            <w:tcW w:w="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2,407</w:t>
            </w:r>
          </w:p>
        </w:tc>
        <w:tc>
          <w:tcPr>
            <w:tcW w:w="12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1,074</w:t>
            </w: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rPr>
              <w:t>1,041</w:t>
            </w:r>
          </w:p>
        </w:tc>
        <w:tc>
          <w:tcPr>
            <w:tcW w:w="12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1,422</w:t>
            </w:r>
          </w:p>
        </w:tc>
        <w:tc>
          <w:tcPr>
            <w:tcW w:w="66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1,366</w:t>
            </w:r>
          </w:p>
        </w:tc>
        <w:tc>
          <w:tcPr>
            <w:tcW w:w="1460" w:type="dxa"/>
            <w:vAlign w:val="bottom"/>
            <w:tcBorders>
              <w:bottom w:val="single" w:sz="8" w:color="auto"/>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4.1 %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revenue </w:t>
      </w:r>
      <w:r>
        <w:rPr>
          <w:rFonts w:ascii="Times New Roman" w:cs="Times New Roman" w:eastAsia="Times New Roman" w:hAnsi="Times New Roman"/>
          <w:sz w:val="18"/>
          <w:szCs w:val="18"/>
          <w:color w:val="auto"/>
        </w:rPr>
        <w:t>increased for the three months ended March 31, 2025 compared to the same period in 2024 due to an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 in revenue from enterprise solutions offerings and from higher average rates from small business customers.</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Business services connectivity costs and expenses </w:t>
      </w:r>
      <w:r>
        <w:rPr>
          <w:rFonts w:ascii="Times New Roman" w:cs="Times New Roman" w:eastAsia="Times New Roman" w:hAnsi="Times New Roman"/>
          <w:sz w:val="18"/>
          <w:szCs w:val="18"/>
          <w:color w:val="auto"/>
        </w:rPr>
        <w:t>increased for the three months ended March 31, 2025 compared to the same period in 2024</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an increase in direct product costs.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Results of Operations</w:t>
      </w:r>
    </w:p>
    <w:p>
      <w:pPr>
        <w:spacing w:after="0" w:line="30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Three Months Ended</w:t>
            </w:r>
          </w:p>
        </w:tc>
        <w:tc>
          <w:tcPr>
            <w:tcW w:w="12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color w:val="auto"/>
              </w:rPr>
              <w:t>2024</w:t>
            </w: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6,371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2,743</w:t>
            </w:r>
          </w:p>
        </w:tc>
        <w:tc>
          <w:tcPr>
            <w:tcW w:w="12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0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1,979</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(731)</w:t>
            </w:r>
          </w:p>
        </w:tc>
        <w:tc>
          <w:tcPr>
            <w:tcW w:w="12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10,457</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10,374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0.8 %</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827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Studios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0" w:type="dxa"/>
            <w:vAlign w:val="bottom"/>
          </w:tcPr>
          <w:p>
            <w:pPr>
              <w:spacing w:after="0"/>
              <w:rPr>
                <w:sz w:val="19"/>
                <w:szCs w:val="19"/>
                <w:color w:val="auto"/>
              </w:rPr>
            </w:pPr>
          </w:p>
        </w:tc>
        <w:tc>
          <w:tcPr>
            <w:tcW w:w="114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244</w:t>
            </w: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Theme Parks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632</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Headquarters and Other</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tcPr>
          <w:p>
            <w:pPr>
              <w:spacing w:after="0"/>
              <w:rPr>
                <w:sz w:val="19"/>
                <w:szCs w:val="19"/>
                <w:color w:val="auto"/>
              </w:rPr>
            </w:pPr>
          </w:p>
        </w:tc>
        <w:tc>
          <w:tcPr>
            <w:tcW w:w="114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(243)</w:t>
            </w: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9"/>
        </w:trPr>
        <w:tc>
          <w:tcPr>
            <w:tcW w:w="7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33</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30"/>
        </w:trPr>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Content &amp; Experiences Adjusted EBITDA</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1,490</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1,493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operate our Media segment as a combined television and streaming business. We expect that the number of subscribers and audience ratings at our linear television networks will continue to decline as a result of the competitive environment and shifting video consumption patterns, which we aim to mitigate over time by growth in paid subscribers and advertising revenue at Peacock. We expect to continue to incur significant costs related to content and marketing at Peacock. Revenue and programming expenses are also impacted by the timing of certain sporting events, including our acquisition of NBA rights, which begin in the fourth quarter of 2025.</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Studios segment generates revenue primarily from third parties and from licensing content to our Media segment. While results of operations for our Studios segment are not impacted, results for our total Content &amp; Experiences business may be impacted as the Studios segment licenses content to the Media segment, including for Peacock, rather than licensing the content to third parties.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invest significantly in existing and new theme park attractions, hotels and infrastructure, including Epic Universe in Orlando, which is scheduled to open in May 2025, as well as in new destinations and experiences, which we believe will have a positive impact on attendance and guest spending at our theme parks.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Segment Results of Operations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36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color w:val="auto"/>
              </w:rPr>
              <w:t>2024</w:t>
            </w:r>
          </w:p>
        </w:tc>
        <w:tc>
          <w:tcPr>
            <w:tcW w:w="12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 advertising</w:t>
            </w:r>
          </w:p>
        </w:tc>
        <w:tc>
          <w:tcPr>
            <w:tcW w:w="3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(6.8)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Domestic distribution</w:t>
            </w: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2,906</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networks</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42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1,021</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420</w:t>
            </w:r>
          </w:p>
        </w:tc>
        <w:tc>
          <w:tcPr>
            <w:tcW w:w="12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6,440</w:t>
            </w:r>
          </w:p>
        </w:tc>
        <w:tc>
          <w:tcPr>
            <w:tcW w:w="42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6,371</w:t>
            </w: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420" w:type="dxa"/>
            <w:vAlign w:val="bottom"/>
          </w:tcPr>
          <w:p>
            <w:pPr>
              <w:spacing w:after="0"/>
              <w:rPr>
                <w:sz w:val="19"/>
                <w:szCs w:val="19"/>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4,140</w:t>
            </w:r>
          </w:p>
        </w:tc>
        <w:tc>
          <w:tcPr>
            <w:tcW w:w="1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Marketing and promotion</w:t>
            </w:r>
          </w:p>
        </w:tc>
        <w:tc>
          <w:tcPr>
            <w:tcW w:w="3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314</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1,090</w:t>
            </w:r>
          </w:p>
        </w:tc>
        <w:tc>
          <w:tcPr>
            <w:tcW w:w="12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3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5,545</w:t>
            </w:r>
          </w:p>
        </w:tc>
        <w:tc>
          <w:tcPr>
            <w:tcW w:w="12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w:t>
            </w: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827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6"/>
        </w:trPr>
        <w:tc>
          <w:tcPr>
            <w:tcW w:w="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3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9A9A9A"/>
            </w:tcBorders>
          </w:tcPr>
          <w:p>
            <w:pPr>
              <w:spacing w:after="0"/>
              <w:rPr>
                <w:sz w:val="19"/>
                <w:szCs w:val="19"/>
                <w:color w:val="auto"/>
              </w:rPr>
            </w:pPr>
          </w:p>
        </w:tc>
        <w:tc>
          <w:tcPr>
            <w:tcW w:w="3840" w:type="dxa"/>
            <w:vAlign w:val="bottom"/>
            <w:tcBorders>
              <w:bottom w:val="single" w:sz="8" w:color="9A9A9A"/>
            </w:tcBorders>
          </w:tcPr>
          <w:p>
            <w:pPr>
              <w:spacing w:after="0"/>
              <w:rPr>
                <w:sz w:val="19"/>
                <w:szCs w:val="19"/>
                <w:color w:val="auto"/>
              </w:rPr>
            </w:pPr>
          </w:p>
        </w:tc>
        <w:tc>
          <w:tcPr>
            <w:tcW w:w="336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Revenue</w:t>
      </w:r>
    </w:p>
    <w:p>
      <w:pPr>
        <w:spacing w:after="0" w:line="10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advertising revenue </w:t>
      </w:r>
      <w:r>
        <w:rPr>
          <w:rFonts w:ascii="Times New Roman" w:cs="Times New Roman" w:eastAsia="Times New Roman" w:hAnsi="Times New Roman"/>
          <w:sz w:val="18"/>
          <w:szCs w:val="18"/>
          <w:color w:val="auto"/>
        </w:rPr>
        <w:t>decreased for the three months ended March 31, 2025 compared to the same period in 2024 primarily due to a decrease</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 revenue at our linear television networks, partially offset by an increase in revenue at Peacock.</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Domestic distribution revenue </w:t>
      </w:r>
      <w:r>
        <w:rPr>
          <w:rFonts w:ascii="Times New Roman" w:cs="Times New Roman" w:eastAsia="Times New Roman" w:hAnsi="Times New Roman"/>
          <w:sz w:val="18"/>
          <w:szCs w:val="18"/>
          <w:color w:val="auto"/>
        </w:rPr>
        <w:t>remained consistent for the three months ended March 31, 2025 compared to the same period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an increase in revenue at Peacock, offset by a decrease in revenue at our linear television networks.</w:t>
      </w:r>
    </w:p>
    <w:p>
      <w:pPr>
        <w:spacing w:after="0" w:line="1"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 xml:space="preserve">International networks revenue </w:t>
      </w:r>
      <w:r>
        <w:rPr>
          <w:rFonts w:ascii="Times New Roman" w:cs="Times New Roman" w:eastAsia="Times New Roman" w:hAnsi="Times New Roman"/>
          <w:sz w:val="18"/>
          <w:szCs w:val="18"/>
          <w:color w:val="auto"/>
        </w:rPr>
        <w:t>increased for the three months ended March 31, 2025 compared to the same period in 2024 primarily due to an</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increase in revenue associated with the distribution of sports networks.</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Media segment total revenue included $1.2 billion and $1.1 billion related to Peacock for the three months ended March 31, 2025 and 2024, respectively. We had 41 million and 34 million paid subscribers of Peacock as of March 31, 2025 and 2024, respectively. Peacock paid subscribers represent customers from which we recognize distribution revenue, including both customers that pay us directly and customers receiving the service through arrangements with companies who sell Peacock on our behalf. In these arrangements, paid subscribers are counted based on the terms of the arrangement when the related revenue is recognized. As a result, certain customers are counted when they activate their account, while other customers are counted when the Peacock service is made available to them as part of their bundled service offering regardless of whether it is activated. The increase in paid subscribers in 2025 is mainly due to availability of Peacock through a third-party’s bundled service offering.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Segment – Costs and Expenses</w:t>
      </w:r>
    </w:p>
    <w:p>
      <w:pPr>
        <w:spacing w:after="0" w:line="11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decreased for the three months ended March 31, 2025 compared to the same period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lower sports programming costs at Peacock and our domestic television networks, mainly reflecting lower sports volumes compared to the prior year period. This decrease was partially offset by an increase in entertainment content costs for our domestic television networks and an increase in sports programming costs for our international television networks.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increased for the three months ended March 31, 2025 compared to the same period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higher costs related to marketing for entertainment programming, partially offset by decreased spending on marketing at Peacock.</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 * *</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Media segment total costs and expenses included $1.4 billion and $1.7 billion related to Peacock for the three months ended March 31, 2025 and 2024,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Studios Segment Results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3"/>
          </w:tcPr>
          <w:p>
            <w:pPr>
              <w:jc w:val="right"/>
              <w:ind w:right="772"/>
              <w:spacing w:after="0"/>
              <w:rPr>
                <w:sz w:val="20"/>
                <w:szCs w:val="20"/>
                <w:color w:val="auto"/>
              </w:rPr>
            </w:pPr>
            <w:r>
              <w:rPr>
                <w:rFonts w:ascii="Times New Roman" w:cs="Times New Roman" w:eastAsia="Times New Roman" w:hAnsi="Times New Roman"/>
                <w:sz w:val="14"/>
                <w:szCs w:val="14"/>
                <w:color w:val="auto"/>
              </w:rPr>
              <w:t>Three Months Ended</w:t>
            </w: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Change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color w:val="auto"/>
              </w:rPr>
              <w:t>2024</w:t>
            </w:r>
          </w:p>
        </w:tc>
        <w:tc>
          <w:tcPr>
            <w:tcW w:w="10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Content licensing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2,101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Theatrical</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330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312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2,826</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2,743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1,859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0" w:type="dxa"/>
            <w:vAlign w:val="bottom"/>
          </w:tcPr>
          <w:p>
            <w:pPr>
              <w:spacing w:after="0"/>
              <w:rPr>
                <w:sz w:val="19"/>
                <w:szCs w:val="19"/>
                <w:color w:val="auto"/>
              </w:rPr>
            </w:pPr>
          </w:p>
        </w:tc>
        <w:tc>
          <w:tcPr>
            <w:tcW w:w="10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431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209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rPr>
              <w:t>2,499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244</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Revenue</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 xml:space="preserve">Content licensing revenue </w:t>
      </w:r>
      <w:r>
        <w:rPr>
          <w:rFonts w:ascii="Times New Roman" w:cs="Times New Roman" w:eastAsia="Times New Roman" w:hAnsi="Times New Roman"/>
          <w:sz w:val="18"/>
          <w:szCs w:val="18"/>
          <w:color w:val="auto"/>
        </w:rPr>
        <w:t>increased for the three months ended March 31, 2025 compared to the same period in 2024 primarily due to the timing of</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when content was made available by our film and television studios.</w:t>
      </w:r>
    </w:p>
    <w:p>
      <w:pPr>
        <w:spacing w:after="0" w:line="1" w:lineRule="exact"/>
        <w:rPr>
          <w:sz w:val="20"/>
          <w:szCs w:val="20"/>
          <w:color w:val="auto"/>
        </w:rPr>
      </w:pPr>
    </w:p>
    <w:p>
      <w:pPr>
        <w:jc w:val="both"/>
        <w:ind w:right="20"/>
        <w:spacing w:after="0" w:line="265" w:lineRule="auto"/>
        <w:rPr>
          <w:sz w:val="20"/>
          <w:szCs w:val="20"/>
          <w:color w:val="auto"/>
        </w:rPr>
      </w:pPr>
      <w:r>
        <w:rPr>
          <w:rFonts w:ascii="Arial" w:cs="Arial" w:eastAsia="Arial" w:hAnsi="Arial"/>
          <w:sz w:val="18"/>
          <w:szCs w:val="18"/>
          <w:b w:val="1"/>
          <w:bCs w:val="1"/>
          <w:i w:val="1"/>
          <w:iCs w:val="1"/>
          <w:color w:val="auto"/>
        </w:rPr>
        <w:t xml:space="preserve">Theatrical revenue </w:t>
      </w:r>
      <w:r>
        <w:rPr>
          <w:rFonts w:ascii="Times New Roman" w:cs="Times New Roman" w:eastAsia="Times New Roman" w:hAnsi="Times New Roman"/>
          <w:sz w:val="18"/>
          <w:szCs w:val="18"/>
          <w:color w:val="auto"/>
        </w:rPr>
        <w:t>decreased for the three months ended March 31, 2025 compared to the same period in 2024 primarily due to higher revenue from</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releases in the prior year period, including </w:t>
      </w:r>
      <w:r>
        <w:rPr>
          <w:rFonts w:ascii="Times New Roman" w:cs="Times New Roman" w:eastAsia="Times New Roman" w:hAnsi="Times New Roman"/>
          <w:sz w:val="18"/>
          <w:szCs w:val="18"/>
          <w:i w:val="1"/>
          <w:iCs w:val="1"/>
          <w:color w:val="auto"/>
        </w:rPr>
        <w:t>Kung Fu Panda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Migration</w:t>
      </w:r>
      <w:r>
        <w:rPr>
          <w:rFonts w:ascii="Times New Roman" w:cs="Times New Roman" w:eastAsia="Times New Roman" w:hAnsi="Times New Roman"/>
          <w:sz w:val="18"/>
          <w:szCs w:val="18"/>
          <w:color w:val="auto"/>
        </w:rPr>
        <w:t xml:space="preserve">, compared to revenue from recent releases impacting the current year period, including </w:t>
      </w:r>
      <w:r>
        <w:rPr>
          <w:rFonts w:ascii="Times New Roman" w:cs="Times New Roman" w:eastAsia="Times New Roman" w:hAnsi="Times New Roman"/>
          <w:sz w:val="18"/>
          <w:szCs w:val="18"/>
          <w:i w:val="1"/>
          <w:iCs w:val="1"/>
          <w:color w:val="auto"/>
        </w:rPr>
        <w:t>Dog 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Nosferatu</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Studios Segment – Costs and Expenses</w:t>
      </w:r>
    </w:p>
    <w:p>
      <w:pPr>
        <w:spacing w:after="0" w:line="118"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i w:val="1"/>
          <w:iCs w:val="1"/>
          <w:color w:val="auto"/>
        </w:rPr>
        <w:t xml:space="preserve">Programming and production costs </w:t>
      </w:r>
      <w:r>
        <w:rPr>
          <w:rFonts w:ascii="Times New Roman" w:cs="Times New Roman" w:eastAsia="Times New Roman" w:hAnsi="Times New Roman"/>
          <w:sz w:val="18"/>
          <w:szCs w:val="18"/>
          <w:color w:val="auto"/>
        </w:rPr>
        <w:t>increased for the three months ended March 31, 2025 compared to the same period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higher costs associated with content licensing sales.</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i w:val="1"/>
          <w:iCs w:val="1"/>
          <w:color w:val="auto"/>
        </w:rPr>
        <w:t xml:space="preserve">Marketing and promotion expenses </w:t>
      </w:r>
      <w:r>
        <w:rPr>
          <w:rFonts w:ascii="Times New Roman" w:cs="Times New Roman" w:eastAsia="Times New Roman" w:hAnsi="Times New Roman"/>
          <w:sz w:val="18"/>
          <w:szCs w:val="18"/>
          <w:color w:val="auto"/>
        </w:rPr>
        <w:t>decreased for the three months ended March 31, 2025 compared to the same period in 2024 primarily due to</w:t>
      </w:r>
      <w:r>
        <w:rPr>
          <w:rFonts w:ascii="Arial" w:cs="Arial" w:eastAsia="Arial" w:hAnsi="Arial"/>
          <w:sz w:val="18"/>
          <w:szCs w:val="18"/>
          <w:b w:val="1"/>
          <w:bCs w:val="1"/>
          <w:i w:val="1"/>
          <w:iCs w:val="1"/>
          <w:color w:val="auto"/>
        </w:rPr>
        <w:t xml:space="preserve"> </w:t>
      </w:r>
      <w:r>
        <w:rPr>
          <w:rFonts w:ascii="Times New Roman" w:cs="Times New Roman" w:eastAsia="Times New Roman" w:hAnsi="Times New Roman"/>
          <w:sz w:val="18"/>
          <w:szCs w:val="18"/>
          <w:color w:val="auto"/>
        </w:rPr>
        <w:t>decreased spending on recent and upcoming theatrical film releases in the current year period.</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Theme Parks Segment Results of Operations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3"/>
          </w:tcPr>
          <w:p>
            <w:pPr>
              <w:jc w:val="right"/>
              <w:ind w:right="755"/>
              <w:spacing w:after="0"/>
              <w:rPr>
                <w:sz w:val="20"/>
                <w:szCs w:val="20"/>
                <w:color w:val="auto"/>
              </w:rPr>
            </w:pPr>
            <w:r>
              <w:rPr>
                <w:rFonts w:ascii="Times New Roman" w:cs="Times New Roman" w:eastAsia="Times New Roman" w:hAnsi="Times New Roman"/>
                <w:sz w:val="14"/>
                <w:szCs w:val="14"/>
                <w:color w:val="auto"/>
              </w:rPr>
              <w:t>Three Months Ended</w:t>
            </w:r>
          </w:p>
        </w:tc>
        <w:tc>
          <w:tcPr>
            <w:tcW w:w="120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color w:val="auto"/>
              </w:rPr>
              <w:t>2025</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2024</w:t>
            </w: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1,979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1,347</w:t>
            </w:r>
          </w:p>
        </w:tc>
        <w:tc>
          <w:tcPr>
            <w:tcW w:w="12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c>
          <w:tcPr>
            <w:tcW w:w="4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632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revenue </w:t>
      </w:r>
      <w:r>
        <w:rPr>
          <w:rFonts w:ascii="Times New Roman" w:cs="Times New Roman" w:eastAsia="Times New Roman" w:hAnsi="Times New Roman"/>
          <w:sz w:val="18"/>
          <w:szCs w:val="18"/>
          <w:color w:val="auto"/>
        </w:rPr>
        <w:t>decreased for the three months ended March 31, 2025 compared to the same period in 2024 primarily due to decreased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attendance at our domestic theme parks.</w:t>
      </w:r>
    </w:p>
    <w:p>
      <w:pPr>
        <w:spacing w:after="0" w:line="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Theme parks segment costs and expenses </w:t>
      </w:r>
      <w:r>
        <w:rPr>
          <w:rFonts w:ascii="Times New Roman" w:cs="Times New Roman" w:eastAsia="Times New Roman" w:hAnsi="Times New Roman"/>
          <w:sz w:val="18"/>
          <w:szCs w:val="18"/>
          <w:color w:val="auto"/>
        </w:rPr>
        <w:t>increased for the three months ended March 31, 2025 compared to the same period in 2024 primarily</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due to preopening costs for Epic Universe ahead of the scheduled opening in May 2025.</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&amp; Experiences Headquarters,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and Other Results of Operations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95"/>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255</w:t>
            </w:r>
          </w:p>
        </w:tc>
        <w:tc>
          <w:tcPr>
            <w:tcW w:w="11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(243)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80"/>
        <w:spacing w:after="0" w:line="395" w:lineRule="auto"/>
        <w:rPr>
          <w:sz w:val="20"/>
          <w:szCs w:val="20"/>
          <w:color w:val="auto"/>
        </w:rPr>
      </w:pPr>
      <w:r>
        <w:rPr>
          <w:rFonts w:ascii="Times New Roman" w:cs="Times New Roman" w:eastAsia="Times New Roman" w:hAnsi="Times New Roman"/>
          <w:sz w:val="18"/>
          <w:szCs w:val="18"/>
          <w:color w:val="auto"/>
        </w:rPr>
        <w:t xml:space="preserve">Headquarters and Other expenses primarily consists of overhead, personnel and other costs necessary to operate the Content &amp; Experiences business. </w:t>
      </w:r>
      <w:r>
        <w:rPr>
          <w:rFonts w:ascii="Arial" w:cs="Arial" w:eastAsia="Arial" w:hAnsi="Arial"/>
          <w:sz w:val="18"/>
          <w:szCs w:val="18"/>
          <w:b w:val="1"/>
          <w:bCs w:val="1"/>
          <w:color w:val="auto"/>
        </w:rPr>
        <w:t>Eliminations</w:t>
      </w:r>
    </w:p>
    <w:tbl>
      <w:tblPr>
        <w:tblLayout w:type="fixed"/>
        <w:tblInd w:w="0" w:type="dxa"/>
        <w:tblCellMar>
          <w:top w:w="0" w:type="dxa"/>
          <w:left w:w="0" w:type="dxa"/>
          <w:bottom w:w="0" w:type="dxa"/>
          <w:right w:w="0" w:type="dxa"/>
        </w:tblCellMar>
      </w:tblPr>
      <w:tr>
        <w:trPr>
          <w:trHeight w:val="146"/>
        </w:trPr>
        <w:tc>
          <w:tcPr>
            <w:tcW w:w="7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20" w:type="dxa"/>
            <w:vAlign w:val="bottom"/>
            <w:gridSpan w:val="3"/>
          </w:tcPr>
          <w:p>
            <w:pPr>
              <w:jc w:val="right"/>
              <w:ind w:right="795"/>
              <w:spacing w:after="0" w:line="146" w:lineRule="exact"/>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March 31,</w:t>
            </w:r>
          </w:p>
        </w:tc>
        <w:tc>
          <w:tcPr>
            <w:tcW w:w="1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(731)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(765)</w:t>
            </w: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33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Amounts represent eliminations of transactions between segments in our Content &amp; Experiences business, the most significant being content licensing between the Studios and Media segments, which are affected by the timing of recognition of content licenses.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Eliminations increase or decrease to the extent that additional content is made available to our other segments within the Content &amp; Experiences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for additional information on transactions between our segments.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Other and Eliminations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Results of Operations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767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29"/>
        </w:trPr>
        <w:tc>
          <w:tcPr>
            <w:tcW w:w="7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8"/>
                <w:szCs w:val="18"/>
                <w:color w:val="auto"/>
              </w:rPr>
              <w:t>1,096</w:t>
            </w:r>
          </w:p>
        </w:tc>
        <w:tc>
          <w:tcPr>
            <w:tcW w:w="1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7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(329)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Other primarily consists of overhead and personnel costs; Sky-branded video services and television networks in Germany; Comcast Spectacor, which owns the Philadelphia Flyers and the Wells Fargo Center arena in Philadelphia, Pennsylvania; and Xumo, our consolidated streaming platform joint venture.</w:t>
      </w:r>
    </w:p>
    <w:p>
      <w:pPr>
        <w:spacing w:after="0" w:line="6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Corporate and Other revenue </w:t>
      </w:r>
      <w:r>
        <w:rPr>
          <w:rFonts w:ascii="Times New Roman" w:cs="Times New Roman" w:eastAsia="Times New Roman" w:hAnsi="Times New Roman"/>
          <w:sz w:val="18"/>
          <w:szCs w:val="18"/>
          <w:color w:val="auto"/>
        </w:rPr>
        <w:t>decreased for the three months ended March 31, 2025 compared to the same period in 2024 primarily driven by a</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decrease in revenue from Comcast Spectacor.</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Corporate and Other costs and expenses </w:t>
      </w:r>
      <w:r>
        <w:rPr>
          <w:rFonts w:ascii="Times New Roman" w:cs="Times New Roman" w:eastAsia="Times New Roman" w:hAnsi="Times New Roman"/>
          <w:sz w:val="18"/>
          <w:szCs w:val="18"/>
          <w:color w:val="auto"/>
        </w:rPr>
        <w:t>decreased for the three months ended March 31, 2025 compared to the same period in 2024 primarily due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to lower costs related to Sky operations in Germany, partially offset by an increase at Xumo.</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Eliminations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3"/>
          </w:tcPr>
          <w:p>
            <w:pPr>
              <w:jc w:val="right"/>
              <w:ind w:right="775"/>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March 31,</w:t>
            </w: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2025</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2024</w:t>
            </w: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(1,358)</w:t>
            </w:r>
          </w:p>
        </w:tc>
        <w:tc>
          <w:tcPr>
            <w:tcW w:w="11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9"/>
              </w:rPr>
              <w:t>6.7 %</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(1,332)</w:t>
            </w:r>
          </w:p>
        </w:tc>
        <w:tc>
          <w:tcPr>
            <w:tcW w:w="118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7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b w:val="1"/>
                <w:bCs w:val="1"/>
                <w:color w:val="auto"/>
              </w:rPr>
              <w:t>(26)</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represent eliminations of transactions between our Connectivity &amp; Platforms, Content &amp; Experiences and other businesses, the most significant being distribution of television network programming between the Media and Residential Connectivity &amp; Platforms segments. Eliminations of transactions between segments within Content &amp; Experiences are presented separately. Refer to Note 2 for additional information on transactions between our segments.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Adjusted EBITDA</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from Net Income Attributable to Comcast Corporation to Adjusted EBITDA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Comcast Corporation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3,375</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3,857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1,196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1,050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116</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2,231</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1,618</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9"/>
        </w:trPr>
        <w:tc>
          <w:tcPr>
            <w:tcW w:w="81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24</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9,532</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9,355</w:t>
            </w:r>
          </w:p>
        </w:tc>
      </w:tr>
    </w:tbl>
    <w:p>
      <w:pPr>
        <w:spacing w:after="0" w:line="85" w:lineRule="exact"/>
        <w:rPr>
          <w:sz w:val="20"/>
          <w:szCs w:val="20"/>
          <w:color w:val="auto"/>
        </w:rPr>
      </w:pPr>
    </w:p>
    <w:p>
      <w:pPr>
        <w:ind w:left="260" w:hanging="252"/>
        <w:spacing w:after="0" w:line="302" w:lineRule="auto"/>
        <w:tabs>
          <w:tab w:leader="none" w:pos="25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including costs related to our investment portfolio. For the three months ended March 31, 2025, amount also includes $22 million of other operating and administrative costs associated with the proposed spin-off of businesses within our Media segment.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allow the evaluation of their underlying performance.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Connectivity &amp; Platforms Constant Currency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7"/>
          </w:tcPr>
          <w:p>
            <w:pPr>
              <w:jc w:val="center"/>
              <w:ind w:right="373"/>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1"/>
                <w:szCs w:val="11"/>
                <w:color w:val="auto"/>
              </w:rPr>
            </w:pPr>
          </w:p>
        </w:tc>
        <w:tc>
          <w:tcPr>
            <w:tcW w:w="92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As Reported</w:t>
            </w:r>
          </w:p>
        </w:tc>
        <w:tc>
          <w:tcPr>
            <w:tcW w:w="1440" w:type="dxa"/>
            <w:vAlign w:val="bottom"/>
            <w:gridSpan w:val="3"/>
          </w:tcPr>
          <w:p>
            <w:pPr>
              <w:jc w:val="center"/>
              <w:ind w:left="113"/>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2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color w:val="auto"/>
                <w:w w:val="99"/>
              </w:rPr>
              <w:t>Currency</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17,826</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20,275</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20,233</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8,218</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8,216</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Connectivity &amp; Platforms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3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bps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Services Connectivity</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bps</w:t>
            </w: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Adjusted EBITDA margin</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40.5 %</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 bps</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40.6 %</w:t>
            </w:r>
          </w:p>
        </w:tc>
        <w:tc>
          <w:tcPr>
            <w:tcW w:w="0" w:type="dxa"/>
            <w:vAlign w:val="bottom"/>
          </w:tcPr>
          <w:p>
            <w:pPr>
              <w:spacing w:after="0"/>
              <w:rPr>
                <w:sz w:val="1"/>
                <w:szCs w:val="1"/>
                <w:color w:val="auto"/>
              </w:rPr>
            </w:pPr>
          </w:p>
        </w:tc>
      </w:tr>
      <w:tr>
        <w:trPr>
          <w:trHeight w:val="416"/>
        </w:trPr>
        <w:tc>
          <w:tcPr>
            <w:tcW w:w="7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7"/>
          </w:tcPr>
          <w:p>
            <w:pPr>
              <w:jc w:val="center"/>
              <w:ind w:right="93"/>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0" w:type="dxa"/>
            <w:vAlign w:val="bottom"/>
          </w:tcPr>
          <w:p>
            <w:pPr>
              <w:spacing w:after="0"/>
              <w:rPr>
                <w:sz w:val="1"/>
                <w:szCs w:val="1"/>
                <w:color w:val="auto"/>
              </w:rPr>
            </w:pPr>
          </w:p>
        </w:tc>
      </w:tr>
      <w:tr>
        <w:trPr>
          <w:trHeight w:val="23"/>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As Reported</w:t>
            </w:r>
          </w:p>
        </w:tc>
        <w:tc>
          <w:tcPr>
            <w:tcW w:w="1240" w:type="dxa"/>
            <w:vAlign w:val="bottom"/>
            <w:gridSpan w:val="3"/>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6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Currency</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revenue per customer relationship</w:t>
            </w:r>
          </w:p>
        </w:tc>
        <w:tc>
          <w:tcPr>
            <w:tcW w:w="4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129.56</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monthly total Connectivity &amp; Platforms Adjusted EBITDA per customer relationship</w:t>
            </w:r>
          </w:p>
        </w:tc>
        <w:tc>
          <w:tcPr>
            <w:tcW w:w="4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52.61</w:t>
            </w:r>
          </w:p>
        </w:tc>
        <w:tc>
          <w:tcPr>
            <w:tcW w:w="0" w:type="dxa"/>
            <w:vAlign w:val="bottom"/>
          </w:tcPr>
          <w:p>
            <w:pPr>
              <w:spacing w:after="0"/>
              <w:rPr>
                <w:sz w:val="1"/>
                <w:szCs w:val="1"/>
                <w:color w:val="auto"/>
              </w:rPr>
            </w:pPr>
          </w:p>
        </w:tc>
      </w:tr>
      <w:tr>
        <w:trPr>
          <w:trHeight w:val="911"/>
        </w:trPr>
        <w:tc>
          <w:tcPr>
            <w:tcW w:w="720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2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Effects of Foreign</w:t>
            </w:r>
          </w:p>
        </w:tc>
        <w:tc>
          <w:tcPr>
            <w:tcW w:w="126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3"/>
        </w:trPr>
        <w:tc>
          <w:tcPr>
            <w:tcW w:w="74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color w:val="auto"/>
              </w:rPr>
              <w:t>Currency</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Technical and support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product costs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promotion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29"/>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service</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Connectivity &amp; Platforms costs and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12,058</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12,017</w:t>
            </w:r>
          </w:p>
        </w:tc>
        <w:tc>
          <w:tcPr>
            <w:tcW w:w="0" w:type="dxa"/>
            <w:vAlign w:val="bottom"/>
          </w:tcPr>
          <w:p>
            <w:pPr>
              <w:spacing w:after="0"/>
              <w:rPr>
                <w:sz w:val="1"/>
                <w:szCs w:val="1"/>
                <w:color w:val="auto"/>
              </w:rPr>
            </w:pPr>
          </w:p>
        </w:tc>
      </w:tr>
      <w:tr>
        <w:trPr>
          <w:trHeight w:val="438"/>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Residential Connectivity &amp; Platforms Constant Currency</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80" w:type="dxa"/>
            <w:vAlign w:val="bottom"/>
            <w:gridSpan w:val="5"/>
          </w:tcPr>
          <w:p>
            <w:pPr>
              <w:jc w:val="center"/>
              <w:ind w:right="92"/>
              <w:spacing w:after="0"/>
              <w:rPr>
                <w:sz w:val="20"/>
                <w:szCs w:val="20"/>
                <w:color w:val="auto"/>
              </w:rPr>
            </w:pPr>
            <w:r>
              <w:rPr>
                <w:rFonts w:ascii="Times New Roman" w:cs="Times New Roman" w:eastAsia="Times New Roman" w:hAnsi="Times New Roman"/>
                <w:sz w:val="14"/>
                <w:szCs w:val="14"/>
                <w:color w:val="auto"/>
              </w:rPr>
              <w:t>Three months ended March 31, 2024</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1"/>
                <w:szCs w:val="11"/>
                <w:color w:val="auto"/>
              </w:rPr>
            </w:pPr>
          </w:p>
        </w:tc>
        <w:tc>
          <w:tcPr>
            <w:tcW w:w="10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As Reported</w:t>
            </w: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Effects of Foreign</w:t>
            </w:r>
          </w:p>
        </w:tc>
        <w:tc>
          <w:tcPr>
            <w:tcW w:w="12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color w:val="auto"/>
              </w:rPr>
              <w:t>Constant Currency</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color w:val="auto"/>
              </w:rPr>
              <w:t>Currency</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color w:val="auto"/>
              </w:rPr>
              <w:t>Amounts</w:t>
            </w:r>
          </w:p>
        </w:tc>
        <w:tc>
          <w:tcPr>
            <w:tcW w:w="0" w:type="dxa"/>
            <w:vAlign w:val="bottom"/>
          </w:tcPr>
          <w:p>
            <w:pPr>
              <w:spacing w:after="0"/>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 broadband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2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Domestic wireless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International connectivity</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residential connectivity</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29"/>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17,868</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17,826</w:t>
            </w:r>
          </w:p>
        </w:tc>
        <w:tc>
          <w:tcPr>
            <w:tcW w:w="0" w:type="dxa"/>
            <w:vAlign w:val="bottom"/>
          </w:tcPr>
          <w:p>
            <w:pPr>
              <w:spacing w:after="0"/>
              <w:rPr>
                <w:sz w:val="1"/>
                <w:szCs w:val="1"/>
                <w:color w:val="auto"/>
              </w:rPr>
            </w:pPr>
          </w:p>
        </w:tc>
      </w:tr>
      <w:tr>
        <w:trPr>
          <w:trHeight w:val="230"/>
        </w:trPr>
        <w:tc>
          <w:tcPr>
            <w:tcW w:w="7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Programming</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29"/>
        </w:trPr>
        <w:tc>
          <w:tcPr>
            <w:tcW w:w="7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6,852</w:t>
            </w:r>
          </w:p>
        </w:tc>
        <w:tc>
          <w:tcPr>
            <w:tcW w:w="2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6,850</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Adjustments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present adjusted information, such as revenue,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40" w:type="dxa"/>
            <w:vAlign w:val="bottom"/>
          </w:tcPr>
          <w:p>
            <w:pPr>
              <w:jc w:val="center"/>
              <w:ind w:right="868"/>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96"/>
        </w:trPr>
        <w:tc>
          <w:tcPr>
            <w:tcW w:w="8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868"/>
              <w:spacing w:after="0"/>
              <w:rPr>
                <w:sz w:val="20"/>
                <w:szCs w:val="20"/>
                <w:color w:val="auto"/>
              </w:rPr>
            </w:pPr>
            <w:r>
              <w:rPr>
                <w:rFonts w:ascii="Times New Roman" w:cs="Times New Roman" w:eastAsia="Times New Roman" w:hAnsi="Times New Roman"/>
                <w:sz w:val="14"/>
                <w:szCs w:val="14"/>
                <w:color w:val="auto"/>
              </w:rPr>
              <w:t>March 31,</w:t>
            </w:r>
          </w:p>
        </w:tc>
      </w:tr>
      <w:tr>
        <w:trPr>
          <w:trHeight w:val="188"/>
        </w:trPr>
        <w:tc>
          <w:tcPr>
            <w:tcW w:w="8040" w:type="dxa"/>
            <w:vAlign w:val="bottom"/>
          </w:tcPr>
          <w:p>
            <w:pPr>
              <w:spacing w:after="0"/>
              <w:rPr>
                <w:sz w:val="20"/>
                <w:szCs w:val="20"/>
                <w:color w:val="auto"/>
              </w:rPr>
            </w:pPr>
            <w:r>
              <w:rPr>
                <w:rFonts w:ascii="Times New Roman" w:cs="Times New Roman" w:eastAsia="Times New Roman" w:hAnsi="Times New Roman"/>
                <w:sz w:val="14"/>
                <w:szCs w:val="14"/>
                <w:color w:val="auto"/>
              </w:rPr>
              <w:t>(in billions)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224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2024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42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4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4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57"/>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200" w:type="dxa"/>
            <w:vAlign w:val="bottom"/>
          </w:tcPr>
          <w:p>
            <w:pPr>
              <w:spacing w:after="0"/>
              <w:rPr>
                <w:sz w:val="24"/>
                <w:szCs w:val="24"/>
                <w:color w:val="auto"/>
              </w:rPr>
            </w:pPr>
          </w:p>
        </w:tc>
        <w:tc>
          <w:tcPr>
            <w:tcW w:w="1320" w:type="dxa"/>
            <w:vAlign w:val="bottom"/>
          </w:tcPr>
          <w:p>
            <w:pPr>
              <w:jc w:val="right"/>
              <w:ind w:right="475"/>
              <w:spacing w:after="0"/>
              <w:rPr>
                <w:sz w:val="20"/>
                <w:szCs w:val="20"/>
                <w:color w:val="auto"/>
              </w:rPr>
            </w:pPr>
            <w:r>
              <w:rPr>
                <w:rFonts w:ascii="Times New Roman" w:cs="Times New Roman" w:eastAsia="Times New Roman" w:hAnsi="Times New Roman"/>
                <w:sz w:val="14"/>
                <w:szCs w:val="14"/>
                <w:color w:val="auto"/>
              </w:rPr>
              <w:t>March 31,</w:t>
            </w:r>
          </w:p>
        </w:tc>
        <w:tc>
          <w:tcPr>
            <w:tcW w:w="340" w:type="dxa"/>
            <w:vAlign w:val="bottom"/>
          </w:tcPr>
          <w:p>
            <w:pPr>
              <w:spacing w:after="0"/>
              <w:rPr>
                <w:sz w:val="24"/>
                <w:szCs w:val="24"/>
                <w:color w:val="auto"/>
              </w:rPr>
            </w:pPr>
          </w:p>
        </w:tc>
        <w:tc>
          <w:tcPr>
            <w:tcW w:w="1260" w:type="dxa"/>
            <w:vAlign w:val="bottom"/>
          </w:tcPr>
          <w:p>
            <w:pPr>
              <w:jc w:val="right"/>
              <w:ind w:right="255"/>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4120" w:type="dxa"/>
            <w:vAlign w:val="bottom"/>
            <w:tcBorders>
              <w:bottom w:val="single" w:sz="8" w:color="auto"/>
            </w:tcBorders>
            <w:vMerge w:val="continue"/>
          </w:tcPr>
          <w:p>
            <w:pPr>
              <w:spacing w:after="0"/>
              <w:rPr>
                <w:sz w:val="16"/>
                <w:szCs w:val="16"/>
                <w:color w:val="auto"/>
              </w:rPr>
            </w:pPr>
          </w:p>
        </w:tc>
        <w:tc>
          <w:tcPr>
            <w:tcW w:w="4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4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99.1</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898"/>
        </w:trPr>
        <w:tc>
          <w:tcPr>
            <w:tcW w:w="4120" w:type="dxa"/>
            <w:vAlign w:val="bottom"/>
          </w:tcPr>
          <w:p>
            <w:pPr>
              <w:spacing w:after="0"/>
              <w:rPr>
                <w:sz w:val="24"/>
                <w:szCs w:val="24"/>
                <w:color w:val="auto"/>
              </w:rPr>
            </w:pPr>
          </w:p>
        </w:tc>
        <w:tc>
          <w:tcPr>
            <w:tcW w:w="4200" w:type="dxa"/>
            <w:vAlign w:val="bottom"/>
          </w:tcPr>
          <w:p>
            <w:pPr>
              <w:jc w:val="right"/>
              <w:ind w:right="2510"/>
              <w:spacing w:after="0"/>
              <w:rPr>
                <w:sz w:val="20"/>
                <w:szCs w:val="20"/>
                <w:color w:val="auto"/>
              </w:rPr>
            </w:pPr>
            <w:r>
              <w:rPr>
                <w:rFonts w:ascii="Times New Roman" w:cs="Times New Roman" w:eastAsia="Times New Roman" w:hAnsi="Times New Roman"/>
                <w:sz w:val="18"/>
                <w:szCs w:val="18"/>
                <w:color w:val="auto"/>
              </w:rPr>
              <w:t>25</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9A9A9A"/>
            </w:tcBorders>
          </w:tcPr>
          <w:p>
            <w:pPr>
              <w:spacing w:after="0"/>
              <w:rPr>
                <w:sz w:val="19"/>
                <w:szCs w:val="19"/>
                <w:color w:val="auto"/>
              </w:rPr>
            </w:pPr>
          </w:p>
        </w:tc>
        <w:tc>
          <w:tcPr>
            <w:tcW w:w="4200" w:type="dxa"/>
            <w:vAlign w:val="bottom"/>
            <w:tcBorders>
              <w:bottom w:val="single" w:sz="8" w:color="9A9A9A"/>
            </w:tcBorders>
          </w:tcPr>
          <w:p>
            <w:pPr>
              <w:spacing w:after="0"/>
              <w:rPr>
                <w:sz w:val="19"/>
                <w:szCs w:val="19"/>
                <w:color w:val="auto"/>
              </w:rPr>
            </w:pPr>
          </w:p>
        </w:tc>
        <w:tc>
          <w:tcPr>
            <w:tcW w:w="132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significant availability under our revolving credit facility and our commercial paper program to meet our short-term liquidity requirements. Our commercial paper program generally provides a lower-cost source of borrowing to fund our short-term working capital requirements. As of March 31, 2025, amounts available under our revolving credit facility, net of amounts outstanding under our commercial paper program and outstanding letters of credit and bank guarantees, totaled $11.8 billion.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revolving credit facility contains a financial covenant pertaining to leverage, which is the ratio of debt to EBITDA, as defined in the agreement. Compliance with this financial covenant is tested on a quarterly basis. As of March 31, 2025, we met this financial covenant, and we expect to remain in compliance with this financial covenant.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tcBorders>
              <w:bottom w:val="single" w:sz="8" w:color="auto"/>
            </w:tcBorders>
          </w:tcPr>
          <w:p>
            <w:pPr>
              <w:spacing w:after="0"/>
              <w:rPr>
                <w:sz w:val="16"/>
                <w:szCs w:val="16"/>
                <w:color w:val="auto"/>
              </w:rPr>
            </w:pPr>
          </w:p>
        </w:tc>
      </w:tr>
      <w:tr>
        <w:trPr>
          <w:trHeight w:val="19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2025</w:t>
            </w:r>
          </w:p>
        </w:tc>
        <w:tc>
          <w:tcPr>
            <w:tcW w:w="6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5,658</w:t>
            </w:r>
          </w:p>
        </w:tc>
        <w:tc>
          <w:tcPr>
            <w:tcW w:w="6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3,849</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382</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(636)</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interest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(674)</w:t>
            </w: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(400)</w:t>
            </w: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8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investments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115</w:t>
            </w:r>
          </w:p>
        </w:tc>
        <w:tc>
          <w:tcPr>
            <w:tcW w:w="6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8,294</w:t>
            </w:r>
          </w:p>
        </w:tc>
        <w:tc>
          <w:tcPr>
            <w:tcW w:w="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7,848</w:t>
            </w:r>
          </w:p>
        </w:tc>
      </w:tr>
    </w:tbl>
    <w:p>
      <w:pPr>
        <w:spacing w:after="0" w:line="1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variance in changes in operating assets and liabilities for the three months ended March 31, 2025 compared to the same period in 2024 was primarily related to decreases in receivables, increases in inventory, and the timing of amortization and related payments for our film and television costs.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payments of interest for the three months ended March 31, 2025 compared to the same period in 2024 was primarily due to the timing of interest payments on outstanding debt in the prior year period.</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Payments of income taxes increased for the three months ended March 31, 2025 compared to the same period in 2024 primarily due to higher payments for federal and foreign income taxes, offset by lower state income taxes in the current year period. Payments were also impacted by the timing of transferable tax credit purchases, as payments for certain tax credits used in the second half of 2024 were made in the current year period.</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we expect to receive a federal income tax refund in the current year as a result of carrying back a capital loss created primarily as part of a 2024 internal corporate reorganization to offset capital gains recognized in our federal income tax returns for 2021 through 2023.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investing activities decreased for the three months ended March 31, 2025 compared to the same period in 2024 primarily due to decreased capital expenditures, decreased purchases of short-term investments, decreased cash paid related to the construction of Universal Beijing Resort, and decreased cash paid for intangible assets related to software development in the current year period. This decrease was partially offset by decreased proceeds from the maturity of short-term investments in the current year period. Capital expenditures decreased for the three months ended March 31, 2025 compared to the same period in 2024 primarily reflecting decreased spending by the Connectivity &amp; Platforms businesses on customer premise equipment and scalable infrastructure, as well as decreased spending on theme park attractions.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of 2023, we exercised our put right requiring Disney to purchase our interest in Hulu and received $8.6 billion, representing $9.2 billion for our share of Hulu’s minimum equity value presented as an advance on the sale of our investment in our condensed consolidated balance sheet, less $557 million for our share of prior capital calls. We expect to receive additional proceeds for the sale of our interest in Hulu following the final determination of Hulu’s fair value pursuant to a third-party appraisal process, at which time we will recognize the sale of our interest.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increased for the three months ended March 31, 2025 compared to the same period in 2024 primarily due to higher repurchases and repayments of debt and higher dividends paid in the current year period. This increase was partially offset by a decrease in repurchases of common stock in the current year period.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we made debt repayments of $604 million, including $419 million principal amount of notes due at maturity, $129 million of 3.950% Notes due 2025 and $56 million of 3.375% Notes due 2025.</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In particular, we may repurchase varying amounts of our outstanding public notes and debentures with short to medium term maturities through privately negotiated or market transactions. See Notes 5 and 7 for additional information on our financing activities.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we repurchased a total of 56 million shares of our Class A common stock for $2.0 billion. In January 2025, our Board of Directors terminated the existing share repurchase program authorization and approved a new share repurchase program authorization of $15.0 billion, which has no expiration date. As of March 31, 2025, we had $13.7 billion remaining under the authorization. We did not purchase any shares outside of this program. We expect to repurchase additional shares of our Class A common stock under this new authorization in the open market or in private transactions, subject to market and other conditions.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paid $219 million and $256 million for the three months ended March 31, 2025 and 2024, respectively, related to employee taxes associated with the administration of our share-based compensation plans.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2025, our Board of Directors approved a 6.5% increase in our dividend to $1.32 per share on an annualized basis and approved our first quarter dividend of $0.33 per share, which was paid in April 2025. During the three months ended March 31, 2025, we paid dividends of $1.2 billion. We expect to continue to pay quarterly dividends, although each dividend is subject to approval by our Board of Directors.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 Structure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and Guarantee Structure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480" w:type="dxa"/>
            <w:vAlign w:val="bottom"/>
          </w:tcPr>
          <w:p>
            <w:pPr>
              <w:spacing w:after="0"/>
              <w:rPr>
                <w:sz w:val="13"/>
                <w:szCs w:val="13"/>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color w:val="auto"/>
              </w:rPr>
              <w:t>March 31,</w:t>
            </w:r>
          </w:p>
        </w:tc>
        <w:tc>
          <w:tcPr>
            <w:tcW w:w="280" w:type="dxa"/>
            <w:vAlign w:val="bottom"/>
          </w:tcPr>
          <w:p>
            <w:pPr>
              <w:spacing w:after="0"/>
              <w:rPr>
                <w:sz w:val="13"/>
                <w:szCs w:val="13"/>
                <w:color w:val="auto"/>
              </w:rPr>
            </w:pPr>
          </w:p>
        </w:tc>
        <w:tc>
          <w:tcPr>
            <w:tcW w:w="1440" w:type="dxa"/>
            <w:vAlign w:val="bottom"/>
          </w:tcPr>
          <w:p>
            <w:pPr>
              <w:jc w:val="right"/>
              <w:ind w:right="373"/>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07"/>
        </w:trPr>
        <w:tc>
          <w:tcPr>
            <w:tcW w:w="76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9"/>
                <w:szCs w:val="9"/>
                <w:color w:val="auto"/>
              </w:rPr>
            </w:pPr>
          </w:p>
        </w:tc>
        <w:tc>
          <w:tcPr>
            <w:tcW w:w="1440" w:type="dxa"/>
            <w:vAlign w:val="bottom"/>
            <w:vMerge w:val="restart"/>
          </w:tcPr>
          <w:p>
            <w:pPr>
              <w:jc w:val="right"/>
              <w:ind w:right="633"/>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86"/>
        </w:trPr>
        <w:tc>
          <w:tcPr>
            <w:tcW w:w="76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Cross-Guarantees</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Comcast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NBCUniversal</w:t>
            </w:r>
            <w:r>
              <w:rPr>
                <w:rFonts w:ascii="Times New Roman" w:cs="Times New Roman" w:eastAsia="Times New Roman" w:hAnsi="Times New Roman"/>
                <w:sz w:val="23"/>
                <w:szCs w:val="23"/>
                <w:color w:val="auto"/>
                <w:vertAlign w:val="superscript"/>
              </w:rPr>
              <w:t>(a)</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Comcast Cable</w:t>
            </w:r>
            <w:r>
              <w:rPr>
                <w:rFonts w:ascii="Times New Roman" w:cs="Times New Roman" w:eastAsia="Times New Roman" w:hAnsi="Times New Roman"/>
                <w:sz w:val="23"/>
                <w:szCs w:val="23"/>
                <w:color w:val="auto"/>
                <w:vertAlign w:val="superscript"/>
              </w:rPr>
              <w:t>(a)</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Subject to One-Way Guarantees</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Sky</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Debt Not Guaranteed</w:t>
            </w: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Universal Beijing Resort</w:t>
            </w:r>
            <w:r>
              <w:rPr>
                <w:rFonts w:ascii="Times New Roman" w:cs="Times New Roman" w:eastAsia="Times New Roman" w:hAnsi="Times New Roman"/>
                <w:sz w:val="23"/>
                <w:szCs w:val="23"/>
                <w:color w:val="auto"/>
                <w:vertAlign w:val="superscript"/>
              </w:rPr>
              <w:t>(b)</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75"/>
        </w:trPr>
        <w:tc>
          <w:tcPr>
            <w:tcW w:w="7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issuance costs, premiums, discounts, fair value adjustments for acquisition accounting and hedged</w:t>
            </w:r>
          </w:p>
        </w:tc>
        <w:tc>
          <w:tcPr>
            <w:tcW w:w="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positions, net</w:t>
            </w:r>
          </w:p>
        </w:tc>
        <w:tc>
          <w:tcPr>
            <w:tcW w:w="4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0" w:hanging="332"/>
        <w:spacing w:after="0" w:line="281"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Media, LLC (“NBCUniversal”), Comcast Cable Communications, LLC (“Comcast Cable”) and Comcast Holdings Corporation (“Comcast Holdings”), which is included within other debt subject to one-way guarantees, are each consolidated subsidiaries subject to the periodic reporting requirements of the SEC. The guarantee structures and related disclosures in this section, together with Exhibit 22 to our 2024 Annual Report on Form 10-K, satisfy these reporting obligations.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Cross-Guarantees</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NBCUniversal and Comcast Cable (the “Guarantors”) fully and unconditionally, jointly and severally, guarantee each other’s debt securities. NBCUniversal and Comcast Cable also guarantee other borrowings of Comcast, including its revolving 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March 31, 2025 and December 31, 2024, the combined Guarantors have noncurrent notes payable to non-guarantor subsidiaries of $93 billion and $88 billion, respectively, and noncurrent notes receivable from non-guarantor subsidiaries of $14 billion for both periods.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One-Way Guarantees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Comcast provides full and unconditional guarantees of certain debt issued by Sky Limited (“Sky</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including all of its senior notes, and other consolidated subsidiaries not subject to the periodic reporting requirements of the SEC.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and December 31, 2024, Comcast and Comcast Holdings, the combined issuer and guarantor of the guaranteed subordinated debt, have noncurrent senior notes payable to non-guarantor subsidiaries of $59 billion and $53 billion, respectively, and noncurrent notes receivable from non-guarantor subsidiaries of $10 billion for both periods.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accounting estimates that we have identified as critical in the preparation of our condensed consolidated financial statements, please refer to our Management’s Discussion and Analysis of Financial Condition and Results of Operations in our 2024 Annual Report on Form 10-K.</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our 2024 Annual Report on Form 10-K and there have been no material changes to this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10 included in this Quarterly Report on Form 10-Q for a discussion of legal proceedings.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Item 1A of our 2024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Comcast’s common stock repurchases during the three months ended March 31,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color w:val="auto"/>
              </w:rPr>
              <w:t>Total Dollar</w:t>
            </w:r>
          </w:p>
        </w:tc>
        <w:tc>
          <w:tcPr>
            <w:tcW w:w="240" w:type="dxa"/>
            <w:vAlign w:val="bottom"/>
          </w:tcPr>
          <w:p>
            <w:pPr>
              <w:spacing w:after="0"/>
              <w:rPr>
                <w:sz w:val="13"/>
                <w:szCs w:val="13"/>
                <w:color w:val="auto"/>
              </w:rPr>
            </w:pPr>
          </w:p>
        </w:tc>
        <w:tc>
          <w:tcPr>
            <w:tcW w:w="1660" w:type="dxa"/>
            <w:vAlign w:val="bottom"/>
          </w:tcPr>
          <w:p>
            <w:pPr>
              <w:jc w:val="center"/>
              <w:ind w:right="140"/>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92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color w:val="auto"/>
              </w:rPr>
              <w:t>Total</w:t>
            </w:r>
          </w:p>
        </w:tc>
        <w:tc>
          <w:tcPr>
            <w:tcW w:w="440" w:type="dxa"/>
            <w:vAlign w:val="bottom"/>
          </w:tcPr>
          <w:p>
            <w:pPr>
              <w:spacing w:after="0"/>
              <w:rPr>
                <w:sz w:val="12"/>
                <w:szCs w:val="12"/>
                <w:color w:val="auto"/>
              </w:rPr>
            </w:pPr>
          </w:p>
        </w:tc>
        <w:tc>
          <w:tcPr>
            <w:tcW w:w="1100" w:type="dxa"/>
            <w:vAlign w:val="bottom"/>
            <w:vMerge w:val="restart"/>
          </w:tcPr>
          <w:p>
            <w:pPr>
              <w:jc w:val="center"/>
              <w:ind w:right="259"/>
              <w:spacing w:after="0"/>
              <w:rPr>
                <w:sz w:val="20"/>
                <w:szCs w:val="20"/>
                <w:color w:val="auto"/>
              </w:rPr>
            </w:pPr>
            <w:r>
              <w:rPr>
                <w:rFonts w:ascii="Times New Roman" w:cs="Times New Roman" w:eastAsia="Times New Roman" w:hAnsi="Times New Roman"/>
                <w:sz w:val="14"/>
                <w:szCs w:val="14"/>
                <w:color w:val="auto"/>
              </w:rPr>
              <w:t>Average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Total Number of</w:t>
            </w:r>
          </w:p>
        </w:tc>
        <w:tc>
          <w:tcPr>
            <w:tcW w:w="3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Value of Shares That</w:t>
            </w: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jc w:val="center"/>
              <w:ind w:right="239"/>
              <w:spacing w:after="0" w:line="14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2"/>
                <w:szCs w:val="12"/>
                <w:color w:val="auto"/>
              </w:rPr>
            </w:pPr>
          </w:p>
        </w:tc>
        <w:tc>
          <w:tcPr>
            <w:tcW w:w="1660" w:type="dxa"/>
            <w:vAlign w:val="bottom"/>
          </w:tcPr>
          <w:p>
            <w:pPr>
              <w:jc w:val="center"/>
              <w:ind w:right="140"/>
              <w:spacing w:after="0" w:line="145" w:lineRule="exact"/>
              <w:rPr>
                <w:sz w:val="20"/>
                <w:szCs w:val="20"/>
                <w:color w:val="auto"/>
              </w:rPr>
            </w:pPr>
            <w:r>
              <w:rPr>
                <w:rFonts w:ascii="Times New Roman" w:cs="Times New Roman" w:eastAsia="Times New Roman" w:hAnsi="Times New Roman"/>
                <w:sz w:val="14"/>
                <w:szCs w:val="14"/>
                <w:color w:val="auto"/>
                <w:w w:val="99"/>
              </w:rPr>
              <w:t>May Yet Be</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440" w:type="dxa"/>
            <w:vAlign w:val="bottom"/>
          </w:tcPr>
          <w:p>
            <w:pPr>
              <w:spacing w:after="0"/>
              <w:rPr>
                <w:sz w:val="12"/>
                <w:szCs w:val="12"/>
                <w:color w:val="auto"/>
              </w:rPr>
            </w:pPr>
          </w:p>
        </w:tc>
        <w:tc>
          <w:tcPr>
            <w:tcW w:w="110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Shares Purchased</w:t>
            </w:r>
          </w:p>
        </w:tc>
        <w:tc>
          <w:tcPr>
            <w:tcW w:w="360" w:type="dxa"/>
            <w:vAlign w:val="bottom"/>
          </w:tcPr>
          <w:p>
            <w:pPr>
              <w:spacing w:after="0"/>
              <w:rPr>
                <w:sz w:val="12"/>
                <w:szCs w:val="12"/>
                <w:color w:val="auto"/>
              </w:rPr>
            </w:pPr>
          </w:p>
        </w:tc>
        <w:tc>
          <w:tcPr>
            <w:tcW w:w="152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color w:val="auto"/>
              </w:rPr>
              <w:t>Purchased</w:t>
            </w:r>
          </w:p>
        </w:tc>
        <w:tc>
          <w:tcPr>
            <w:tcW w:w="1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Purchased Under the Publicly</w:t>
            </w:r>
          </w:p>
        </w:tc>
        <w:tc>
          <w:tcPr>
            <w:tcW w:w="0" w:type="dxa"/>
            <w:vAlign w:val="bottom"/>
          </w:tcPr>
          <w:p>
            <w:pPr>
              <w:spacing w:after="0"/>
              <w:rPr>
                <w:sz w:val="1"/>
                <w:szCs w:val="1"/>
                <w:color w:val="auto"/>
              </w:rPr>
            </w:pPr>
          </w:p>
        </w:tc>
      </w:tr>
      <w:tr>
        <w:trPr>
          <w:trHeight w:val="135"/>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920" w:type="dxa"/>
            <w:vAlign w:val="bottom"/>
          </w:tcPr>
          <w:p>
            <w:pPr>
              <w:jc w:val="center"/>
              <w:ind w:right="19"/>
              <w:spacing w:after="0" w:line="135"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1"/>
                <w:szCs w:val="11"/>
                <w:color w:val="auto"/>
              </w:rPr>
            </w:pPr>
          </w:p>
        </w:tc>
        <w:tc>
          <w:tcPr>
            <w:tcW w:w="1100" w:type="dxa"/>
            <w:vAlign w:val="bottom"/>
          </w:tcPr>
          <w:p>
            <w:pPr>
              <w:jc w:val="center"/>
              <w:ind w:right="279"/>
              <w:spacing w:after="0" w:line="135"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as Part of Publicly</w:t>
            </w:r>
          </w:p>
        </w:tc>
        <w:tc>
          <w:tcPr>
            <w:tcW w:w="18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Under the Publicly Announced</w:t>
            </w:r>
          </w:p>
        </w:tc>
        <w:tc>
          <w:tcPr>
            <w:tcW w:w="240" w:type="dxa"/>
            <w:vAlign w:val="bottom"/>
          </w:tcPr>
          <w:p>
            <w:pPr>
              <w:spacing w:after="0"/>
              <w:rPr>
                <w:sz w:val="11"/>
                <w:szCs w:val="11"/>
                <w:color w:val="auto"/>
              </w:rPr>
            </w:pPr>
          </w:p>
        </w:tc>
        <w:tc>
          <w:tcPr>
            <w:tcW w:w="166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203"/>
        </w:trPr>
        <w:tc>
          <w:tcPr>
            <w:tcW w:w="2080" w:type="dxa"/>
            <w:vAlign w:val="bottom"/>
            <w:tcBorders>
              <w:bottom w:val="single" w:sz="8" w:color="auto"/>
            </w:tcBorders>
            <w:vMerge w:val="continue"/>
          </w:tcPr>
          <w:p>
            <w:pPr>
              <w:spacing w:after="0"/>
              <w:rPr>
                <w:sz w:val="17"/>
                <w:szCs w:val="17"/>
                <w:color w:val="auto"/>
              </w:rPr>
            </w:pPr>
          </w:p>
        </w:tc>
        <w:tc>
          <w:tcPr>
            <w:tcW w:w="19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Announced Authorization</w:t>
            </w: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color w:val="auto"/>
              </w:rPr>
              <w:t>Authorization</w:t>
            </w:r>
          </w:p>
        </w:tc>
        <w:tc>
          <w:tcPr>
            <w:tcW w:w="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center"/>
              <w:ind w:right="120"/>
              <w:spacing w:after="0" w:line="202" w:lineRule="exact"/>
              <w:rPr>
                <w:sz w:val="20"/>
                <w:szCs w:val="20"/>
                <w:color w:val="auto"/>
              </w:rPr>
            </w:pPr>
            <w:r>
              <w:rPr>
                <w:rFonts w:ascii="Times New Roman" w:cs="Times New Roman" w:eastAsia="Times New Roman" w:hAnsi="Times New Roman"/>
                <w:sz w:val="14"/>
                <w:szCs w:val="14"/>
                <w:color w:val="auto"/>
                <w:w w:val="98"/>
              </w:rPr>
              <w:t>Authorization</w:t>
            </w:r>
            <w:r>
              <w:rPr>
                <w:rFonts w:ascii="Times New Roman" w:cs="Times New Roman" w:eastAsia="Times New Roman" w:hAnsi="Times New Roman"/>
                <w:sz w:val="18"/>
                <w:szCs w:val="18"/>
                <w:color w:val="auto"/>
                <w:w w:val="98"/>
                <w:vertAlign w:val="superscript"/>
              </w:rPr>
              <w:t>(a)</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1-31, 2025</w:t>
            </w:r>
          </w:p>
        </w:tc>
        <w:tc>
          <w:tcPr>
            <w:tcW w:w="1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18,977,243</w:t>
            </w:r>
          </w:p>
        </w:tc>
        <w:tc>
          <w:tcPr>
            <w:tcW w:w="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36.66</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18,977,243</w:t>
            </w:r>
          </w:p>
        </w:tc>
        <w:tc>
          <w:tcPr>
            <w:tcW w:w="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695,637,279</w:t>
            </w:r>
          </w:p>
        </w:tc>
        <w:tc>
          <w:tcPr>
            <w:tcW w:w="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15,000,000,000</w:t>
            </w: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1-29, 2025</w:t>
            </w:r>
          </w:p>
        </w:tc>
        <w:tc>
          <w:tcPr>
            <w:tcW w:w="1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21,361,422</w:t>
            </w:r>
          </w:p>
        </w:tc>
        <w:tc>
          <w:tcPr>
            <w:tcW w:w="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35.10</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21,361,422</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749,887,340</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14,250,112,660</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1-31, 2025</w:t>
            </w:r>
          </w:p>
        </w:tc>
        <w:tc>
          <w:tcPr>
            <w:tcW w:w="19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15,880,045</w:t>
            </w:r>
          </w:p>
        </w:tc>
        <w:tc>
          <w:tcPr>
            <w:tcW w:w="4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36.20</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15,880,045</w:t>
            </w:r>
          </w:p>
        </w:tc>
        <w:tc>
          <w:tcPr>
            <w:tcW w:w="3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574,916,720</w:t>
            </w:r>
          </w:p>
        </w:tc>
        <w:tc>
          <w:tcPr>
            <w:tcW w:w="2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13,675,195,940</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56,218,710</w:t>
            </w:r>
          </w:p>
        </w:tc>
        <w:tc>
          <w:tcPr>
            <w:tcW w:w="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35.94</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56,218,710</w:t>
            </w:r>
          </w:p>
        </w:tc>
        <w:tc>
          <w:tcPr>
            <w:tcW w:w="3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2,020,441,339</w:t>
            </w:r>
          </w:p>
        </w:tc>
        <w:tc>
          <w:tcPr>
            <w:tcW w:w="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13,675,195,940</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81" w:lineRule="auto"/>
        <w:tabs>
          <w:tab w:leader="none" w:pos="337"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our Board of Directors approved a new share repurchase authorization of $15 billion, which had no expiration date. In January of 2025, our Board of Directors terminated the existing program and approved a new share repurchase authorization of 15 billion effective as of January 31, 2025, which has no expiration date. We expect to repurchase additional shares of our Class A common stock under this authorization, in the open market or in private transactions, subject to market and other conditions.</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8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 w:lineRule="exact"/>
        <w:rPr>
          <w:sz w:val="20"/>
          <w:szCs w:val="20"/>
          <w:color w:val="auto"/>
        </w:rPr>
      </w:pPr>
    </w:p>
    <w:p>
      <w:pPr>
        <w:ind w:left="900" w:hanging="874"/>
        <w:spacing w:after="0"/>
        <w:tabs>
          <w:tab w:leader="none" w:pos="90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8"/>
          <w:szCs w:val="18"/>
          <w:u w:val="single" w:color="auto"/>
          <w:color w:val="0000FF"/>
        </w:rPr>
      </w:pPr>
    </w:p>
    <w:p>
      <w:pPr>
        <w:ind w:left="900" w:hanging="874"/>
        <w:spacing w:after="0"/>
        <w:tabs>
          <w:tab w:leader="none" w:pos="900" w:val="left"/>
        </w:tabs>
        <w:numPr>
          <w:ilvl w:val="0"/>
          <w:numId w:val="1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Chief Executive Officer and Chief Financial Officer pursuant to Section 906 of the Sarbanes-Oxley Act of 2002.</w:t>
      </w:r>
    </w:p>
    <w:p>
      <w:pPr>
        <w:spacing w:after="0" w:line="23" w:lineRule="exact"/>
        <w:rPr>
          <w:sz w:val="20"/>
          <w:szCs w:val="20"/>
          <w:color w:val="auto"/>
        </w:rPr>
      </w:pPr>
    </w:p>
    <w:p>
      <w:pPr>
        <w:jc w:val="both"/>
        <w:ind w:left="900" w:right="20" w:hanging="874"/>
        <w:spacing w:after="0" w:line="220"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Comcast Corporation’s Quarterly Report on Form 10-Q for the three months ended March 31, 2025, filed with the Securities and Exchange Commission on April 24, 2025, formatted in Inline Extensible Business Reporting Language (iXBRL):</w:t>
      </w:r>
    </w:p>
    <w:p>
      <w:pPr>
        <w:jc w:val="both"/>
        <w:ind w:left="900" w:right="20" w:firstLine="3"/>
        <w:spacing w:after="0" w:line="218" w:lineRule="auto"/>
        <w:tabs>
          <w:tab w:leader="none" w:pos="11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Statements of Income; (ii) the Condensed Consolidated Statements of Comprehensive Income; (iii) the Condensed Consolidated Statements of Cash Flows; (iv) the Condensed Consolidated Balance Sheets; (v) the Condensed Consolidated Statements of Changes in Equity; and (vi) the Notes to Condensed Consolidated Financial Statements.</w:t>
      </w:r>
    </w:p>
    <w:p>
      <w:pPr>
        <w:spacing w:after="0" w:line="10" w:lineRule="exact"/>
        <w:rPr>
          <w:sz w:val="20"/>
          <w:szCs w:val="20"/>
          <w:color w:val="auto"/>
        </w:rPr>
      </w:pPr>
    </w:p>
    <w:p>
      <w:pPr>
        <w:ind w:left="5540" w:right="4940" w:hanging="5514"/>
        <w:spacing w:after="0" w:line="632" w:lineRule="auto"/>
        <w:tabs>
          <w:tab w:leader="none" w:pos="90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iXBRL document).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77"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Daniel C. Murdock</w:t>
      </w:r>
    </w:p>
    <w:p>
      <w:pPr>
        <w:ind w:left="6380"/>
        <w:spacing w:after="0" w:line="205" w:lineRule="auto"/>
        <w:rPr>
          <w:sz w:val="20"/>
          <w:szCs w:val="20"/>
          <w:color w:val="auto"/>
        </w:rPr>
      </w:pPr>
      <w:r>
        <w:rPr>
          <w:rFonts w:ascii="Times New Roman" w:cs="Times New Roman" w:eastAsia="Times New Roman" w:hAnsi="Times New Roman"/>
          <w:sz w:val="18"/>
          <w:szCs w:val="18"/>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7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1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5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36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I, Jason S. Armstrong, certify that:</w:t>
      </w:r>
    </w:p>
    <w:p>
      <w:pPr>
        <w:spacing w:after="0" w:line="63"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29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jc w:val="both"/>
        <w:ind w:left="1300" w:right="24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644"/>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24, 2025</w:t>
      </w:r>
    </w:p>
    <w:p>
      <w:pPr>
        <w:spacing w:after="0" w:line="19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113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08"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24,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68"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Brian L. Roberts, the Chief Executive Officer and Jason S. Armstrong, the Chief Financial Officer of Comcast Corporation, each certifies that, to the best of his knowledge:</w:t>
      </w:r>
    </w:p>
    <w:p>
      <w:pPr>
        <w:spacing w:after="0" w:line="5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117" w:lineRule="exact"/>
        <w:rPr>
          <w:rFonts w:ascii="Times New Roman" w:cs="Times New Roman" w:eastAsia="Times New Roman" w:hAnsi="Times New Roman"/>
          <w:sz w:val="18"/>
          <w:szCs w:val="18"/>
          <w:color w:val="auto"/>
        </w:rPr>
      </w:pPr>
    </w:p>
    <w:p>
      <w:pPr>
        <w:ind w:left="660" w:right="52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Comcast Corporation.</w:t>
      </w:r>
    </w:p>
    <w:p>
      <w:pPr>
        <w:spacing w:after="0" w:line="9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7"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34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/s/ JASON S.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Name: Jason S. Armstrong</w:t>
      </w:r>
    </w:p>
    <w:p>
      <w:pPr>
        <w:spacing w:after="0" w:line="27"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31"/>
    </w:lvl>
  </w:abstractNum>
  <w:abstractNum w:abstractNumId="18">
    <w:nsid w:val="628C895D"/>
    <w:multiLevelType w:val="hybridMultilevel"/>
    <w:lvl w:ilvl="0">
      <w:lvlJc w:val="left"/>
      <w:lvlText w:val="%1"/>
      <w:numFmt w:val="decimal"/>
      <w:start w:val="101"/>
    </w:lvl>
    <w:lvl w:ilvl="1">
      <w:lvlJc w:val="left"/>
      <w:lvlText w:val="(%2)"/>
      <w:numFmt w:val="lowerRoman"/>
      <w:start w:val="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2025-04-24T14:25:25Z</dcterms:created>
  <dcterms:modified xsi:type="dcterms:W3CDTF">2025-04-24T14:25:25Z</dcterms:modified>
</cp:coreProperties>
</file>